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640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480"/>
      </w:pPr>
      <w:r>
        <w:t>Distr.</w:t>
      </w:r>
      <w:r>
        <w:br/>
        <w:t>GENERAL</w:t>
      </w:r>
    </w:p>
    <w:p w:rsidR="00000000" w:rsidRDefault="00000000">
      <w:pPr>
        <w:spacing w:after="240"/>
        <w:ind w:left="6480"/>
      </w:pPr>
      <w:r>
        <w:t>CRC/C/LIE/Q/2/Add.1</w:t>
      </w:r>
      <w:r>
        <w:br/>
        <w:t>8 de diciembre de 2005</w:t>
      </w:r>
    </w:p>
    <w:p w:rsidR="00000000" w:rsidRDefault="00000000">
      <w:pPr>
        <w:spacing w:after="600"/>
        <w:ind w:left="6481"/>
      </w:pPr>
      <w:r>
        <w:t>ESPAÑOL</w:t>
      </w:r>
      <w:r>
        <w:br/>
        <w:t>Original:  INGLÉS</w:t>
      </w:r>
    </w:p>
    <w:p w:rsidR="00000000" w:rsidRDefault="00000000">
      <w:pPr>
        <w:spacing w:before="600" w:after="1800"/>
      </w:pPr>
      <w:r>
        <w:t>COMITÉ DE LOS DERECHOS DEL NIÑO</w:t>
      </w:r>
      <w:r>
        <w:br/>
        <w:t>41º período de sesiones</w:t>
      </w:r>
      <w:r>
        <w:br/>
        <w:t>9 a 27 de enero de 2006</w:t>
      </w:r>
    </w:p>
    <w:tbl>
      <w:tblPr>
        <w:tblW w:w="0" w:type="auto"/>
        <w:tblInd w:w="790" w:type="dxa"/>
        <w:tblCellMar>
          <w:left w:w="70" w:type="dxa"/>
          <w:right w:w="70" w:type="dxa"/>
        </w:tblCellMar>
        <w:tblLook w:val="0000" w:firstRow="0" w:lastRow="0" w:firstColumn="0" w:lastColumn="0" w:noHBand="0" w:noVBand="0"/>
      </w:tblPr>
      <w:tblGrid>
        <w:gridCol w:w="7920"/>
      </w:tblGrid>
      <w:tr w:rsidR="00000000">
        <w:tblPrEx>
          <w:tblCellMar>
            <w:top w:w="0" w:type="dxa"/>
            <w:bottom w:w="0" w:type="dxa"/>
          </w:tblCellMar>
        </w:tblPrEx>
        <w:tc>
          <w:tcPr>
            <w:tcW w:w="7920" w:type="dxa"/>
          </w:tcPr>
          <w:p w:rsidR="00000000" w:rsidRDefault="00000000">
            <w:pPr>
              <w:tabs>
                <w:tab w:val="center" w:pos="3650"/>
              </w:tabs>
              <w:spacing w:after="720"/>
              <w:jc w:val="both"/>
              <w:rPr>
                <w:b/>
                <w:bCs/>
              </w:rPr>
            </w:pPr>
            <w:r>
              <w:rPr>
                <w:b/>
                <w:bCs/>
              </w:rPr>
              <w:t>RESPUESTAS PRESENTADAS POR ESCRITO POR EL GOBIERNO DE LIECHTENSTEIN A LA LISTA DE CUESTIONES (CRC/C/LIE/Q/2) RECIBIDAS POR EL COMITÉ DE LOS DERECHOS DEL NIÑO CON RELACIÓN AL EXAMEN DEL SEGUNDO INFORME PERIÓDICO</w:t>
            </w:r>
            <w:r>
              <w:rPr>
                <w:b/>
                <w:bCs/>
              </w:rPr>
              <w:br/>
            </w:r>
            <w:r>
              <w:rPr>
                <w:b/>
                <w:bCs/>
              </w:rPr>
              <w:tab/>
              <w:t>DE LIECHTENSTEIN (CRC/C/136/Add.2)</w:t>
            </w:r>
          </w:p>
        </w:tc>
      </w:tr>
    </w:tbl>
    <w:p w:rsidR="00000000" w:rsidRDefault="00000000">
      <w:pPr>
        <w:spacing w:after="240"/>
        <w:jc w:val="right"/>
      </w:pPr>
      <w:r>
        <w:t>[Respuestas recibidas el 7 de diciembre de 2005]</w:t>
      </w:r>
    </w:p>
    <w:p w:rsidR="00000000" w:rsidRDefault="00000000">
      <w:pPr>
        <w:spacing w:before="600" w:after="240"/>
      </w:pPr>
    </w:p>
    <w:p w:rsidR="00000000" w:rsidRDefault="00000000">
      <w:pPr>
        <w:spacing w:before="600" w:after="240"/>
      </w:pPr>
    </w:p>
    <w:p w:rsidR="00000000" w:rsidRDefault="00000000">
      <w:pPr>
        <w:spacing w:before="600" w:after="240"/>
      </w:pPr>
    </w:p>
    <w:p w:rsidR="00000000" w:rsidRDefault="00000000">
      <w:pPr>
        <w:spacing w:before="600" w:after="240"/>
      </w:pPr>
    </w:p>
    <w:p w:rsidR="00000000" w:rsidRDefault="00000000">
      <w:pPr>
        <w:spacing w:before="600" w:after="240"/>
        <w:rPr>
          <w:lang w:val="en-US"/>
        </w:rPr>
      </w:pPr>
      <w:r>
        <w:rPr>
          <w:lang w:val="en-US"/>
        </w:rPr>
        <w:t>GE.05-45467  (S)    281205    060106</w:t>
      </w:r>
    </w:p>
    <w:p w:rsidR="00000000" w:rsidRDefault="00000000">
      <w:pPr>
        <w:spacing w:after="240"/>
        <w:jc w:val="center"/>
        <w:rPr>
          <w:b/>
          <w:bCs/>
          <w:lang w:val="en-US"/>
        </w:rPr>
      </w:pPr>
      <w:r>
        <w:rPr>
          <w:b/>
          <w:bCs/>
          <w:lang w:val="en-US"/>
        </w:rPr>
        <w:t>PARTE I</w:t>
      </w:r>
    </w:p>
    <w:p w:rsidR="00000000" w:rsidRDefault="00000000">
      <w:pPr>
        <w:spacing w:after="240"/>
        <w:jc w:val="center"/>
        <w:rPr>
          <w:b/>
          <w:bCs/>
        </w:rPr>
      </w:pPr>
      <w:r>
        <w:rPr>
          <w:b/>
          <w:bCs/>
        </w:rPr>
        <w:t>A.  Datos y estadísticas</w:t>
      </w:r>
    </w:p>
    <w:p w:rsidR="00000000" w:rsidRDefault="00000000">
      <w:pPr>
        <w:spacing w:after="240"/>
        <w:ind w:left="567" w:hanging="567"/>
        <w:rPr>
          <w:b/>
          <w:bCs/>
        </w:rPr>
      </w:pPr>
      <w:r>
        <w:rPr>
          <w:b/>
          <w:bCs/>
        </w:rPr>
        <w:t>1.</w:t>
      </w:r>
      <w:r>
        <w:rPr>
          <w:b/>
          <w:bCs/>
        </w:rPr>
        <w:tab/>
        <w:t>Sírvanse proporcionar datos desglosados (por sexo, edad, grupos étnicos y zonas urbanas, rurales y aisladas) correspondientes a los años 2004 y 2005 sobre:</w:t>
      </w:r>
    </w:p>
    <w:p w:rsidR="00000000" w:rsidRDefault="00000000">
      <w:pPr>
        <w:spacing w:after="240"/>
        <w:ind w:left="567" w:hanging="567"/>
        <w:rPr>
          <w:b/>
          <w:bCs/>
        </w:rPr>
      </w:pPr>
      <w:r>
        <w:rPr>
          <w:b/>
          <w:bCs/>
        </w:rPr>
        <w:t>1a)</w:t>
      </w:r>
      <w:r>
        <w:rPr>
          <w:b/>
          <w:bCs/>
        </w:rPr>
        <w:tab/>
        <w:t>Sobre el número y la proporción de niños menores de 18 años que viven en el Estado Parte</w:t>
      </w:r>
    </w:p>
    <w:p w:rsidR="00000000" w:rsidRDefault="00000000">
      <w:pPr>
        <w:spacing w:after="240"/>
      </w:pPr>
      <w:r>
        <w:tab/>
        <w:t>Al 31 de diciembre de 2004, vivían en Liechtenstein 7.772 niños menores de 18 años, esto es, el 22,5% de la población total.  Un 28,4% de los niños menores de 18 años son de nacionalidad extranjera.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080"/>
        <w:gridCol w:w="1080"/>
        <w:gridCol w:w="1082"/>
        <w:gridCol w:w="1078"/>
        <w:gridCol w:w="959"/>
        <w:gridCol w:w="1083"/>
        <w:gridCol w:w="1543"/>
      </w:tblGrid>
      <w:tr w:rsidR="00000000">
        <w:trPr>
          <w:cantSplit/>
          <w:trHeight w:val="20"/>
        </w:trPr>
        <w:tc>
          <w:tcPr>
            <w:tcW w:w="5000" w:type="pct"/>
            <w:gridSpan w:val="8"/>
            <w:noWrap/>
            <w:vAlign w:val="center"/>
          </w:tcPr>
          <w:p w:rsidR="00000000" w:rsidRDefault="00000000">
            <w:pPr>
              <w:jc w:val="center"/>
              <w:rPr>
                <w:bCs/>
                <w:sz w:val="22"/>
              </w:rPr>
            </w:pPr>
            <w:r>
              <w:rPr>
                <w:bCs/>
                <w:sz w:val="22"/>
              </w:rPr>
              <w:t>Residentes permanentes menores de 18 años (al 31 de diciembre de 2004)</w:t>
            </w:r>
          </w:p>
        </w:tc>
      </w:tr>
      <w:tr w:rsidR="00000000">
        <w:trPr>
          <w:cantSplit/>
          <w:trHeight w:val="20"/>
        </w:trPr>
        <w:tc>
          <w:tcPr>
            <w:tcW w:w="871" w:type="pct"/>
            <w:vMerge w:val="restart"/>
            <w:noWrap/>
            <w:vAlign w:val="center"/>
          </w:tcPr>
          <w:p w:rsidR="00000000" w:rsidRDefault="00000000">
            <w:pPr>
              <w:jc w:val="center"/>
              <w:rPr>
                <w:bCs/>
                <w:sz w:val="22"/>
              </w:rPr>
            </w:pPr>
            <w:r>
              <w:rPr>
                <w:bCs/>
                <w:sz w:val="22"/>
              </w:rPr>
              <w:t>Grupos de edad</w:t>
            </w:r>
          </w:p>
        </w:tc>
        <w:tc>
          <w:tcPr>
            <w:tcW w:w="3323" w:type="pct"/>
            <w:gridSpan w:val="6"/>
            <w:noWrap/>
            <w:vAlign w:val="center"/>
          </w:tcPr>
          <w:p w:rsidR="00000000" w:rsidRDefault="00000000">
            <w:pPr>
              <w:jc w:val="center"/>
              <w:rPr>
                <w:bCs/>
                <w:sz w:val="22"/>
              </w:rPr>
            </w:pPr>
            <w:r>
              <w:rPr>
                <w:bCs/>
                <w:sz w:val="22"/>
              </w:rPr>
              <w:t>Nacionalidad</w:t>
            </w:r>
          </w:p>
        </w:tc>
        <w:tc>
          <w:tcPr>
            <w:tcW w:w="806" w:type="pct"/>
            <w:vMerge w:val="restart"/>
            <w:vAlign w:val="center"/>
          </w:tcPr>
          <w:p w:rsidR="00000000" w:rsidRDefault="00000000">
            <w:pPr>
              <w:jc w:val="center"/>
              <w:rPr>
                <w:bCs/>
                <w:sz w:val="22"/>
              </w:rPr>
            </w:pPr>
            <w:r>
              <w:rPr>
                <w:bCs/>
                <w:sz w:val="22"/>
              </w:rPr>
              <w:t>Total</w:t>
            </w:r>
          </w:p>
        </w:tc>
      </w:tr>
      <w:tr w:rsidR="00000000">
        <w:trPr>
          <w:cantSplit/>
          <w:trHeight w:val="20"/>
        </w:trPr>
        <w:tc>
          <w:tcPr>
            <w:tcW w:w="871" w:type="pct"/>
            <w:vMerge/>
          </w:tcPr>
          <w:p w:rsidR="00000000" w:rsidRDefault="00000000">
            <w:pPr>
              <w:jc w:val="both"/>
              <w:rPr>
                <w:bCs/>
                <w:sz w:val="22"/>
              </w:rPr>
            </w:pPr>
          </w:p>
        </w:tc>
        <w:tc>
          <w:tcPr>
            <w:tcW w:w="1693" w:type="pct"/>
            <w:gridSpan w:val="3"/>
            <w:noWrap/>
            <w:vAlign w:val="center"/>
          </w:tcPr>
          <w:p w:rsidR="00000000" w:rsidRDefault="00000000">
            <w:pPr>
              <w:jc w:val="center"/>
              <w:rPr>
                <w:bCs/>
                <w:sz w:val="22"/>
              </w:rPr>
            </w:pPr>
            <w:r>
              <w:rPr>
                <w:bCs/>
                <w:sz w:val="22"/>
              </w:rPr>
              <w:t>Liechtenstein</w:t>
            </w:r>
          </w:p>
        </w:tc>
        <w:tc>
          <w:tcPr>
            <w:tcW w:w="1630" w:type="pct"/>
            <w:gridSpan w:val="3"/>
            <w:noWrap/>
            <w:vAlign w:val="center"/>
          </w:tcPr>
          <w:p w:rsidR="00000000" w:rsidRDefault="00000000">
            <w:pPr>
              <w:jc w:val="center"/>
              <w:rPr>
                <w:bCs/>
                <w:sz w:val="22"/>
              </w:rPr>
            </w:pPr>
            <w:r>
              <w:rPr>
                <w:bCs/>
                <w:sz w:val="22"/>
              </w:rPr>
              <w:t>Extranjera</w:t>
            </w:r>
          </w:p>
        </w:tc>
        <w:tc>
          <w:tcPr>
            <w:tcW w:w="806" w:type="pct"/>
            <w:vMerge/>
            <w:noWrap/>
            <w:vAlign w:val="center"/>
          </w:tcPr>
          <w:p w:rsidR="00000000" w:rsidRDefault="00000000">
            <w:pPr>
              <w:jc w:val="both"/>
              <w:rPr>
                <w:bCs/>
                <w:sz w:val="22"/>
              </w:rPr>
            </w:pPr>
          </w:p>
        </w:tc>
      </w:tr>
      <w:tr w:rsidR="00000000">
        <w:trPr>
          <w:cantSplit/>
          <w:trHeight w:val="20"/>
        </w:trPr>
        <w:tc>
          <w:tcPr>
            <w:tcW w:w="871" w:type="pct"/>
            <w:vMerge/>
          </w:tcPr>
          <w:p w:rsidR="00000000" w:rsidRDefault="00000000">
            <w:pPr>
              <w:jc w:val="both"/>
              <w:rPr>
                <w:bCs/>
                <w:sz w:val="22"/>
              </w:rPr>
            </w:pPr>
          </w:p>
        </w:tc>
        <w:tc>
          <w:tcPr>
            <w:tcW w:w="564" w:type="pct"/>
            <w:noWrap/>
            <w:vAlign w:val="center"/>
          </w:tcPr>
          <w:p w:rsidR="00000000" w:rsidRDefault="00000000">
            <w:pPr>
              <w:jc w:val="center"/>
              <w:rPr>
                <w:bCs/>
                <w:sz w:val="22"/>
              </w:rPr>
            </w:pPr>
            <w:r>
              <w:rPr>
                <w:bCs/>
                <w:sz w:val="22"/>
              </w:rPr>
              <w:t>Varones</w:t>
            </w:r>
          </w:p>
        </w:tc>
        <w:tc>
          <w:tcPr>
            <w:tcW w:w="564" w:type="pct"/>
            <w:noWrap/>
            <w:vAlign w:val="center"/>
          </w:tcPr>
          <w:p w:rsidR="00000000" w:rsidRDefault="00000000">
            <w:pPr>
              <w:jc w:val="center"/>
              <w:rPr>
                <w:bCs/>
                <w:sz w:val="22"/>
              </w:rPr>
            </w:pPr>
            <w:r>
              <w:rPr>
                <w:bCs/>
                <w:sz w:val="22"/>
              </w:rPr>
              <w:t>Mujeres</w:t>
            </w:r>
          </w:p>
        </w:tc>
        <w:tc>
          <w:tcPr>
            <w:tcW w:w="564" w:type="pct"/>
            <w:noWrap/>
            <w:vAlign w:val="center"/>
          </w:tcPr>
          <w:p w:rsidR="00000000" w:rsidRDefault="00000000">
            <w:pPr>
              <w:jc w:val="center"/>
              <w:rPr>
                <w:bCs/>
                <w:sz w:val="22"/>
              </w:rPr>
            </w:pPr>
            <w:r>
              <w:rPr>
                <w:bCs/>
                <w:sz w:val="22"/>
              </w:rPr>
              <w:t>Total</w:t>
            </w:r>
          </w:p>
        </w:tc>
        <w:tc>
          <w:tcPr>
            <w:tcW w:w="563" w:type="pct"/>
            <w:noWrap/>
            <w:vAlign w:val="center"/>
          </w:tcPr>
          <w:p w:rsidR="00000000" w:rsidRDefault="00000000">
            <w:pPr>
              <w:jc w:val="center"/>
              <w:rPr>
                <w:bCs/>
                <w:sz w:val="22"/>
              </w:rPr>
            </w:pPr>
            <w:r>
              <w:rPr>
                <w:bCs/>
                <w:sz w:val="22"/>
              </w:rPr>
              <w:t>Varones</w:t>
            </w:r>
          </w:p>
        </w:tc>
        <w:tc>
          <w:tcPr>
            <w:tcW w:w="501" w:type="pct"/>
            <w:noWrap/>
            <w:vAlign w:val="center"/>
          </w:tcPr>
          <w:p w:rsidR="00000000" w:rsidRDefault="00000000">
            <w:pPr>
              <w:jc w:val="center"/>
              <w:rPr>
                <w:bCs/>
                <w:sz w:val="22"/>
              </w:rPr>
            </w:pPr>
            <w:r>
              <w:rPr>
                <w:bCs/>
                <w:sz w:val="22"/>
              </w:rPr>
              <w:t>Mujeres</w:t>
            </w:r>
          </w:p>
        </w:tc>
        <w:tc>
          <w:tcPr>
            <w:tcW w:w="566" w:type="pct"/>
            <w:noWrap/>
            <w:vAlign w:val="center"/>
          </w:tcPr>
          <w:p w:rsidR="00000000" w:rsidRDefault="00000000">
            <w:pPr>
              <w:jc w:val="center"/>
              <w:rPr>
                <w:bCs/>
                <w:sz w:val="22"/>
              </w:rPr>
            </w:pPr>
            <w:r>
              <w:rPr>
                <w:bCs/>
                <w:sz w:val="22"/>
              </w:rPr>
              <w:t>Total</w:t>
            </w:r>
          </w:p>
        </w:tc>
        <w:tc>
          <w:tcPr>
            <w:tcW w:w="806" w:type="pct"/>
            <w:vMerge/>
          </w:tcPr>
          <w:p w:rsidR="00000000" w:rsidRDefault="00000000">
            <w:pPr>
              <w:jc w:val="both"/>
              <w:rPr>
                <w:bCs/>
                <w:sz w:val="22"/>
              </w:rPr>
            </w:pPr>
          </w:p>
        </w:tc>
      </w:tr>
      <w:tr w:rsidR="00000000">
        <w:trPr>
          <w:trHeight w:val="20"/>
        </w:trPr>
        <w:tc>
          <w:tcPr>
            <w:tcW w:w="871" w:type="pct"/>
            <w:noWrap/>
            <w:vAlign w:val="center"/>
          </w:tcPr>
          <w:p w:rsidR="00000000" w:rsidRDefault="00000000">
            <w:pPr>
              <w:jc w:val="both"/>
              <w:rPr>
                <w:bCs/>
                <w:sz w:val="22"/>
              </w:rPr>
            </w:pPr>
            <w:r>
              <w:rPr>
                <w:bCs/>
                <w:sz w:val="22"/>
              </w:rPr>
              <w:t>0 a 18 años</w:t>
            </w:r>
          </w:p>
        </w:tc>
        <w:tc>
          <w:tcPr>
            <w:tcW w:w="564" w:type="pct"/>
            <w:noWrap/>
            <w:vAlign w:val="center"/>
          </w:tcPr>
          <w:p w:rsidR="00000000" w:rsidRDefault="00000000">
            <w:pPr>
              <w:tabs>
                <w:tab w:val="decimal" w:pos="732"/>
              </w:tabs>
              <w:ind w:right="184"/>
              <w:rPr>
                <w:bCs/>
                <w:sz w:val="22"/>
              </w:rPr>
            </w:pPr>
            <w:r>
              <w:rPr>
                <w:bCs/>
                <w:sz w:val="22"/>
              </w:rPr>
              <w:t>2.807</w:t>
            </w:r>
          </w:p>
        </w:tc>
        <w:tc>
          <w:tcPr>
            <w:tcW w:w="564" w:type="pct"/>
            <w:noWrap/>
            <w:vAlign w:val="center"/>
          </w:tcPr>
          <w:p w:rsidR="00000000" w:rsidRDefault="00000000">
            <w:pPr>
              <w:tabs>
                <w:tab w:val="decimal" w:pos="634"/>
              </w:tabs>
              <w:ind w:right="184"/>
              <w:rPr>
                <w:bCs/>
                <w:sz w:val="22"/>
              </w:rPr>
            </w:pPr>
            <w:r>
              <w:rPr>
                <w:bCs/>
                <w:sz w:val="22"/>
              </w:rPr>
              <w:t>2.755</w:t>
            </w:r>
          </w:p>
        </w:tc>
        <w:tc>
          <w:tcPr>
            <w:tcW w:w="564" w:type="pct"/>
            <w:noWrap/>
            <w:vAlign w:val="center"/>
          </w:tcPr>
          <w:p w:rsidR="00000000" w:rsidRDefault="00000000">
            <w:pPr>
              <w:jc w:val="center"/>
              <w:rPr>
                <w:bCs/>
                <w:sz w:val="22"/>
              </w:rPr>
            </w:pPr>
            <w:r>
              <w:rPr>
                <w:bCs/>
                <w:sz w:val="22"/>
              </w:rPr>
              <w:t>5.562</w:t>
            </w:r>
          </w:p>
        </w:tc>
        <w:tc>
          <w:tcPr>
            <w:tcW w:w="563" w:type="pct"/>
            <w:noWrap/>
            <w:vAlign w:val="center"/>
          </w:tcPr>
          <w:p w:rsidR="00000000" w:rsidRDefault="00000000">
            <w:pPr>
              <w:ind w:right="184"/>
              <w:jc w:val="right"/>
              <w:rPr>
                <w:bCs/>
                <w:sz w:val="22"/>
              </w:rPr>
            </w:pPr>
            <w:r>
              <w:rPr>
                <w:bCs/>
                <w:sz w:val="22"/>
              </w:rPr>
              <w:t>1.136</w:t>
            </w:r>
          </w:p>
        </w:tc>
        <w:tc>
          <w:tcPr>
            <w:tcW w:w="501" w:type="pct"/>
            <w:noWrap/>
            <w:vAlign w:val="center"/>
          </w:tcPr>
          <w:p w:rsidR="00000000" w:rsidRDefault="00000000">
            <w:pPr>
              <w:tabs>
                <w:tab w:val="decimal" w:pos="593"/>
              </w:tabs>
              <w:ind w:right="-108"/>
              <w:rPr>
                <w:bCs/>
                <w:sz w:val="22"/>
              </w:rPr>
            </w:pPr>
            <w:r>
              <w:rPr>
                <w:bCs/>
                <w:sz w:val="22"/>
              </w:rPr>
              <w:t>1.074</w:t>
            </w:r>
          </w:p>
        </w:tc>
        <w:tc>
          <w:tcPr>
            <w:tcW w:w="566" w:type="pct"/>
            <w:noWrap/>
            <w:vAlign w:val="center"/>
          </w:tcPr>
          <w:p w:rsidR="00000000" w:rsidRDefault="00000000">
            <w:pPr>
              <w:tabs>
                <w:tab w:val="decimal" w:pos="684"/>
              </w:tabs>
              <w:rPr>
                <w:bCs/>
                <w:sz w:val="22"/>
              </w:rPr>
            </w:pPr>
            <w:r>
              <w:rPr>
                <w:bCs/>
                <w:sz w:val="22"/>
              </w:rPr>
              <w:t>2.210</w:t>
            </w:r>
          </w:p>
        </w:tc>
        <w:tc>
          <w:tcPr>
            <w:tcW w:w="806" w:type="pct"/>
            <w:noWrap/>
            <w:vAlign w:val="center"/>
          </w:tcPr>
          <w:p w:rsidR="00000000" w:rsidRDefault="00000000">
            <w:pPr>
              <w:tabs>
                <w:tab w:val="decimal" w:pos="1309"/>
              </w:tabs>
              <w:ind w:right="508"/>
              <w:jc w:val="center"/>
              <w:rPr>
                <w:bCs/>
                <w:sz w:val="22"/>
              </w:rPr>
            </w:pPr>
            <w:r>
              <w:rPr>
                <w:bCs/>
                <w:sz w:val="22"/>
              </w:rPr>
              <w:t>7.772</w:t>
            </w:r>
          </w:p>
        </w:tc>
      </w:tr>
      <w:tr w:rsidR="00000000">
        <w:trPr>
          <w:trHeight w:val="20"/>
        </w:trPr>
        <w:tc>
          <w:tcPr>
            <w:tcW w:w="871" w:type="pct"/>
            <w:noWrap/>
            <w:vAlign w:val="center"/>
          </w:tcPr>
          <w:p w:rsidR="00000000" w:rsidRDefault="00000000">
            <w:pPr>
              <w:jc w:val="both"/>
              <w:rPr>
                <w:bCs/>
                <w:sz w:val="22"/>
              </w:rPr>
            </w:pPr>
            <w:r>
              <w:rPr>
                <w:bCs/>
                <w:sz w:val="22"/>
              </w:rPr>
              <w:t>13 a 18 años</w:t>
            </w:r>
          </w:p>
        </w:tc>
        <w:tc>
          <w:tcPr>
            <w:tcW w:w="564" w:type="pct"/>
            <w:noWrap/>
            <w:vAlign w:val="center"/>
          </w:tcPr>
          <w:p w:rsidR="00000000" w:rsidRDefault="00000000">
            <w:pPr>
              <w:tabs>
                <w:tab w:val="decimal" w:pos="732"/>
              </w:tabs>
              <w:ind w:right="184"/>
              <w:rPr>
                <w:bCs/>
                <w:sz w:val="22"/>
                <w:lang w:val="es-ES_tradnl"/>
              </w:rPr>
            </w:pPr>
            <w:r>
              <w:rPr>
                <w:bCs/>
                <w:sz w:val="22"/>
                <w:lang w:val="es-ES_tradnl"/>
              </w:rPr>
              <w:t>827</w:t>
            </w:r>
          </w:p>
        </w:tc>
        <w:tc>
          <w:tcPr>
            <w:tcW w:w="564" w:type="pct"/>
            <w:noWrap/>
            <w:vAlign w:val="center"/>
          </w:tcPr>
          <w:p w:rsidR="00000000" w:rsidRDefault="00000000">
            <w:pPr>
              <w:tabs>
                <w:tab w:val="decimal" w:pos="634"/>
              </w:tabs>
              <w:ind w:right="184"/>
              <w:rPr>
                <w:bCs/>
                <w:sz w:val="22"/>
                <w:lang w:val="es-ES_tradnl"/>
              </w:rPr>
            </w:pPr>
            <w:r>
              <w:rPr>
                <w:bCs/>
                <w:sz w:val="22"/>
              </w:rPr>
              <w:t>827</w:t>
            </w:r>
          </w:p>
        </w:tc>
        <w:tc>
          <w:tcPr>
            <w:tcW w:w="564" w:type="pct"/>
            <w:noWrap/>
            <w:vAlign w:val="center"/>
          </w:tcPr>
          <w:p w:rsidR="00000000" w:rsidRDefault="00000000">
            <w:pPr>
              <w:jc w:val="center"/>
              <w:rPr>
                <w:bCs/>
                <w:sz w:val="22"/>
                <w:lang w:val="es-ES_tradnl"/>
              </w:rPr>
            </w:pPr>
            <w:r>
              <w:rPr>
                <w:bCs/>
                <w:sz w:val="22"/>
                <w:lang w:val="es-ES_tradnl"/>
              </w:rPr>
              <w:t>1.</w:t>
            </w:r>
            <w:r>
              <w:rPr>
                <w:bCs/>
                <w:sz w:val="22"/>
              </w:rPr>
              <w:t>654</w:t>
            </w:r>
          </w:p>
        </w:tc>
        <w:tc>
          <w:tcPr>
            <w:tcW w:w="563" w:type="pct"/>
            <w:noWrap/>
            <w:vAlign w:val="center"/>
          </w:tcPr>
          <w:p w:rsidR="00000000" w:rsidRDefault="00000000">
            <w:pPr>
              <w:ind w:right="184"/>
              <w:jc w:val="right"/>
              <w:rPr>
                <w:bCs/>
                <w:sz w:val="22"/>
                <w:lang w:val="es-ES_tradnl"/>
              </w:rPr>
            </w:pPr>
            <w:r>
              <w:rPr>
                <w:bCs/>
                <w:sz w:val="22"/>
                <w:lang w:val="es-ES_tradnl"/>
              </w:rPr>
              <w:t>369</w:t>
            </w:r>
          </w:p>
        </w:tc>
        <w:tc>
          <w:tcPr>
            <w:tcW w:w="501" w:type="pct"/>
            <w:noWrap/>
            <w:vAlign w:val="center"/>
          </w:tcPr>
          <w:p w:rsidR="00000000" w:rsidRDefault="00000000">
            <w:pPr>
              <w:tabs>
                <w:tab w:val="decimal" w:pos="593"/>
              </w:tabs>
              <w:ind w:right="-108"/>
              <w:rPr>
                <w:bCs/>
                <w:sz w:val="22"/>
                <w:lang w:val="es-ES_tradnl"/>
              </w:rPr>
            </w:pPr>
            <w:r>
              <w:rPr>
                <w:bCs/>
                <w:sz w:val="22"/>
              </w:rPr>
              <w:t>304</w:t>
            </w:r>
          </w:p>
        </w:tc>
        <w:tc>
          <w:tcPr>
            <w:tcW w:w="566" w:type="pct"/>
            <w:noWrap/>
            <w:vAlign w:val="center"/>
          </w:tcPr>
          <w:p w:rsidR="00000000" w:rsidRDefault="00000000">
            <w:pPr>
              <w:tabs>
                <w:tab w:val="decimal" w:pos="684"/>
              </w:tabs>
              <w:rPr>
                <w:bCs/>
                <w:sz w:val="22"/>
                <w:lang w:val="es-ES_tradnl"/>
              </w:rPr>
            </w:pPr>
            <w:r>
              <w:rPr>
                <w:bCs/>
                <w:sz w:val="22"/>
              </w:rPr>
              <w:t>673</w:t>
            </w:r>
          </w:p>
        </w:tc>
        <w:tc>
          <w:tcPr>
            <w:tcW w:w="806" w:type="pct"/>
            <w:noWrap/>
            <w:vAlign w:val="center"/>
          </w:tcPr>
          <w:p w:rsidR="00000000" w:rsidRDefault="00000000">
            <w:pPr>
              <w:tabs>
                <w:tab w:val="decimal" w:pos="1309"/>
              </w:tabs>
              <w:ind w:right="508"/>
              <w:jc w:val="center"/>
              <w:rPr>
                <w:bCs/>
                <w:sz w:val="22"/>
                <w:lang w:val="es-ES_tradnl"/>
              </w:rPr>
            </w:pPr>
            <w:r>
              <w:rPr>
                <w:bCs/>
                <w:sz w:val="22"/>
                <w:lang w:val="es-ES_tradnl"/>
              </w:rPr>
              <w:t>2.327</w:t>
            </w:r>
          </w:p>
        </w:tc>
      </w:tr>
      <w:tr w:rsidR="00000000">
        <w:trPr>
          <w:trHeight w:val="20"/>
        </w:trPr>
        <w:tc>
          <w:tcPr>
            <w:tcW w:w="871" w:type="pct"/>
            <w:noWrap/>
            <w:vAlign w:val="center"/>
          </w:tcPr>
          <w:p w:rsidR="00000000" w:rsidRDefault="00000000">
            <w:pPr>
              <w:jc w:val="both"/>
              <w:rPr>
                <w:bCs/>
                <w:sz w:val="22"/>
                <w:lang w:val="es-ES_tradnl"/>
              </w:rPr>
            </w:pPr>
            <w:r>
              <w:rPr>
                <w:bCs/>
                <w:sz w:val="22"/>
                <w:lang w:val="es-ES_tradnl"/>
              </w:rPr>
              <w:t>7 a 12 años</w:t>
            </w:r>
          </w:p>
        </w:tc>
        <w:tc>
          <w:tcPr>
            <w:tcW w:w="564" w:type="pct"/>
            <w:noWrap/>
            <w:vAlign w:val="center"/>
          </w:tcPr>
          <w:p w:rsidR="00000000" w:rsidRDefault="00000000">
            <w:pPr>
              <w:tabs>
                <w:tab w:val="decimal" w:pos="732"/>
              </w:tabs>
              <w:ind w:right="184"/>
              <w:rPr>
                <w:bCs/>
                <w:sz w:val="22"/>
                <w:lang w:val="es-ES_tradnl"/>
              </w:rPr>
            </w:pPr>
            <w:r>
              <w:rPr>
                <w:bCs/>
                <w:sz w:val="22"/>
                <w:lang w:val="es-ES_tradnl"/>
              </w:rPr>
              <w:t>912</w:t>
            </w:r>
          </w:p>
        </w:tc>
        <w:tc>
          <w:tcPr>
            <w:tcW w:w="564" w:type="pct"/>
            <w:noWrap/>
            <w:vAlign w:val="center"/>
          </w:tcPr>
          <w:p w:rsidR="00000000" w:rsidRDefault="00000000">
            <w:pPr>
              <w:tabs>
                <w:tab w:val="decimal" w:pos="634"/>
              </w:tabs>
              <w:ind w:right="184"/>
              <w:rPr>
                <w:bCs/>
                <w:sz w:val="22"/>
                <w:lang w:val="es-ES_tradnl"/>
              </w:rPr>
            </w:pPr>
            <w:r>
              <w:rPr>
                <w:bCs/>
                <w:sz w:val="22"/>
              </w:rPr>
              <w:t>897</w:t>
            </w:r>
          </w:p>
        </w:tc>
        <w:tc>
          <w:tcPr>
            <w:tcW w:w="564" w:type="pct"/>
            <w:noWrap/>
            <w:vAlign w:val="center"/>
          </w:tcPr>
          <w:p w:rsidR="00000000" w:rsidRDefault="00000000">
            <w:pPr>
              <w:jc w:val="center"/>
              <w:rPr>
                <w:bCs/>
                <w:sz w:val="22"/>
                <w:lang w:val="es-ES_tradnl"/>
              </w:rPr>
            </w:pPr>
            <w:r>
              <w:rPr>
                <w:bCs/>
                <w:sz w:val="22"/>
                <w:lang w:val="es-ES_tradnl"/>
              </w:rPr>
              <w:t>1.</w:t>
            </w:r>
            <w:r>
              <w:rPr>
                <w:bCs/>
                <w:sz w:val="22"/>
              </w:rPr>
              <w:t>809</w:t>
            </w:r>
          </w:p>
        </w:tc>
        <w:tc>
          <w:tcPr>
            <w:tcW w:w="563" w:type="pct"/>
            <w:noWrap/>
            <w:vAlign w:val="center"/>
          </w:tcPr>
          <w:p w:rsidR="00000000" w:rsidRDefault="00000000">
            <w:pPr>
              <w:ind w:right="184"/>
              <w:jc w:val="right"/>
              <w:rPr>
                <w:bCs/>
                <w:sz w:val="22"/>
                <w:lang w:val="es-ES_tradnl"/>
              </w:rPr>
            </w:pPr>
            <w:r>
              <w:rPr>
                <w:bCs/>
                <w:sz w:val="22"/>
              </w:rPr>
              <w:t>339</w:t>
            </w:r>
          </w:p>
        </w:tc>
        <w:tc>
          <w:tcPr>
            <w:tcW w:w="501" w:type="pct"/>
            <w:noWrap/>
            <w:vAlign w:val="center"/>
          </w:tcPr>
          <w:p w:rsidR="00000000" w:rsidRDefault="00000000">
            <w:pPr>
              <w:tabs>
                <w:tab w:val="decimal" w:pos="593"/>
              </w:tabs>
              <w:ind w:right="-108"/>
              <w:rPr>
                <w:bCs/>
                <w:sz w:val="22"/>
                <w:lang w:val="es-ES_tradnl"/>
              </w:rPr>
            </w:pPr>
            <w:r>
              <w:rPr>
                <w:bCs/>
                <w:sz w:val="22"/>
              </w:rPr>
              <w:t>360</w:t>
            </w:r>
          </w:p>
        </w:tc>
        <w:tc>
          <w:tcPr>
            <w:tcW w:w="566" w:type="pct"/>
            <w:noWrap/>
            <w:vAlign w:val="center"/>
          </w:tcPr>
          <w:p w:rsidR="00000000" w:rsidRDefault="00000000">
            <w:pPr>
              <w:tabs>
                <w:tab w:val="decimal" w:pos="684"/>
              </w:tabs>
              <w:rPr>
                <w:bCs/>
                <w:sz w:val="22"/>
                <w:lang w:val="es-ES_tradnl"/>
              </w:rPr>
            </w:pPr>
            <w:r>
              <w:rPr>
                <w:bCs/>
                <w:sz w:val="22"/>
              </w:rPr>
              <w:t>699</w:t>
            </w:r>
          </w:p>
        </w:tc>
        <w:tc>
          <w:tcPr>
            <w:tcW w:w="806" w:type="pct"/>
            <w:noWrap/>
            <w:vAlign w:val="center"/>
          </w:tcPr>
          <w:p w:rsidR="00000000" w:rsidRDefault="00000000">
            <w:pPr>
              <w:tabs>
                <w:tab w:val="decimal" w:pos="1309"/>
              </w:tabs>
              <w:ind w:right="508"/>
              <w:jc w:val="center"/>
              <w:rPr>
                <w:bCs/>
                <w:sz w:val="22"/>
                <w:lang w:val="es-ES_tradnl"/>
              </w:rPr>
            </w:pPr>
            <w:r>
              <w:rPr>
                <w:bCs/>
                <w:sz w:val="22"/>
                <w:lang w:val="es-ES_tradnl"/>
              </w:rPr>
              <w:t>2.508</w:t>
            </w:r>
          </w:p>
        </w:tc>
      </w:tr>
      <w:tr w:rsidR="00000000">
        <w:trPr>
          <w:trHeight w:val="20"/>
        </w:trPr>
        <w:tc>
          <w:tcPr>
            <w:tcW w:w="871" w:type="pct"/>
            <w:noWrap/>
            <w:vAlign w:val="center"/>
          </w:tcPr>
          <w:p w:rsidR="00000000" w:rsidRDefault="00000000">
            <w:pPr>
              <w:jc w:val="both"/>
              <w:rPr>
                <w:bCs/>
                <w:sz w:val="22"/>
                <w:lang w:val="es-ES_tradnl"/>
              </w:rPr>
            </w:pPr>
            <w:r>
              <w:rPr>
                <w:bCs/>
                <w:sz w:val="22"/>
                <w:lang w:val="es-ES_tradnl"/>
              </w:rPr>
              <w:t>0 a 6 años</w:t>
            </w:r>
          </w:p>
        </w:tc>
        <w:tc>
          <w:tcPr>
            <w:tcW w:w="564" w:type="pct"/>
            <w:noWrap/>
            <w:vAlign w:val="center"/>
          </w:tcPr>
          <w:p w:rsidR="00000000" w:rsidRDefault="00000000">
            <w:pPr>
              <w:tabs>
                <w:tab w:val="decimal" w:pos="732"/>
              </w:tabs>
              <w:ind w:right="184"/>
              <w:rPr>
                <w:bCs/>
                <w:sz w:val="22"/>
                <w:lang w:val="es-ES_tradnl"/>
              </w:rPr>
            </w:pPr>
            <w:r>
              <w:rPr>
                <w:bCs/>
                <w:sz w:val="22"/>
                <w:lang w:val="es-ES_tradnl"/>
              </w:rPr>
              <w:t>1.</w:t>
            </w:r>
            <w:r>
              <w:rPr>
                <w:bCs/>
                <w:sz w:val="22"/>
              </w:rPr>
              <w:t>068</w:t>
            </w:r>
          </w:p>
        </w:tc>
        <w:tc>
          <w:tcPr>
            <w:tcW w:w="564" w:type="pct"/>
            <w:noWrap/>
            <w:vAlign w:val="center"/>
          </w:tcPr>
          <w:p w:rsidR="00000000" w:rsidRDefault="00000000">
            <w:pPr>
              <w:tabs>
                <w:tab w:val="decimal" w:pos="634"/>
              </w:tabs>
              <w:ind w:right="184"/>
              <w:rPr>
                <w:bCs/>
                <w:sz w:val="22"/>
                <w:lang w:val="es-ES_tradnl"/>
              </w:rPr>
            </w:pPr>
            <w:r>
              <w:rPr>
                <w:bCs/>
                <w:sz w:val="22"/>
                <w:lang w:val="es-ES_tradnl"/>
              </w:rPr>
              <w:t>1.</w:t>
            </w:r>
            <w:r>
              <w:rPr>
                <w:bCs/>
                <w:sz w:val="22"/>
              </w:rPr>
              <w:t>031</w:t>
            </w:r>
          </w:p>
        </w:tc>
        <w:tc>
          <w:tcPr>
            <w:tcW w:w="564" w:type="pct"/>
            <w:noWrap/>
            <w:vAlign w:val="center"/>
          </w:tcPr>
          <w:p w:rsidR="00000000" w:rsidRDefault="00000000">
            <w:pPr>
              <w:jc w:val="center"/>
              <w:rPr>
                <w:bCs/>
                <w:sz w:val="22"/>
                <w:lang w:val="es-ES_tradnl"/>
              </w:rPr>
            </w:pPr>
            <w:r>
              <w:rPr>
                <w:bCs/>
                <w:sz w:val="22"/>
                <w:lang w:val="es-ES_tradnl"/>
              </w:rPr>
              <w:t>2.</w:t>
            </w:r>
            <w:r>
              <w:rPr>
                <w:bCs/>
                <w:sz w:val="22"/>
              </w:rPr>
              <w:t>099</w:t>
            </w:r>
          </w:p>
        </w:tc>
        <w:tc>
          <w:tcPr>
            <w:tcW w:w="563" w:type="pct"/>
            <w:noWrap/>
            <w:vAlign w:val="center"/>
          </w:tcPr>
          <w:p w:rsidR="00000000" w:rsidRDefault="00000000">
            <w:pPr>
              <w:ind w:right="184"/>
              <w:jc w:val="right"/>
              <w:rPr>
                <w:bCs/>
                <w:sz w:val="22"/>
                <w:lang w:val="es-ES_tradnl"/>
              </w:rPr>
            </w:pPr>
            <w:r>
              <w:rPr>
                <w:bCs/>
                <w:sz w:val="22"/>
                <w:lang w:val="es-ES_tradnl"/>
              </w:rPr>
              <w:t>428</w:t>
            </w:r>
          </w:p>
        </w:tc>
        <w:tc>
          <w:tcPr>
            <w:tcW w:w="501" w:type="pct"/>
            <w:noWrap/>
            <w:vAlign w:val="center"/>
          </w:tcPr>
          <w:p w:rsidR="00000000" w:rsidRDefault="00000000">
            <w:pPr>
              <w:tabs>
                <w:tab w:val="decimal" w:pos="593"/>
              </w:tabs>
              <w:ind w:right="-108"/>
              <w:rPr>
                <w:bCs/>
                <w:sz w:val="22"/>
                <w:lang w:val="es-ES_tradnl"/>
              </w:rPr>
            </w:pPr>
            <w:r>
              <w:rPr>
                <w:bCs/>
                <w:sz w:val="22"/>
                <w:lang w:val="es-ES_tradnl"/>
              </w:rPr>
              <w:t>410</w:t>
            </w:r>
          </w:p>
        </w:tc>
        <w:tc>
          <w:tcPr>
            <w:tcW w:w="566" w:type="pct"/>
            <w:noWrap/>
            <w:vAlign w:val="center"/>
          </w:tcPr>
          <w:p w:rsidR="00000000" w:rsidRDefault="00000000">
            <w:pPr>
              <w:tabs>
                <w:tab w:val="decimal" w:pos="684"/>
              </w:tabs>
              <w:rPr>
                <w:bCs/>
                <w:sz w:val="22"/>
                <w:lang w:val="es-ES_tradnl"/>
              </w:rPr>
            </w:pPr>
            <w:r>
              <w:rPr>
                <w:bCs/>
                <w:sz w:val="22"/>
              </w:rPr>
              <w:t>838</w:t>
            </w:r>
          </w:p>
        </w:tc>
        <w:tc>
          <w:tcPr>
            <w:tcW w:w="806" w:type="pct"/>
            <w:noWrap/>
            <w:vAlign w:val="center"/>
          </w:tcPr>
          <w:p w:rsidR="00000000" w:rsidRDefault="00000000">
            <w:pPr>
              <w:tabs>
                <w:tab w:val="decimal" w:pos="1309"/>
              </w:tabs>
              <w:ind w:right="508"/>
              <w:jc w:val="center"/>
              <w:rPr>
                <w:bCs/>
                <w:sz w:val="22"/>
                <w:lang w:val="es-ES_tradnl"/>
              </w:rPr>
            </w:pPr>
            <w:r>
              <w:rPr>
                <w:bCs/>
                <w:sz w:val="22"/>
                <w:lang w:val="es-ES_tradnl"/>
              </w:rPr>
              <w:t>2.937</w:t>
            </w:r>
          </w:p>
        </w:tc>
      </w:tr>
    </w:tbl>
    <w:p w:rsidR="00000000" w:rsidRDefault="00000000">
      <w:pPr>
        <w:spacing w:before="480" w:after="240"/>
        <w:ind w:left="567" w:hanging="567"/>
        <w:rPr>
          <w:b/>
          <w:bCs/>
        </w:rPr>
      </w:pPr>
      <w:r>
        <w:rPr>
          <w:b/>
          <w:bCs/>
        </w:rPr>
        <w:t>1b)</w:t>
      </w:r>
      <w:r>
        <w:rPr>
          <w:b/>
          <w:bCs/>
        </w:rPr>
        <w:tab/>
        <w:t>El número y la proporción de niños pertenecientes a minorías, o que son refugiados, solicitantes de asilo y migrantes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643"/>
        <w:gridCol w:w="643"/>
        <w:gridCol w:w="699"/>
        <w:gridCol w:w="643"/>
        <w:gridCol w:w="643"/>
        <w:gridCol w:w="616"/>
        <w:gridCol w:w="616"/>
        <w:gridCol w:w="616"/>
        <w:gridCol w:w="967"/>
      </w:tblGrid>
      <w:tr w:rsidR="00000000">
        <w:trPr>
          <w:cantSplit/>
          <w:trHeight w:val="20"/>
        </w:trPr>
        <w:tc>
          <w:tcPr>
            <w:tcW w:w="5000" w:type="pct"/>
            <w:gridSpan w:val="10"/>
            <w:noWrap/>
            <w:vAlign w:val="center"/>
          </w:tcPr>
          <w:p w:rsidR="00000000" w:rsidRDefault="00000000">
            <w:pPr>
              <w:jc w:val="center"/>
              <w:rPr>
                <w:bCs/>
                <w:sz w:val="20"/>
              </w:rPr>
            </w:pPr>
            <w:r>
              <w:rPr>
                <w:bCs/>
                <w:sz w:val="20"/>
              </w:rPr>
              <w:t>Solicitantes de asilo menores de 18 años (desde 1998 hasta el 31 de octubre de 2005)</w:t>
            </w:r>
          </w:p>
        </w:tc>
      </w:tr>
      <w:tr w:rsidR="00000000">
        <w:trPr>
          <w:trHeight w:val="20"/>
        </w:trPr>
        <w:tc>
          <w:tcPr>
            <w:tcW w:w="1820" w:type="pct"/>
            <w:noWrap/>
            <w:vAlign w:val="center"/>
          </w:tcPr>
          <w:p w:rsidR="00000000" w:rsidRDefault="00000000">
            <w:pPr>
              <w:jc w:val="center"/>
              <w:rPr>
                <w:bCs/>
                <w:sz w:val="20"/>
              </w:rPr>
            </w:pPr>
            <w:r>
              <w:rPr>
                <w:bCs/>
                <w:sz w:val="20"/>
              </w:rPr>
              <w:t>País</w:t>
            </w:r>
          </w:p>
        </w:tc>
        <w:tc>
          <w:tcPr>
            <w:tcW w:w="336" w:type="pct"/>
            <w:noWrap/>
            <w:vAlign w:val="center"/>
          </w:tcPr>
          <w:p w:rsidR="00000000" w:rsidRDefault="00000000">
            <w:pPr>
              <w:jc w:val="center"/>
              <w:rPr>
                <w:bCs/>
                <w:sz w:val="20"/>
              </w:rPr>
            </w:pPr>
            <w:r>
              <w:rPr>
                <w:bCs/>
                <w:sz w:val="20"/>
              </w:rPr>
              <w:t>1998</w:t>
            </w:r>
          </w:p>
        </w:tc>
        <w:tc>
          <w:tcPr>
            <w:tcW w:w="336" w:type="pct"/>
            <w:noWrap/>
            <w:vAlign w:val="center"/>
          </w:tcPr>
          <w:p w:rsidR="00000000" w:rsidRDefault="00000000">
            <w:pPr>
              <w:jc w:val="center"/>
              <w:rPr>
                <w:bCs/>
                <w:sz w:val="20"/>
              </w:rPr>
            </w:pPr>
            <w:r>
              <w:rPr>
                <w:bCs/>
                <w:sz w:val="20"/>
              </w:rPr>
              <w:t>1999</w:t>
            </w:r>
          </w:p>
        </w:tc>
        <w:tc>
          <w:tcPr>
            <w:tcW w:w="365" w:type="pct"/>
            <w:noWrap/>
            <w:vAlign w:val="center"/>
          </w:tcPr>
          <w:p w:rsidR="00000000" w:rsidRDefault="00000000">
            <w:pPr>
              <w:jc w:val="center"/>
              <w:rPr>
                <w:bCs/>
                <w:sz w:val="20"/>
              </w:rPr>
            </w:pPr>
            <w:r>
              <w:rPr>
                <w:bCs/>
                <w:sz w:val="20"/>
              </w:rPr>
              <w:t>2000</w:t>
            </w:r>
          </w:p>
        </w:tc>
        <w:tc>
          <w:tcPr>
            <w:tcW w:w="336" w:type="pct"/>
            <w:noWrap/>
            <w:vAlign w:val="center"/>
          </w:tcPr>
          <w:p w:rsidR="00000000" w:rsidRDefault="00000000">
            <w:pPr>
              <w:jc w:val="center"/>
              <w:rPr>
                <w:bCs/>
                <w:sz w:val="20"/>
              </w:rPr>
            </w:pPr>
            <w:r>
              <w:rPr>
                <w:bCs/>
                <w:sz w:val="20"/>
              </w:rPr>
              <w:t>2001</w:t>
            </w:r>
          </w:p>
        </w:tc>
        <w:tc>
          <w:tcPr>
            <w:tcW w:w="336" w:type="pct"/>
            <w:noWrap/>
            <w:vAlign w:val="center"/>
          </w:tcPr>
          <w:p w:rsidR="00000000" w:rsidRDefault="00000000">
            <w:pPr>
              <w:jc w:val="center"/>
              <w:rPr>
                <w:bCs/>
                <w:sz w:val="20"/>
              </w:rPr>
            </w:pPr>
            <w:r>
              <w:rPr>
                <w:bCs/>
                <w:sz w:val="20"/>
              </w:rPr>
              <w:t>2002</w:t>
            </w:r>
          </w:p>
        </w:tc>
        <w:tc>
          <w:tcPr>
            <w:tcW w:w="322" w:type="pct"/>
            <w:noWrap/>
            <w:vAlign w:val="center"/>
          </w:tcPr>
          <w:p w:rsidR="00000000" w:rsidRDefault="00000000">
            <w:pPr>
              <w:jc w:val="center"/>
              <w:rPr>
                <w:bCs/>
                <w:sz w:val="20"/>
              </w:rPr>
            </w:pPr>
            <w:r>
              <w:rPr>
                <w:bCs/>
                <w:sz w:val="20"/>
              </w:rPr>
              <w:t>2003</w:t>
            </w:r>
          </w:p>
        </w:tc>
        <w:tc>
          <w:tcPr>
            <w:tcW w:w="322" w:type="pct"/>
            <w:noWrap/>
            <w:vAlign w:val="center"/>
          </w:tcPr>
          <w:p w:rsidR="00000000" w:rsidRDefault="00000000">
            <w:pPr>
              <w:jc w:val="center"/>
              <w:rPr>
                <w:bCs/>
                <w:sz w:val="20"/>
              </w:rPr>
            </w:pPr>
            <w:r>
              <w:rPr>
                <w:bCs/>
                <w:sz w:val="20"/>
              </w:rPr>
              <w:t>2004</w:t>
            </w:r>
          </w:p>
        </w:tc>
        <w:tc>
          <w:tcPr>
            <w:tcW w:w="322" w:type="pct"/>
            <w:noWrap/>
            <w:vAlign w:val="center"/>
          </w:tcPr>
          <w:p w:rsidR="00000000" w:rsidRDefault="00000000">
            <w:pPr>
              <w:jc w:val="center"/>
              <w:rPr>
                <w:bCs/>
                <w:sz w:val="20"/>
              </w:rPr>
            </w:pPr>
            <w:r>
              <w:rPr>
                <w:bCs/>
                <w:sz w:val="20"/>
              </w:rPr>
              <w:t>2005</w:t>
            </w:r>
          </w:p>
        </w:tc>
        <w:tc>
          <w:tcPr>
            <w:tcW w:w="506" w:type="pct"/>
            <w:noWrap/>
            <w:vAlign w:val="center"/>
          </w:tcPr>
          <w:p w:rsidR="00000000" w:rsidRDefault="00000000">
            <w:pPr>
              <w:jc w:val="center"/>
              <w:rPr>
                <w:bCs/>
                <w:sz w:val="20"/>
              </w:rPr>
            </w:pPr>
            <w:r>
              <w:rPr>
                <w:bCs/>
                <w:sz w:val="20"/>
              </w:rPr>
              <w:t>Total</w:t>
            </w:r>
          </w:p>
        </w:tc>
      </w:tr>
      <w:tr w:rsidR="00000000">
        <w:trPr>
          <w:trHeight w:val="20"/>
        </w:trPr>
        <w:tc>
          <w:tcPr>
            <w:tcW w:w="1820" w:type="pct"/>
            <w:noWrap/>
          </w:tcPr>
          <w:p w:rsidR="00000000" w:rsidRDefault="00000000">
            <w:pPr>
              <w:jc w:val="both"/>
              <w:rPr>
                <w:sz w:val="20"/>
              </w:rPr>
            </w:pPr>
            <w:r>
              <w:rPr>
                <w:sz w:val="20"/>
              </w:rPr>
              <w:t>Armenia</w:t>
            </w:r>
          </w:p>
        </w:tc>
        <w:tc>
          <w:tcPr>
            <w:tcW w:w="336" w:type="pct"/>
            <w:noWrap/>
            <w:vAlign w:val="center"/>
          </w:tcPr>
          <w:p w:rsidR="00000000" w:rsidRDefault="00000000">
            <w:pPr>
              <w:ind w:right="113"/>
              <w:jc w:val="right"/>
              <w:rPr>
                <w:sz w:val="20"/>
              </w:rPr>
            </w:pPr>
            <w:r>
              <w:rPr>
                <w:sz w:val="20"/>
              </w:rPr>
              <w:t>3</w:t>
            </w:r>
          </w:p>
        </w:tc>
        <w:tc>
          <w:tcPr>
            <w:tcW w:w="336" w:type="pct"/>
            <w:noWrap/>
            <w:vAlign w:val="center"/>
          </w:tcPr>
          <w:p w:rsidR="00000000" w:rsidRDefault="00000000">
            <w:pPr>
              <w:ind w:right="113"/>
              <w:jc w:val="right"/>
              <w:rPr>
                <w:sz w:val="20"/>
              </w:rPr>
            </w:pPr>
            <w:r>
              <w:rPr>
                <w:sz w:val="20"/>
              </w:rPr>
              <w:t>1</w:t>
            </w: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4</w:t>
            </w:r>
          </w:p>
        </w:tc>
      </w:tr>
      <w:tr w:rsidR="00000000">
        <w:trPr>
          <w:trHeight w:val="20"/>
        </w:trPr>
        <w:tc>
          <w:tcPr>
            <w:tcW w:w="1820" w:type="pct"/>
            <w:noWrap/>
          </w:tcPr>
          <w:p w:rsidR="00000000" w:rsidRDefault="00000000">
            <w:pPr>
              <w:jc w:val="both"/>
              <w:rPr>
                <w:sz w:val="20"/>
              </w:rPr>
            </w:pPr>
            <w:r>
              <w:rPr>
                <w:sz w:val="20"/>
              </w:rPr>
              <w:t>Azerbaiyán</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r>
              <w:rPr>
                <w:sz w:val="20"/>
              </w:rPr>
              <w:t>1</w:t>
            </w: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1</w:t>
            </w:r>
          </w:p>
        </w:tc>
      </w:tr>
      <w:tr w:rsidR="00000000">
        <w:trPr>
          <w:trHeight w:val="20"/>
        </w:trPr>
        <w:tc>
          <w:tcPr>
            <w:tcW w:w="1820" w:type="pct"/>
            <w:noWrap/>
          </w:tcPr>
          <w:p w:rsidR="00000000" w:rsidRDefault="00000000">
            <w:pPr>
              <w:jc w:val="both"/>
              <w:rPr>
                <w:sz w:val="20"/>
              </w:rPr>
            </w:pPr>
            <w:r>
              <w:rPr>
                <w:sz w:val="20"/>
              </w:rPr>
              <w:t>Bosnia y Herzeg</w:t>
            </w:r>
            <w:r>
              <w:rPr>
                <w:sz w:val="20"/>
              </w:rPr>
              <w:t>o</w:t>
            </w:r>
            <w:r>
              <w:rPr>
                <w:sz w:val="20"/>
              </w:rPr>
              <w:t>vina</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r>
              <w:rPr>
                <w:sz w:val="20"/>
              </w:rPr>
              <w:t>4</w:t>
            </w: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r>
              <w:rPr>
                <w:sz w:val="20"/>
              </w:rPr>
              <w:t>1</w:t>
            </w: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r>
              <w:rPr>
                <w:sz w:val="20"/>
              </w:rPr>
              <w:t>3</w:t>
            </w: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8</w:t>
            </w:r>
          </w:p>
        </w:tc>
      </w:tr>
      <w:tr w:rsidR="00000000">
        <w:trPr>
          <w:trHeight w:val="20"/>
        </w:trPr>
        <w:tc>
          <w:tcPr>
            <w:tcW w:w="1820" w:type="pct"/>
            <w:noWrap/>
          </w:tcPr>
          <w:p w:rsidR="00000000" w:rsidRDefault="00000000">
            <w:pPr>
              <w:jc w:val="both"/>
              <w:rPr>
                <w:sz w:val="20"/>
              </w:rPr>
            </w:pPr>
            <w:r>
              <w:rPr>
                <w:sz w:val="20"/>
              </w:rPr>
              <w:t>Bulgaria</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r>
              <w:rPr>
                <w:sz w:val="20"/>
              </w:rPr>
              <w:t>1</w:t>
            </w: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1</w:t>
            </w:r>
          </w:p>
        </w:tc>
      </w:tr>
      <w:tr w:rsidR="00000000">
        <w:trPr>
          <w:trHeight w:val="20"/>
        </w:trPr>
        <w:tc>
          <w:tcPr>
            <w:tcW w:w="1820" w:type="pct"/>
            <w:noWrap/>
          </w:tcPr>
          <w:p w:rsidR="00000000" w:rsidRDefault="00000000">
            <w:pPr>
              <w:jc w:val="both"/>
              <w:rPr>
                <w:sz w:val="20"/>
              </w:rPr>
            </w:pPr>
            <w:r>
              <w:rPr>
                <w:sz w:val="20"/>
              </w:rPr>
              <w:t>China</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r>
              <w:rPr>
                <w:sz w:val="20"/>
              </w:rPr>
              <w:t>1</w:t>
            </w: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1</w:t>
            </w:r>
          </w:p>
        </w:tc>
      </w:tr>
      <w:tr w:rsidR="00000000">
        <w:trPr>
          <w:trHeight w:val="20"/>
        </w:trPr>
        <w:tc>
          <w:tcPr>
            <w:tcW w:w="1820" w:type="pct"/>
            <w:noWrap/>
          </w:tcPr>
          <w:p w:rsidR="00000000" w:rsidRDefault="00000000">
            <w:pPr>
              <w:jc w:val="both"/>
              <w:rPr>
                <w:sz w:val="20"/>
              </w:rPr>
            </w:pPr>
            <w:r>
              <w:rPr>
                <w:sz w:val="20"/>
              </w:rPr>
              <w:t>Irán</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r>
              <w:rPr>
                <w:sz w:val="20"/>
              </w:rPr>
              <w:t>1</w:t>
            </w: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1</w:t>
            </w:r>
          </w:p>
        </w:tc>
      </w:tr>
      <w:tr w:rsidR="00000000">
        <w:trPr>
          <w:trHeight w:val="20"/>
        </w:trPr>
        <w:tc>
          <w:tcPr>
            <w:tcW w:w="1820" w:type="pct"/>
            <w:noWrap/>
          </w:tcPr>
          <w:p w:rsidR="00000000" w:rsidRDefault="00000000">
            <w:pPr>
              <w:jc w:val="both"/>
              <w:rPr>
                <w:sz w:val="20"/>
              </w:rPr>
            </w:pPr>
            <w:r>
              <w:rPr>
                <w:sz w:val="20"/>
              </w:rPr>
              <w:t>Israel</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r>
              <w:rPr>
                <w:sz w:val="20"/>
              </w:rPr>
              <w:t>2</w:t>
            </w: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2</w:t>
            </w:r>
          </w:p>
        </w:tc>
      </w:tr>
      <w:tr w:rsidR="00000000">
        <w:trPr>
          <w:trHeight w:val="20"/>
        </w:trPr>
        <w:tc>
          <w:tcPr>
            <w:tcW w:w="1820" w:type="pct"/>
            <w:noWrap/>
          </w:tcPr>
          <w:p w:rsidR="00000000" w:rsidRDefault="00000000">
            <w:pPr>
              <w:jc w:val="both"/>
              <w:rPr>
                <w:sz w:val="20"/>
              </w:rPr>
            </w:pPr>
            <w:r>
              <w:rPr>
                <w:sz w:val="20"/>
              </w:rPr>
              <w:t>Kazajstán</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r>
              <w:rPr>
                <w:sz w:val="20"/>
              </w:rPr>
              <w:t>1</w:t>
            </w:r>
          </w:p>
        </w:tc>
        <w:tc>
          <w:tcPr>
            <w:tcW w:w="322" w:type="pct"/>
            <w:noWrap/>
            <w:vAlign w:val="center"/>
          </w:tcPr>
          <w:p w:rsidR="00000000" w:rsidRDefault="00000000">
            <w:pPr>
              <w:ind w:right="113"/>
              <w:jc w:val="right"/>
              <w:rPr>
                <w:sz w:val="20"/>
              </w:rPr>
            </w:pPr>
            <w:r>
              <w:rPr>
                <w:sz w:val="20"/>
              </w:rPr>
              <w:t>2</w:t>
            </w: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r>
              <w:rPr>
                <w:sz w:val="20"/>
              </w:rPr>
              <w:t>1</w:t>
            </w:r>
          </w:p>
        </w:tc>
        <w:tc>
          <w:tcPr>
            <w:tcW w:w="506" w:type="pct"/>
            <w:noWrap/>
            <w:vAlign w:val="center"/>
          </w:tcPr>
          <w:p w:rsidR="00000000" w:rsidRDefault="00000000">
            <w:pPr>
              <w:ind w:right="340"/>
              <w:jc w:val="right"/>
              <w:rPr>
                <w:bCs/>
                <w:sz w:val="20"/>
              </w:rPr>
            </w:pPr>
            <w:r>
              <w:rPr>
                <w:bCs/>
                <w:sz w:val="20"/>
              </w:rPr>
              <w:t>4</w:t>
            </w:r>
          </w:p>
        </w:tc>
      </w:tr>
      <w:tr w:rsidR="00000000">
        <w:trPr>
          <w:trHeight w:val="20"/>
        </w:trPr>
        <w:tc>
          <w:tcPr>
            <w:tcW w:w="1820" w:type="pct"/>
            <w:noWrap/>
          </w:tcPr>
          <w:p w:rsidR="00000000" w:rsidRDefault="00000000">
            <w:pPr>
              <w:jc w:val="both"/>
              <w:rPr>
                <w:sz w:val="20"/>
              </w:rPr>
            </w:pPr>
            <w:r>
              <w:rPr>
                <w:sz w:val="20"/>
              </w:rPr>
              <w:t>Macedonia (ex República Yugoslava de)</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r>
              <w:rPr>
                <w:sz w:val="20"/>
              </w:rPr>
              <w:t>12</w:t>
            </w:r>
          </w:p>
        </w:tc>
        <w:tc>
          <w:tcPr>
            <w:tcW w:w="336" w:type="pct"/>
            <w:noWrap/>
            <w:vAlign w:val="center"/>
          </w:tcPr>
          <w:p w:rsidR="00000000" w:rsidRDefault="00000000">
            <w:pPr>
              <w:ind w:right="113"/>
              <w:jc w:val="right"/>
              <w:rPr>
                <w:sz w:val="20"/>
              </w:rPr>
            </w:pPr>
            <w:r>
              <w:rPr>
                <w:sz w:val="20"/>
              </w:rPr>
              <w:t>3</w:t>
            </w:r>
          </w:p>
        </w:tc>
        <w:tc>
          <w:tcPr>
            <w:tcW w:w="322" w:type="pct"/>
            <w:noWrap/>
            <w:vAlign w:val="center"/>
          </w:tcPr>
          <w:p w:rsidR="00000000" w:rsidRDefault="00000000">
            <w:pPr>
              <w:ind w:right="113"/>
              <w:jc w:val="right"/>
              <w:rPr>
                <w:sz w:val="20"/>
              </w:rPr>
            </w:pPr>
            <w:r>
              <w:rPr>
                <w:sz w:val="20"/>
              </w:rPr>
              <w:t>2</w:t>
            </w: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17</w:t>
            </w:r>
          </w:p>
        </w:tc>
      </w:tr>
      <w:tr w:rsidR="00000000">
        <w:trPr>
          <w:trHeight w:val="20"/>
        </w:trPr>
        <w:tc>
          <w:tcPr>
            <w:tcW w:w="1820" w:type="pct"/>
            <w:noWrap/>
          </w:tcPr>
          <w:p w:rsidR="00000000" w:rsidRDefault="00000000">
            <w:pPr>
              <w:jc w:val="both"/>
              <w:rPr>
                <w:sz w:val="20"/>
              </w:rPr>
            </w:pPr>
            <w:r>
              <w:rPr>
                <w:sz w:val="20"/>
              </w:rPr>
              <w:t>Marruecos</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r>
              <w:rPr>
                <w:sz w:val="20"/>
              </w:rPr>
              <w:t>1</w:t>
            </w: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1</w:t>
            </w:r>
          </w:p>
        </w:tc>
      </w:tr>
      <w:tr w:rsidR="00000000">
        <w:trPr>
          <w:trHeight w:val="20"/>
        </w:trPr>
        <w:tc>
          <w:tcPr>
            <w:tcW w:w="1820" w:type="pct"/>
            <w:noWrap/>
          </w:tcPr>
          <w:p w:rsidR="00000000" w:rsidRDefault="00000000">
            <w:pPr>
              <w:jc w:val="both"/>
              <w:rPr>
                <w:sz w:val="20"/>
              </w:rPr>
            </w:pPr>
            <w:r>
              <w:rPr>
                <w:sz w:val="20"/>
              </w:rPr>
              <w:t>Mongolia</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r>
              <w:rPr>
                <w:sz w:val="20"/>
              </w:rPr>
              <w:t>1</w:t>
            </w: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1</w:t>
            </w:r>
          </w:p>
        </w:tc>
      </w:tr>
      <w:tr w:rsidR="00000000">
        <w:trPr>
          <w:trHeight w:val="20"/>
        </w:trPr>
        <w:tc>
          <w:tcPr>
            <w:tcW w:w="1820" w:type="pct"/>
            <w:noWrap/>
          </w:tcPr>
          <w:p w:rsidR="00000000" w:rsidRDefault="00000000">
            <w:pPr>
              <w:jc w:val="both"/>
              <w:rPr>
                <w:sz w:val="20"/>
              </w:rPr>
            </w:pPr>
            <w:r>
              <w:rPr>
                <w:sz w:val="20"/>
              </w:rPr>
              <w:t>Polonia</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r>
              <w:rPr>
                <w:sz w:val="20"/>
              </w:rPr>
              <w:t>1</w:t>
            </w: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1</w:t>
            </w:r>
          </w:p>
        </w:tc>
      </w:tr>
      <w:tr w:rsidR="00000000">
        <w:trPr>
          <w:trHeight w:val="20"/>
        </w:trPr>
        <w:tc>
          <w:tcPr>
            <w:tcW w:w="1820" w:type="pct"/>
            <w:noWrap/>
          </w:tcPr>
          <w:p w:rsidR="00000000" w:rsidRDefault="00000000">
            <w:pPr>
              <w:jc w:val="both"/>
              <w:rPr>
                <w:sz w:val="20"/>
              </w:rPr>
            </w:pPr>
            <w:r>
              <w:rPr>
                <w:sz w:val="20"/>
              </w:rPr>
              <w:t>República Checa</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r>
              <w:rPr>
                <w:sz w:val="20"/>
              </w:rPr>
              <w:t>2</w:t>
            </w: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2</w:t>
            </w:r>
          </w:p>
        </w:tc>
      </w:tr>
      <w:tr w:rsidR="00000000">
        <w:trPr>
          <w:trHeight w:val="20"/>
        </w:trPr>
        <w:tc>
          <w:tcPr>
            <w:tcW w:w="1820" w:type="pct"/>
            <w:noWrap/>
          </w:tcPr>
          <w:p w:rsidR="00000000" w:rsidRDefault="00000000">
            <w:pPr>
              <w:jc w:val="both"/>
              <w:rPr>
                <w:sz w:val="20"/>
              </w:rPr>
            </w:pPr>
            <w:r>
              <w:rPr>
                <w:sz w:val="20"/>
              </w:rPr>
              <w:t>Rusia (Federación de)</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r>
              <w:rPr>
                <w:sz w:val="20"/>
              </w:rPr>
              <w:t>3</w:t>
            </w:r>
          </w:p>
        </w:tc>
        <w:tc>
          <w:tcPr>
            <w:tcW w:w="322" w:type="pct"/>
            <w:noWrap/>
            <w:vAlign w:val="center"/>
          </w:tcPr>
          <w:p w:rsidR="00000000" w:rsidRDefault="00000000">
            <w:pPr>
              <w:ind w:right="113"/>
              <w:jc w:val="right"/>
              <w:rPr>
                <w:sz w:val="20"/>
              </w:rPr>
            </w:pPr>
            <w:r>
              <w:rPr>
                <w:sz w:val="20"/>
              </w:rPr>
              <w:t>4</w:t>
            </w:r>
          </w:p>
        </w:tc>
        <w:tc>
          <w:tcPr>
            <w:tcW w:w="322" w:type="pct"/>
            <w:noWrap/>
            <w:vAlign w:val="center"/>
          </w:tcPr>
          <w:p w:rsidR="00000000" w:rsidRDefault="00000000">
            <w:pPr>
              <w:ind w:right="113"/>
              <w:jc w:val="right"/>
              <w:rPr>
                <w:sz w:val="20"/>
              </w:rPr>
            </w:pPr>
            <w:r>
              <w:rPr>
                <w:sz w:val="20"/>
              </w:rPr>
              <w:t>1</w:t>
            </w:r>
          </w:p>
        </w:tc>
        <w:tc>
          <w:tcPr>
            <w:tcW w:w="322" w:type="pct"/>
            <w:noWrap/>
            <w:vAlign w:val="center"/>
          </w:tcPr>
          <w:p w:rsidR="00000000" w:rsidRDefault="00000000">
            <w:pPr>
              <w:ind w:right="113"/>
              <w:jc w:val="right"/>
              <w:rPr>
                <w:sz w:val="20"/>
              </w:rPr>
            </w:pPr>
            <w:r>
              <w:rPr>
                <w:sz w:val="20"/>
              </w:rPr>
              <w:t>2</w:t>
            </w:r>
          </w:p>
        </w:tc>
        <w:tc>
          <w:tcPr>
            <w:tcW w:w="506" w:type="pct"/>
            <w:noWrap/>
            <w:vAlign w:val="center"/>
          </w:tcPr>
          <w:p w:rsidR="00000000" w:rsidRDefault="00000000">
            <w:pPr>
              <w:ind w:right="340"/>
              <w:jc w:val="right"/>
              <w:rPr>
                <w:bCs/>
                <w:sz w:val="20"/>
              </w:rPr>
            </w:pPr>
            <w:r>
              <w:rPr>
                <w:bCs/>
                <w:sz w:val="20"/>
              </w:rPr>
              <w:t>10</w:t>
            </w:r>
          </w:p>
        </w:tc>
      </w:tr>
      <w:tr w:rsidR="00000000">
        <w:trPr>
          <w:trHeight w:val="20"/>
        </w:trPr>
        <w:tc>
          <w:tcPr>
            <w:tcW w:w="1820" w:type="pct"/>
            <w:noWrap/>
          </w:tcPr>
          <w:p w:rsidR="00000000" w:rsidRDefault="00000000">
            <w:pPr>
              <w:jc w:val="both"/>
              <w:rPr>
                <w:sz w:val="20"/>
              </w:rPr>
            </w:pPr>
            <w:r>
              <w:rPr>
                <w:sz w:val="20"/>
              </w:rPr>
              <w:t>Serbia y Montenegro</w:t>
            </w:r>
          </w:p>
        </w:tc>
        <w:tc>
          <w:tcPr>
            <w:tcW w:w="336" w:type="pct"/>
            <w:noWrap/>
            <w:vAlign w:val="center"/>
          </w:tcPr>
          <w:p w:rsidR="00000000" w:rsidRDefault="00000000">
            <w:pPr>
              <w:ind w:right="113"/>
              <w:jc w:val="right"/>
              <w:rPr>
                <w:sz w:val="20"/>
              </w:rPr>
            </w:pPr>
            <w:r>
              <w:rPr>
                <w:sz w:val="20"/>
              </w:rPr>
              <w:t>66</w:t>
            </w:r>
          </w:p>
        </w:tc>
        <w:tc>
          <w:tcPr>
            <w:tcW w:w="336" w:type="pct"/>
            <w:noWrap/>
            <w:vAlign w:val="center"/>
          </w:tcPr>
          <w:p w:rsidR="00000000" w:rsidRDefault="00000000">
            <w:pPr>
              <w:ind w:right="113"/>
              <w:jc w:val="right"/>
              <w:rPr>
                <w:sz w:val="20"/>
              </w:rPr>
            </w:pPr>
            <w:r>
              <w:rPr>
                <w:sz w:val="20"/>
              </w:rPr>
              <w:t>183</w:t>
            </w:r>
          </w:p>
        </w:tc>
        <w:tc>
          <w:tcPr>
            <w:tcW w:w="365" w:type="pct"/>
            <w:noWrap/>
            <w:vAlign w:val="center"/>
          </w:tcPr>
          <w:p w:rsidR="00000000" w:rsidRDefault="00000000">
            <w:pPr>
              <w:ind w:right="113"/>
              <w:jc w:val="right"/>
              <w:rPr>
                <w:sz w:val="20"/>
              </w:rPr>
            </w:pPr>
            <w:r>
              <w:rPr>
                <w:sz w:val="20"/>
              </w:rPr>
              <w:t>18</w:t>
            </w:r>
          </w:p>
        </w:tc>
        <w:tc>
          <w:tcPr>
            <w:tcW w:w="336" w:type="pct"/>
            <w:noWrap/>
            <w:vAlign w:val="center"/>
          </w:tcPr>
          <w:p w:rsidR="00000000" w:rsidRDefault="00000000">
            <w:pPr>
              <w:ind w:right="113"/>
              <w:jc w:val="right"/>
              <w:rPr>
                <w:sz w:val="20"/>
              </w:rPr>
            </w:pPr>
            <w:r>
              <w:rPr>
                <w:sz w:val="20"/>
              </w:rPr>
              <w:t>10</w:t>
            </w:r>
          </w:p>
        </w:tc>
        <w:tc>
          <w:tcPr>
            <w:tcW w:w="336" w:type="pct"/>
            <w:noWrap/>
            <w:vAlign w:val="center"/>
          </w:tcPr>
          <w:p w:rsidR="00000000" w:rsidRDefault="00000000">
            <w:pPr>
              <w:ind w:right="113"/>
              <w:jc w:val="right"/>
              <w:rPr>
                <w:sz w:val="20"/>
              </w:rPr>
            </w:pPr>
            <w:r>
              <w:rPr>
                <w:sz w:val="20"/>
              </w:rPr>
              <w:t>1</w:t>
            </w:r>
          </w:p>
        </w:tc>
        <w:tc>
          <w:tcPr>
            <w:tcW w:w="322" w:type="pct"/>
            <w:noWrap/>
            <w:vAlign w:val="center"/>
          </w:tcPr>
          <w:p w:rsidR="00000000" w:rsidRDefault="00000000">
            <w:pPr>
              <w:ind w:right="113"/>
              <w:jc w:val="right"/>
              <w:rPr>
                <w:sz w:val="20"/>
              </w:rPr>
            </w:pPr>
            <w:r>
              <w:rPr>
                <w:sz w:val="20"/>
              </w:rPr>
              <w:t>4</w:t>
            </w: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282</w:t>
            </w:r>
          </w:p>
        </w:tc>
      </w:tr>
      <w:tr w:rsidR="00000000">
        <w:trPr>
          <w:trHeight w:val="20"/>
        </w:trPr>
        <w:tc>
          <w:tcPr>
            <w:tcW w:w="1820" w:type="pct"/>
            <w:noWrap/>
          </w:tcPr>
          <w:p w:rsidR="00000000" w:rsidRDefault="00000000">
            <w:pPr>
              <w:jc w:val="both"/>
              <w:rPr>
                <w:sz w:val="20"/>
              </w:rPr>
            </w:pPr>
            <w:r>
              <w:rPr>
                <w:sz w:val="20"/>
              </w:rPr>
              <w:t>Somalia</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r>
              <w:rPr>
                <w:sz w:val="20"/>
              </w:rPr>
              <w:t>1</w:t>
            </w:r>
          </w:p>
        </w:tc>
        <w:tc>
          <w:tcPr>
            <w:tcW w:w="506" w:type="pct"/>
            <w:noWrap/>
            <w:vAlign w:val="center"/>
          </w:tcPr>
          <w:p w:rsidR="00000000" w:rsidRDefault="00000000">
            <w:pPr>
              <w:ind w:right="340"/>
              <w:jc w:val="right"/>
              <w:rPr>
                <w:bCs/>
                <w:sz w:val="20"/>
              </w:rPr>
            </w:pPr>
            <w:r>
              <w:rPr>
                <w:bCs/>
                <w:sz w:val="20"/>
              </w:rPr>
              <w:t>1</w:t>
            </w:r>
          </w:p>
        </w:tc>
      </w:tr>
      <w:tr w:rsidR="00000000">
        <w:trPr>
          <w:trHeight w:val="20"/>
        </w:trPr>
        <w:tc>
          <w:tcPr>
            <w:tcW w:w="1820" w:type="pct"/>
            <w:noWrap/>
          </w:tcPr>
          <w:p w:rsidR="00000000" w:rsidRDefault="00000000">
            <w:pPr>
              <w:jc w:val="both"/>
              <w:rPr>
                <w:sz w:val="20"/>
              </w:rPr>
            </w:pPr>
            <w:r>
              <w:rPr>
                <w:sz w:val="20"/>
              </w:rPr>
              <w:t>Turquía</w:t>
            </w:r>
          </w:p>
        </w:tc>
        <w:tc>
          <w:tcPr>
            <w:tcW w:w="336" w:type="pct"/>
            <w:noWrap/>
            <w:vAlign w:val="center"/>
          </w:tcPr>
          <w:p w:rsidR="00000000" w:rsidRDefault="00000000">
            <w:pPr>
              <w:ind w:right="113"/>
              <w:jc w:val="right"/>
              <w:rPr>
                <w:sz w:val="20"/>
              </w:rPr>
            </w:pPr>
            <w:r>
              <w:rPr>
                <w:sz w:val="20"/>
              </w:rPr>
              <w:t>1</w:t>
            </w:r>
          </w:p>
        </w:tc>
        <w:tc>
          <w:tcPr>
            <w:tcW w:w="336" w:type="pct"/>
            <w:noWrap/>
            <w:vAlign w:val="center"/>
          </w:tcPr>
          <w:p w:rsidR="00000000" w:rsidRDefault="00000000">
            <w:pPr>
              <w:ind w:right="113"/>
              <w:jc w:val="right"/>
              <w:rPr>
                <w:sz w:val="20"/>
              </w:rPr>
            </w:pPr>
            <w:r>
              <w:rPr>
                <w:sz w:val="20"/>
              </w:rPr>
              <w:t>8</w:t>
            </w: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p>
        </w:tc>
        <w:tc>
          <w:tcPr>
            <w:tcW w:w="506" w:type="pct"/>
            <w:noWrap/>
            <w:vAlign w:val="center"/>
          </w:tcPr>
          <w:p w:rsidR="00000000" w:rsidRDefault="00000000">
            <w:pPr>
              <w:ind w:right="340"/>
              <w:jc w:val="right"/>
              <w:rPr>
                <w:bCs/>
                <w:sz w:val="20"/>
              </w:rPr>
            </w:pPr>
            <w:r>
              <w:rPr>
                <w:bCs/>
                <w:sz w:val="20"/>
              </w:rPr>
              <w:t>9</w:t>
            </w:r>
          </w:p>
        </w:tc>
      </w:tr>
      <w:tr w:rsidR="00000000">
        <w:trPr>
          <w:trHeight w:val="20"/>
        </w:trPr>
        <w:tc>
          <w:tcPr>
            <w:tcW w:w="1820" w:type="pct"/>
            <w:noWrap/>
          </w:tcPr>
          <w:p w:rsidR="00000000" w:rsidRDefault="00000000">
            <w:pPr>
              <w:jc w:val="both"/>
              <w:rPr>
                <w:sz w:val="20"/>
              </w:rPr>
            </w:pPr>
            <w:r>
              <w:rPr>
                <w:sz w:val="20"/>
              </w:rPr>
              <w:t>Ucrania</w:t>
            </w: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r>
              <w:rPr>
                <w:sz w:val="20"/>
              </w:rPr>
              <w:t>1</w:t>
            </w:r>
          </w:p>
        </w:tc>
        <w:tc>
          <w:tcPr>
            <w:tcW w:w="365"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p>
        </w:tc>
        <w:tc>
          <w:tcPr>
            <w:tcW w:w="336" w:type="pct"/>
            <w:noWrap/>
            <w:vAlign w:val="center"/>
          </w:tcPr>
          <w:p w:rsidR="00000000" w:rsidRDefault="00000000">
            <w:pPr>
              <w:ind w:right="113"/>
              <w:jc w:val="right"/>
              <w:rPr>
                <w:sz w:val="20"/>
              </w:rPr>
            </w:pPr>
            <w:r>
              <w:rPr>
                <w:sz w:val="20"/>
              </w:rPr>
              <w:t>2</w:t>
            </w:r>
          </w:p>
        </w:tc>
        <w:tc>
          <w:tcPr>
            <w:tcW w:w="322" w:type="pct"/>
            <w:noWrap/>
            <w:vAlign w:val="center"/>
          </w:tcPr>
          <w:p w:rsidR="00000000" w:rsidRDefault="00000000">
            <w:pPr>
              <w:ind w:right="113"/>
              <w:jc w:val="right"/>
              <w:rPr>
                <w:sz w:val="20"/>
              </w:rPr>
            </w:pPr>
          </w:p>
        </w:tc>
        <w:tc>
          <w:tcPr>
            <w:tcW w:w="322" w:type="pct"/>
            <w:noWrap/>
            <w:vAlign w:val="center"/>
          </w:tcPr>
          <w:p w:rsidR="00000000" w:rsidRDefault="00000000">
            <w:pPr>
              <w:ind w:right="113"/>
              <w:jc w:val="right"/>
              <w:rPr>
                <w:sz w:val="20"/>
              </w:rPr>
            </w:pPr>
            <w:r>
              <w:rPr>
                <w:sz w:val="20"/>
              </w:rPr>
              <w:t>1</w:t>
            </w:r>
          </w:p>
        </w:tc>
        <w:tc>
          <w:tcPr>
            <w:tcW w:w="322" w:type="pct"/>
            <w:noWrap/>
            <w:vAlign w:val="center"/>
          </w:tcPr>
          <w:p w:rsidR="00000000" w:rsidRDefault="00000000">
            <w:pPr>
              <w:ind w:right="113"/>
              <w:jc w:val="right"/>
              <w:rPr>
                <w:sz w:val="20"/>
              </w:rPr>
            </w:pPr>
            <w:r>
              <w:rPr>
                <w:sz w:val="20"/>
              </w:rPr>
              <w:t>1</w:t>
            </w:r>
          </w:p>
        </w:tc>
        <w:tc>
          <w:tcPr>
            <w:tcW w:w="506" w:type="pct"/>
            <w:noWrap/>
            <w:vAlign w:val="center"/>
          </w:tcPr>
          <w:p w:rsidR="00000000" w:rsidRDefault="00000000">
            <w:pPr>
              <w:ind w:right="340"/>
              <w:jc w:val="right"/>
              <w:rPr>
                <w:bCs/>
                <w:sz w:val="20"/>
              </w:rPr>
            </w:pPr>
            <w:r>
              <w:rPr>
                <w:bCs/>
                <w:sz w:val="20"/>
              </w:rPr>
              <w:t>5</w:t>
            </w:r>
          </w:p>
        </w:tc>
      </w:tr>
      <w:tr w:rsidR="00000000">
        <w:trPr>
          <w:trHeight w:val="20"/>
        </w:trPr>
        <w:tc>
          <w:tcPr>
            <w:tcW w:w="1820" w:type="pct"/>
            <w:noWrap/>
          </w:tcPr>
          <w:p w:rsidR="00000000" w:rsidRDefault="00000000">
            <w:pPr>
              <w:jc w:val="both"/>
              <w:rPr>
                <w:bCs/>
                <w:sz w:val="20"/>
              </w:rPr>
            </w:pPr>
            <w:r>
              <w:rPr>
                <w:bCs/>
                <w:sz w:val="20"/>
              </w:rPr>
              <w:tab/>
              <w:t xml:space="preserve">Total </w:t>
            </w:r>
          </w:p>
        </w:tc>
        <w:tc>
          <w:tcPr>
            <w:tcW w:w="336" w:type="pct"/>
            <w:noWrap/>
            <w:vAlign w:val="center"/>
          </w:tcPr>
          <w:p w:rsidR="00000000" w:rsidRDefault="00000000">
            <w:pPr>
              <w:ind w:right="113"/>
              <w:jc w:val="right"/>
              <w:rPr>
                <w:bCs/>
                <w:sz w:val="20"/>
              </w:rPr>
            </w:pPr>
            <w:r>
              <w:rPr>
                <w:bCs/>
                <w:sz w:val="20"/>
              </w:rPr>
              <w:t>70</w:t>
            </w:r>
          </w:p>
        </w:tc>
        <w:tc>
          <w:tcPr>
            <w:tcW w:w="336" w:type="pct"/>
            <w:noWrap/>
            <w:vAlign w:val="center"/>
          </w:tcPr>
          <w:p w:rsidR="00000000" w:rsidRDefault="00000000">
            <w:pPr>
              <w:ind w:right="113"/>
              <w:jc w:val="right"/>
              <w:rPr>
                <w:bCs/>
                <w:sz w:val="20"/>
              </w:rPr>
            </w:pPr>
            <w:r>
              <w:rPr>
                <w:bCs/>
                <w:sz w:val="20"/>
              </w:rPr>
              <w:t>200</w:t>
            </w:r>
          </w:p>
        </w:tc>
        <w:tc>
          <w:tcPr>
            <w:tcW w:w="365" w:type="pct"/>
            <w:noWrap/>
            <w:vAlign w:val="center"/>
          </w:tcPr>
          <w:p w:rsidR="00000000" w:rsidRDefault="00000000">
            <w:pPr>
              <w:ind w:right="113"/>
              <w:jc w:val="right"/>
              <w:rPr>
                <w:bCs/>
                <w:sz w:val="20"/>
              </w:rPr>
            </w:pPr>
            <w:r>
              <w:rPr>
                <w:bCs/>
                <w:sz w:val="20"/>
              </w:rPr>
              <w:t>18</w:t>
            </w:r>
          </w:p>
        </w:tc>
        <w:tc>
          <w:tcPr>
            <w:tcW w:w="336" w:type="pct"/>
            <w:noWrap/>
            <w:vAlign w:val="center"/>
          </w:tcPr>
          <w:p w:rsidR="00000000" w:rsidRDefault="00000000">
            <w:pPr>
              <w:ind w:right="113"/>
              <w:jc w:val="right"/>
              <w:rPr>
                <w:bCs/>
                <w:sz w:val="20"/>
              </w:rPr>
            </w:pPr>
            <w:r>
              <w:rPr>
                <w:bCs/>
                <w:sz w:val="20"/>
              </w:rPr>
              <w:t>24</w:t>
            </w:r>
          </w:p>
        </w:tc>
        <w:tc>
          <w:tcPr>
            <w:tcW w:w="336" w:type="pct"/>
            <w:noWrap/>
            <w:vAlign w:val="center"/>
          </w:tcPr>
          <w:p w:rsidR="00000000" w:rsidRDefault="00000000">
            <w:pPr>
              <w:ind w:right="113"/>
              <w:jc w:val="right"/>
              <w:rPr>
                <w:bCs/>
                <w:sz w:val="20"/>
              </w:rPr>
            </w:pPr>
            <w:r>
              <w:rPr>
                <w:bCs/>
                <w:sz w:val="20"/>
              </w:rPr>
              <w:t>10</w:t>
            </w:r>
          </w:p>
        </w:tc>
        <w:tc>
          <w:tcPr>
            <w:tcW w:w="322" w:type="pct"/>
            <w:noWrap/>
            <w:vAlign w:val="center"/>
          </w:tcPr>
          <w:p w:rsidR="00000000" w:rsidRDefault="00000000">
            <w:pPr>
              <w:ind w:right="113"/>
              <w:jc w:val="right"/>
              <w:rPr>
                <w:bCs/>
                <w:sz w:val="20"/>
              </w:rPr>
            </w:pPr>
            <w:r>
              <w:rPr>
                <w:bCs/>
                <w:sz w:val="20"/>
              </w:rPr>
              <w:t>18</w:t>
            </w:r>
          </w:p>
        </w:tc>
        <w:tc>
          <w:tcPr>
            <w:tcW w:w="322" w:type="pct"/>
            <w:noWrap/>
            <w:vAlign w:val="center"/>
          </w:tcPr>
          <w:p w:rsidR="00000000" w:rsidRDefault="00000000">
            <w:pPr>
              <w:ind w:right="113"/>
              <w:jc w:val="right"/>
              <w:rPr>
                <w:bCs/>
                <w:sz w:val="20"/>
              </w:rPr>
            </w:pPr>
            <w:r>
              <w:rPr>
                <w:bCs/>
                <w:sz w:val="20"/>
              </w:rPr>
              <w:t>6</w:t>
            </w:r>
          </w:p>
        </w:tc>
        <w:tc>
          <w:tcPr>
            <w:tcW w:w="322" w:type="pct"/>
            <w:noWrap/>
            <w:vAlign w:val="center"/>
          </w:tcPr>
          <w:p w:rsidR="00000000" w:rsidRDefault="00000000">
            <w:pPr>
              <w:ind w:right="113"/>
              <w:jc w:val="right"/>
              <w:rPr>
                <w:bCs/>
                <w:sz w:val="20"/>
              </w:rPr>
            </w:pPr>
            <w:r>
              <w:rPr>
                <w:bCs/>
                <w:sz w:val="20"/>
              </w:rPr>
              <w:t>5</w:t>
            </w:r>
          </w:p>
        </w:tc>
        <w:tc>
          <w:tcPr>
            <w:tcW w:w="506" w:type="pct"/>
            <w:noWrap/>
            <w:vAlign w:val="center"/>
          </w:tcPr>
          <w:p w:rsidR="00000000" w:rsidRDefault="00000000">
            <w:pPr>
              <w:ind w:right="340"/>
              <w:jc w:val="right"/>
              <w:rPr>
                <w:bCs/>
                <w:sz w:val="20"/>
              </w:rPr>
            </w:pPr>
            <w:r>
              <w:rPr>
                <w:bCs/>
                <w:sz w:val="20"/>
              </w:rPr>
              <w:t>351</w:t>
            </w:r>
          </w:p>
        </w:tc>
      </w:tr>
    </w:tbl>
    <w:p w:rsidR="00000000" w:rsidRDefault="00000000">
      <w:pPr>
        <w:keepLines/>
        <w:spacing w:before="480" w:after="240"/>
        <w:ind w:left="567" w:hanging="567"/>
        <w:rPr>
          <w:b/>
          <w:bCs/>
        </w:rPr>
      </w:pPr>
      <w:r>
        <w:rPr>
          <w:b/>
          <w:bCs/>
        </w:rPr>
        <w:t>2.</w:t>
      </w:r>
      <w:r>
        <w:rPr>
          <w:b/>
          <w:bCs/>
        </w:rPr>
        <w:tab/>
        <w:t>A tenor del artículo 4 de la Convención, sírvanse proporcionar datos desglosados complementarios correspondientes a los años 2004 y 2005 sobre las asignaciones presupuestarias y tendencias (en porcentajes de los presupuestos nacional o regionales o PIB) para la aplicación de la Convención en los siguientes ámbitos:</w:t>
      </w:r>
    </w:p>
    <w:p w:rsidR="00000000" w:rsidRDefault="00000000">
      <w:pPr>
        <w:spacing w:after="240"/>
      </w:pPr>
      <w:r>
        <w:tab/>
        <w:t>El presupuesto nacional se utiliza como base para la comparación.  El total del presupuesto nacional (PN) ascendió a unos 794 millones de francos suizos en 2003 y a unos 781 millones de francos en 2004.</w:t>
      </w:r>
    </w:p>
    <w:p w:rsidR="00000000" w:rsidRDefault="00000000">
      <w:pPr>
        <w:spacing w:after="240"/>
        <w:rPr>
          <w:b/>
          <w:bCs/>
        </w:rPr>
      </w:pPr>
      <w:r>
        <w:rPr>
          <w:b/>
          <w:bCs/>
        </w:rPr>
        <w:t>2a)</w:t>
      </w:r>
      <w:r>
        <w:rPr>
          <w:b/>
          <w:bCs/>
        </w:rPr>
        <w:tab/>
        <w:t>Educación (diferentes tipos de educación, es decir, preescolar, primaria y secundaria)</w:t>
      </w:r>
    </w:p>
    <w:p w:rsidR="00000000" w:rsidRDefault="00000000">
      <w:pPr>
        <w:spacing w:after="240"/>
      </w:pPr>
      <w:r>
        <w:tab/>
        <w:t>El gasto total en educación ascendió a unos 121 millones de francos suizos en 2003 y a unos 129 millones de francos suizos en 2004.  Estas cifras equivalen al 15 y el 16%, respectivamente, del total del gasto público anual.  Esta partida presupuestaria, entre otras cosas, abarca las aportaciones a los jardines de infancia y las escuelas primarias, a los centros de enseñanza media, al Centro Terapéutico-Pedagógico, a la formación profesional, a las universidades y universidades de ciencias aplicadas, a las becas, a las ayudas educativas, al asesoramiento en perspectivas de carrera y a la promoción cultural a través del Conservatorio de Música y la Escuela de Bellas Artes.  Las escuelas privadas radicadas en Liechtenstein también reciben una subvención.  En el siguiente cuadro se enumeran los tipos más importantes de enseñanzas.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1916"/>
        <w:gridCol w:w="1992"/>
      </w:tblGrid>
      <w:tr w:rsidR="00000000">
        <w:tblPrEx>
          <w:tblCellMar>
            <w:top w:w="0" w:type="dxa"/>
            <w:bottom w:w="0" w:type="dxa"/>
          </w:tblCellMar>
        </w:tblPrEx>
        <w:tc>
          <w:tcPr>
            <w:tcW w:w="5000" w:type="pct"/>
            <w:gridSpan w:val="3"/>
          </w:tcPr>
          <w:p w:rsidR="00000000" w:rsidRDefault="00000000">
            <w:pPr>
              <w:jc w:val="center"/>
            </w:pPr>
            <w:r>
              <w:t>2003</w:t>
            </w:r>
          </w:p>
        </w:tc>
      </w:tr>
      <w:tr w:rsidR="00000000">
        <w:tblPrEx>
          <w:tblCellMar>
            <w:top w:w="0" w:type="dxa"/>
            <w:bottom w:w="0" w:type="dxa"/>
          </w:tblCellMar>
        </w:tblPrEx>
        <w:tc>
          <w:tcPr>
            <w:tcW w:w="2942" w:type="pct"/>
            <w:vAlign w:val="center"/>
          </w:tcPr>
          <w:p w:rsidR="00000000" w:rsidRDefault="00000000">
            <w:pPr>
              <w:jc w:val="center"/>
            </w:pPr>
            <w:r>
              <w:t>Tipo de enseñanza</w:t>
            </w:r>
          </w:p>
        </w:tc>
        <w:tc>
          <w:tcPr>
            <w:tcW w:w="1009" w:type="pct"/>
            <w:vAlign w:val="center"/>
          </w:tcPr>
          <w:p w:rsidR="00000000" w:rsidRDefault="00000000">
            <w:pPr>
              <w:jc w:val="center"/>
            </w:pPr>
            <w:r>
              <w:t>Contribución</w:t>
            </w:r>
            <w:r>
              <w:br/>
              <w:t>(en CHF)</w:t>
            </w:r>
          </w:p>
        </w:tc>
        <w:tc>
          <w:tcPr>
            <w:tcW w:w="1049" w:type="pct"/>
            <w:vAlign w:val="center"/>
          </w:tcPr>
          <w:p w:rsidR="00000000" w:rsidRDefault="00000000">
            <w:pPr>
              <w:jc w:val="center"/>
            </w:pPr>
            <w:r>
              <w:t>Porcentaje del PN de 2003</w:t>
            </w:r>
          </w:p>
        </w:tc>
      </w:tr>
      <w:tr w:rsidR="00000000">
        <w:tblPrEx>
          <w:tblCellMar>
            <w:top w:w="0" w:type="dxa"/>
            <w:bottom w:w="0" w:type="dxa"/>
          </w:tblCellMar>
        </w:tblPrEx>
        <w:tc>
          <w:tcPr>
            <w:tcW w:w="2942" w:type="pct"/>
          </w:tcPr>
          <w:p w:rsidR="00000000" w:rsidRDefault="00000000">
            <w:r>
              <w:t>Jardín de infancia</w:t>
            </w:r>
          </w:p>
        </w:tc>
        <w:tc>
          <w:tcPr>
            <w:tcW w:w="1009" w:type="pct"/>
          </w:tcPr>
          <w:p w:rsidR="00000000" w:rsidRDefault="00000000">
            <w:pPr>
              <w:ind w:right="364"/>
              <w:jc w:val="right"/>
            </w:pPr>
            <w:r>
              <w:t>1.819.345</w:t>
            </w:r>
          </w:p>
        </w:tc>
        <w:tc>
          <w:tcPr>
            <w:tcW w:w="1049" w:type="pct"/>
          </w:tcPr>
          <w:p w:rsidR="00000000" w:rsidRDefault="00000000">
            <w:pPr>
              <w:ind w:right="680"/>
              <w:jc w:val="right"/>
            </w:pPr>
            <w:r>
              <w:t>0,23</w:t>
            </w:r>
          </w:p>
        </w:tc>
      </w:tr>
      <w:tr w:rsidR="00000000">
        <w:tblPrEx>
          <w:tblCellMar>
            <w:top w:w="0" w:type="dxa"/>
            <w:bottom w:w="0" w:type="dxa"/>
          </w:tblCellMar>
        </w:tblPrEx>
        <w:tc>
          <w:tcPr>
            <w:tcW w:w="2942" w:type="pct"/>
          </w:tcPr>
          <w:p w:rsidR="00000000" w:rsidRDefault="00000000">
            <w:r>
              <w:t>Enseñanza primaria</w:t>
            </w:r>
          </w:p>
        </w:tc>
        <w:tc>
          <w:tcPr>
            <w:tcW w:w="1009" w:type="pct"/>
          </w:tcPr>
          <w:p w:rsidR="00000000" w:rsidRDefault="00000000">
            <w:pPr>
              <w:ind w:right="364"/>
              <w:jc w:val="right"/>
            </w:pPr>
            <w:r>
              <w:t>22.578.782</w:t>
            </w:r>
          </w:p>
        </w:tc>
        <w:tc>
          <w:tcPr>
            <w:tcW w:w="1049" w:type="pct"/>
          </w:tcPr>
          <w:p w:rsidR="00000000" w:rsidRDefault="00000000">
            <w:pPr>
              <w:ind w:right="680"/>
              <w:jc w:val="right"/>
            </w:pPr>
            <w:r>
              <w:t>2,84</w:t>
            </w:r>
          </w:p>
        </w:tc>
      </w:tr>
      <w:tr w:rsidR="00000000">
        <w:tblPrEx>
          <w:tblCellMar>
            <w:top w:w="0" w:type="dxa"/>
            <w:bottom w:w="0" w:type="dxa"/>
          </w:tblCellMar>
        </w:tblPrEx>
        <w:tc>
          <w:tcPr>
            <w:tcW w:w="2942" w:type="pct"/>
          </w:tcPr>
          <w:p w:rsidR="00000000" w:rsidRDefault="00000000">
            <w:r>
              <w:t>Enseñanza media (</w:t>
            </w:r>
            <w:r>
              <w:rPr>
                <w:i/>
                <w:iCs/>
              </w:rPr>
              <w:t>Oberschule, Realschule, Gymnasium</w:t>
            </w:r>
            <w:r>
              <w:t>)</w:t>
            </w:r>
          </w:p>
        </w:tc>
        <w:tc>
          <w:tcPr>
            <w:tcW w:w="1009" w:type="pct"/>
          </w:tcPr>
          <w:p w:rsidR="00000000" w:rsidRDefault="00000000">
            <w:pPr>
              <w:ind w:right="364"/>
              <w:jc w:val="right"/>
            </w:pPr>
            <w:r>
              <w:t>33.066.558</w:t>
            </w:r>
          </w:p>
        </w:tc>
        <w:tc>
          <w:tcPr>
            <w:tcW w:w="1049" w:type="pct"/>
          </w:tcPr>
          <w:p w:rsidR="00000000" w:rsidRDefault="00000000">
            <w:pPr>
              <w:ind w:right="680"/>
              <w:jc w:val="right"/>
            </w:pPr>
            <w:r>
              <w:t>4,16</w:t>
            </w:r>
          </w:p>
        </w:tc>
      </w:tr>
      <w:tr w:rsidR="00000000">
        <w:tblPrEx>
          <w:tblCellMar>
            <w:top w:w="0" w:type="dxa"/>
            <w:bottom w:w="0" w:type="dxa"/>
          </w:tblCellMar>
        </w:tblPrEx>
        <w:tc>
          <w:tcPr>
            <w:tcW w:w="2942" w:type="pct"/>
          </w:tcPr>
          <w:p w:rsidR="00000000" w:rsidRDefault="00000000">
            <w:r>
              <w:t>Formación profesional</w:t>
            </w:r>
          </w:p>
        </w:tc>
        <w:tc>
          <w:tcPr>
            <w:tcW w:w="1009" w:type="pct"/>
          </w:tcPr>
          <w:p w:rsidR="00000000" w:rsidRDefault="00000000">
            <w:pPr>
              <w:ind w:right="364"/>
              <w:jc w:val="right"/>
            </w:pPr>
            <w:r>
              <w:t>9.170.923</w:t>
            </w:r>
          </w:p>
        </w:tc>
        <w:tc>
          <w:tcPr>
            <w:tcW w:w="1049" w:type="pct"/>
          </w:tcPr>
          <w:p w:rsidR="00000000" w:rsidRDefault="00000000">
            <w:pPr>
              <w:ind w:right="680"/>
              <w:jc w:val="right"/>
            </w:pPr>
            <w:r>
              <w:t>1,16</w:t>
            </w:r>
          </w:p>
        </w:tc>
      </w:tr>
      <w:tr w:rsidR="00000000">
        <w:tblPrEx>
          <w:tblCellMar>
            <w:top w:w="0" w:type="dxa"/>
            <w:bottom w:w="0" w:type="dxa"/>
          </w:tblCellMar>
        </w:tblPrEx>
        <w:tc>
          <w:tcPr>
            <w:tcW w:w="2942" w:type="pct"/>
          </w:tcPr>
          <w:p w:rsidR="00000000" w:rsidRDefault="00000000">
            <w:r>
              <w:t>Centros de enseñanza superior (contribuciones a universidades y universidades de ciencias aplicadas)</w:t>
            </w:r>
          </w:p>
        </w:tc>
        <w:tc>
          <w:tcPr>
            <w:tcW w:w="1009" w:type="pct"/>
            <w:vAlign w:val="bottom"/>
          </w:tcPr>
          <w:p w:rsidR="00000000" w:rsidRDefault="00000000">
            <w:pPr>
              <w:ind w:right="364"/>
              <w:jc w:val="right"/>
            </w:pPr>
            <w:r>
              <w:t>13.841.860</w:t>
            </w:r>
          </w:p>
        </w:tc>
        <w:tc>
          <w:tcPr>
            <w:tcW w:w="1049" w:type="pct"/>
            <w:vAlign w:val="bottom"/>
          </w:tcPr>
          <w:p w:rsidR="00000000" w:rsidRDefault="00000000">
            <w:pPr>
              <w:ind w:right="680"/>
              <w:jc w:val="right"/>
            </w:pPr>
            <w:r>
              <w:t>1,74</w:t>
            </w:r>
          </w:p>
        </w:tc>
      </w:tr>
      <w:tr w:rsidR="00000000">
        <w:tblPrEx>
          <w:tblCellMar>
            <w:top w:w="0" w:type="dxa"/>
            <w:bottom w:w="0" w:type="dxa"/>
          </w:tblCellMar>
        </w:tblPrEx>
        <w:tc>
          <w:tcPr>
            <w:tcW w:w="2942" w:type="pct"/>
          </w:tcPr>
          <w:p w:rsidR="00000000" w:rsidRDefault="00000000">
            <w:r>
              <w:t>Programas internacionales (Sócrates, etc.)</w:t>
            </w:r>
          </w:p>
        </w:tc>
        <w:tc>
          <w:tcPr>
            <w:tcW w:w="1009" w:type="pct"/>
          </w:tcPr>
          <w:p w:rsidR="00000000" w:rsidRDefault="00000000">
            <w:pPr>
              <w:ind w:right="364"/>
              <w:jc w:val="right"/>
            </w:pPr>
            <w:r>
              <w:t>780.382</w:t>
            </w:r>
          </w:p>
        </w:tc>
        <w:tc>
          <w:tcPr>
            <w:tcW w:w="1049" w:type="pct"/>
          </w:tcPr>
          <w:p w:rsidR="00000000" w:rsidRDefault="00000000">
            <w:pPr>
              <w:ind w:right="680"/>
              <w:jc w:val="right"/>
            </w:pPr>
            <w:r>
              <w:t>0,10</w:t>
            </w:r>
          </w:p>
        </w:tc>
      </w:tr>
      <w:tr w:rsidR="00000000">
        <w:tblPrEx>
          <w:tblCellMar>
            <w:top w:w="0" w:type="dxa"/>
            <w:bottom w:w="0" w:type="dxa"/>
          </w:tblCellMar>
        </w:tblPrEx>
        <w:tc>
          <w:tcPr>
            <w:tcW w:w="2942" w:type="pct"/>
          </w:tcPr>
          <w:p w:rsidR="00000000" w:rsidRDefault="00000000">
            <w:r>
              <w:t>Becas y préstamos</w:t>
            </w:r>
          </w:p>
        </w:tc>
        <w:tc>
          <w:tcPr>
            <w:tcW w:w="1009" w:type="pct"/>
          </w:tcPr>
          <w:p w:rsidR="00000000" w:rsidRDefault="00000000">
            <w:pPr>
              <w:ind w:right="364"/>
              <w:jc w:val="right"/>
            </w:pPr>
            <w:r>
              <w:t>4.420.296</w:t>
            </w:r>
          </w:p>
        </w:tc>
        <w:tc>
          <w:tcPr>
            <w:tcW w:w="1049" w:type="pct"/>
          </w:tcPr>
          <w:p w:rsidR="00000000" w:rsidRDefault="00000000">
            <w:pPr>
              <w:ind w:right="680"/>
              <w:jc w:val="right"/>
            </w:pPr>
            <w:r>
              <w:t>0,56</w:t>
            </w:r>
          </w:p>
        </w:tc>
      </w:tr>
      <w:tr w:rsidR="00000000">
        <w:tblPrEx>
          <w:tblCellMar>
            <w:top w:w="0" w:type="dxa"/>
            <w:bottom w:w="0" w:type="dxa"/>
          </w:tblCellMar>
        </w:tblPrEx>
        <w:tc>
          <w:tcPr>
            <w:tcW w:w="2942" w:type="pct"/>
          </w:tcPr>
          <w:p w:rsidR="00000000" w:rsidRDefault="00000000">
            <w:r>
              <w:t>Escuela de Bellas Artes</w:t>
            </w:r>
          </w:p>
        </w:tc>
        <w:tc>
          <w:tcPr>
            <w:tcW w:w="1009" w:type="pct"/>
          </w:tcPr>
          <w:p w:rsidR="00000000" w:rsidRDefault="00000000">
            <w:pPr>
              <w:ind w:right="364"/>
              <w:jc w:val="right"/>
            </w:pPr>
            <w:r>
              <w:t>205.133</w:t>
            </w:r>
          </w:p>
        </w:tc>
        <w:tc>
          <w:tcPr>
            <w:tcW w:w="1049" w:type="pct"/>
          </w:tcPr>
          <w:p w:rsidR="00000000" w:rsidRDefault="00000000">
            <w:pPr>
              <w:ind w:right="680"/>
              <w:jc w:val="right"/>
            </w:pPr>
            <w:r>
              <w:t>0,03</w:t>
            </w:r>
          </w:p>
        </w:tc>
      </w:tr>
      <w:tr w:rsidR="00000000">
        <w:tblPrEx>
          <w:tblCellMar>
            <w:top w:w="0" w:type="dxa"/>
            <w:bottom w:w="0" w:type="dxa"/>
          </w:tblCellMar>
        </w:tblPrEx>
        <w:tc>
          <w:tcPr>
            <w:tcW w:w="2942" w:type="pct"/>
          </w:tcPr>
          <w:p w:rsidR="00000000" w:rsidRDefault="00000000">
            <w:r>
              <w:t>Conservatorio de Música</w:t>
            </w:r>
          </w:p>
        </w:tc>
        <w:tc>
          <w:tcPr>
            <w:tcW w:w="1009" w:type="pct"/>
          </w:tcPr>
          <w:p w:rsidR="00000000" w:rsidRDefault="00000000">
            <w:pPr>
              <w:ind w:right="364"/>
              <w:jc w:val="right"/>
            </w:pPr>
            <w:r>
              <w:t>3.684.725</w:t>
            </w:r>
          </w:p>
        </w:tc>
        <w:tc>
          <w:tcPr>
            <w:tcW w:w="1049" w:type="pct"/>
          </w:tcPr>
          <w:p w:rsidR="00000000" w:rsidRDefault="00000000">
            <w:pPr>
              <w:ind w:right="680"/>
              <w:jc w:val="right"/>
            </w:pPr>
            <w:r>
              <w:t>0,46</w:t>
            </w:r>
          </w:p>
        </w:tc>
      </w:tr>
      <w:tr w:rsidR="00000000">
        <w:tblPrEx>
          <w:tblCellMar>
            <w:top w:w="0" w:type="dxa"/>
            <w:bottom w:w="0" w:type="dxa"/>
          </w:tblCellMar>
        </w:tblPrEx>
        <w:tc>
          <w:tcPr>
            <w:tcW w:w="2942" w:type="pct"/>
          </w:tcPr>
          <w:p w:rsidR="00000000" w:rsidRDefault="00000000">
            <w:r>
              <w:t>Otros centros (incluidos los centros privados)</w:t>
            </w:r>
          </w:p>
        </w:tc>
        <w:tc>
          <w:tcPr>
            <w:tcW w:w="1009" w:type="pct"/>
          </w:tcPr>
          <w:p w:rsidR="00000000" w:rsidRDefault="00000000">
            <w:pPr>
              <w:ind w:right="364"/>
              <w:jc w:val="right"/>
            </w:pPr>
            <w:r>
              <w:t>633.220</w:t>
            </w:r>
          </w:p>
        </w:tc>
        <w:tc>
          <w:tcPr>
            <w:tcW w:w="1049" w:type="pct"/>
          </w:tcPr>
          <w:p w:rsidR="00000000" w:rsidRDefault="00000000">
            <w:pPr>
              <w:ind w:right="680"/>
              <w:jc w:val="right"/>
            </w:pPr>
            <w:r>
              <w:t>0,08</w:t>
            </w:r>
          </w:p>
        </w:tc>
      </w:tr>
    </w:tbl>
    <w:p w:rsidR="00000000" w:rsidRDefault="00000000">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6"/>
        <w:gridCol w:w="1917"/>
        <w:gridCol w:w="1992"/>
      </w:tblGrid>
      <w:tr w:rsidR="00000000">
        <w:tblPrEx>
          <w:tblCellMar>
            <w:top w:w="0" w:type="dxa"/>
            <w:bottom w:w="0" w:type="dxa"/>
          </w:tblCellMar>
        </w:tblPrEx>
        <w:trPr>
          <w:cantSplit/>
          <w:tblHeader/>
        </w:trPr>
        <w:tc>
          <w:tcPr>
            <w:tcW w:w="9495" w:type="dxa"/>
            <w:gridSpan w:val="3"/>
          </w:tcPr>
          <w:p w:rsidR="00000000" w:rsidRDefault="00000000">
            <w:pPr>
              <w:jc w:val="center"/>
            </w:pPr>
            <w:r>
              <w:br w:type="page"/>
              <w:t>2004</w:t>
            </w:r>
          </w:p>
        </w:tc>
      </w:tr>
      <w:tr w:rsidR="00000000">
        <w:tblPrEx>
          <w:tblCellMar>
            <w:top w:w="0" w:type="dxa"/>
            <w:bottom w:w="0" w:type="dxa"/>
          </w:tblCellMar>
        </w:tblPrEx>
        <w:trPr>
          <w:tblHeader/>
        </w:trPr>
        <w:tc>
          <w:tcPr>
            <w:tcW w:w="5586" w:type="dxa"/>
            <w:vAlign w:val="center"/>
          </w:tcPr>
          <w:p w:rsidR="00000000" w:rsidRDefault="00000000">
            <w:pPr>
              <w:jc w:val="center"/>
            </w:pPr>
            <w:r>
              <w:t>Tipo de enseñanza</w:t>
            </w:r>
          </w:p>
        </w:tc>
        <w:tc>
          <w:tcPr>
            <w:tcW w:w="1917" w:type="dxa"/>
            <w:vAlign w:val="center"/>
          </w:tcPr>
          <w:p w:rsidR="00000000" w:rsidRDefault="00000000">
            <w:pPr>
              <w:jc w:val="center"/>
            </w:pPr>
            <w:r>
              <w:t>Contribución</w:t>
            </w:r>
            <w:r>
              <w:br/>
              <w:t>(en CHF)</w:t>
            </w:r>
          </w:p>
        </w:tc>
        <w:tc>
          <w:tcPr>
            <w:tcW w:w="1992" w:type="dxa"/>
            <w:vAlign w:val="center"/>
          </w:tcPr>
          <w:p w:rsidR="00000000" w:rsidRDefault="00000000">
            <w:pPr>
              <w:jc w:val="center"/>
            </w:pPr>
            <w:r>
              <w:t>Porcentaje del PN de 2004</w:t>
            </w:r>
          </w:p>
        </w:tc>
      </w:tr>
      <w:tr w:rsidR="00000000">
        <w:tblPrEx>
          <w:tblCellMar>
            <w:top w:w="0" w:type="dxa"/>
            <w:bottom w:w="0" w:type="dxa"/>
          </w:tblCellMar>
        </w:tblPrEx>
        <w:tc>
          <w:tcPr>
            <w:tcW w:w="5586" w:type="dxa"/>
          </w:tcPr>
          <w:p w:rsidR="00000000" w:rsidRDefault="00000000">
            <w:r>
              <w:t>Jardines de infancia</w:t>
            </w:r>
          </w:p>
        </w:tc>
        <w:tc>
          <w:tcPr>
            <w:tcW w:w="1917" w:type="dxa"/>
          </w:tcPr>
          <w:p w:rsidR="00000000" w:rsidRDefault="00000000">
            <w:pPr>
              <w:ind w:right="364"/>
              <w:jc w:val="right"/>
            </w:pPr>
            <w:r>
              <w:t>5.334.792</w:t>
            </w:r>
          </w:p>
        </w:tc>
        <w:tc>
          <w:tcPr>
            <w:tcW w:w="1992" w:type="dxa"/>
          </w:tcPr>
          <w:p w:rsidR="00000000" w:rsidRDefault="00000000">
            <w:pPr>
              <w:ind w:right="680"/>
              <w:jc w:val="right"/>
            </w:pPr>
            <w:r>
              <w:t>0,67</w:t>
            </w:r>
          </w:p>
        </w:tc>
      </w:tr>
      <w:tr w:rsidR="00000000">
        <w:tblPrEx>
          <w:tblCellMar>
            <w:top w:w="0" w:type="dxa"/>
            <w:bottom w:w="0" w:type="dxa"/>
          </w:tblCellMar>
        </w:tblPrEx>
        <w:tc>
          <w:tcPr>
            <w:tcW w:w="5586" w:type="dxa"/>
          </w:tcPr>
          <w:p w:rsidR="00000000" w:rsidRDefault="00000000">
            <w:r>
              <w:t>Enseñanza primaria</w:t>
            </w:r>
          </w:p>
        </w:tc>
        <w:tc>
          <w:tcPr>
            <w:tcW w:w="1917" w:type="dxa"/>
          </w:tcPr>
          <w:p w:rsidR="00000000" w:rsidRDefault="00000000">
            <w:pPr>
              <w:ind w:right="364"/>
              <w:jc w:val="right"/>
            </w:pPr>
            <w:r>
              <w:t>23.445.202</w:t>
            </w:r>
          </w:p>
        </w:tc>
        <w:tc>
          <w:tcPr>
            <w:tcW w:w="1992" w:type="dxa"/>
          </w:tcPr>
          <w:p w:rsidR="00000000" w:rsidRDefault="00000000">
            <w:pPr>
              <w:ind w:right="680"/>
              <w:jc w:val="right"/>
            </w:pPr>
            <w:r>
              <w:t>2,95</w:t>
            </w:r>
          </w:p>
        </w:tc>
      </w:tr>
      <w:tr w:rsidR="00000000">
        <w:tblPrEx>
          <w:tblCellMar>
            <w:top w:w="0" w:type="dxa"/>
            <w:bottom w:w="0" w:type="dxa"/>
          </w:tblCellMar>
        </w:tblPrEx>
        <w:tc>
          <w:tcPr>
            <w:tcW w:w="5586" w:type="dxa"/>
          </w:tcPr>
          <w:p w:rsidR="00000000" w:rsidRDefault="00000000">
            <w:r>
              <w:t>Enseñanza media (</w:t>
            </w:r>
            <w:r>
              <w:rPr>
                <w:i/>
                <w:iCs/>
              </w:rPr>
              <w:t>Oberschule. Realschule. Gymnasium</w:t>
            </w:r>
            <w:r>
              <w:t>)</w:t>
            </w:r>
          </w:p>
        </w:tc>
        <w:tc>
          <w:tcPr>
            <w:tcW w:w="1917" w:type="dxa"/>
          </w:tcPr>
          <w:p w:rsidR="00000000" w:rsidRDefault="00000000">
            <w:pPr>
              <w:ind w:right="364"/>
              <w:jc w:val="right"/>
            </w:pPr>
            <w:r>
              <w:t>35.399.025</w:t>
            </w:r>
          </w:p>
        </w:tc>
        <w:tc>
          <w:tcPr>
            <w:tcW w:w="1992" w:type="dxa"/>
          </w:tcPr>
          <w:p w:rsidR="00000000" w:rsidRDefault="00000000">
            <w:pPr>
              <w:ind w:right="680"/>
              <w:jc w:val="right"/>
            </w:pPr>
            <w:r>
              <w:t>4,46</w:t>
            </w:r>
          </w:p>
        </w:tc>
      </w:tr>
      <w:tr w:rsidR="00000000">
        <w:tblPrEx>
          <w:tblCellMar>
            <w:top w:w="0" w:type="dxa"/>
            <w:bottom w:w="0" w:type="dxa"/>
          </w:tblCellMar>
        </w:tblPrEx>
        <w:tc>
          <w:tcPr>
            <w:tcW w:w="5586" w:type="dxa"/>
          </w:tcPr>
          <w:p w:rsidR="00000000" w:rsidRDefault="00000000">
            <w:r>
              <w:t>Formación profesional</w:t>
            </w:r>
          </w:p>
        </w:tc>
        <w:tc>
          <w:tcPr>
            <w:tcW w:w="1917" w:type="dxa"/>
          </w:tcPr>
          <w:p w:rsidR="00000000" w:rsidRDefault="00000000">
            <w:pPr>
              <w:ind w:right="364"/>
              <w:jc w:val="right"/>
            </w:pPr>
            <w:r>
              <w:t>9.229.067</w:t>
            </w:r>
          </w:p>
        </w:tc>
        <w:tc>
          <w:tcPr>
            <w:tcW w:w="1992" w:type="dxa"/>
          </w:tcPr>
          <w:p w:rsidR="00000000" w:rsidRDefault="00000000">
            <w:pPr>
              <w:ind w:right="680"/>
              <w:jc w:val="right"/>
            </w:pPr>
            <w:r>
              <w:t>1,16</w:t>
            </w:r>
          </w:p>
        </w:tc>
      </w:tr>
      <w:tr w:rsidR="00000000">
        <w:tblPrEx>
          <w:tblCellMar>
            <w:top w:w="0" w:type="dxa"/>
            <w:bottom w:w="0" w:type="dxa"/>
          </w:tblCellMar>
        </w:tblPrEx>
        <w:tc>
          <w:tcPr>
            <w:tcW w:w="5586" w:type="dxa"/>
          </w:tcPr>
          <w:p w:rsidR="00000000" w:rsidRDefault="00000000">
            <w:r>
              <w:t>Centros de enseñanza superior (contribuciones a universidades y universidades de ciencias aplicadas)</w:t>
            </w:r>
          </w:p>
        </w:tc>
        <w:tc>
          <w:tcPr>
            <w:tcW w:w="1917" w:type="dxa"/>
            <w:vAlign w:val="bottom"/>
          </w:tcPr>
          <w:p w:rsidR="00000000" w:rsidRDefault="00000000">
            <w:pPr>
              <w:ind w:right="364"/>
              <w:jc w:val="right"/>
            </w:pPr>
            <w:r>
              <w:t>14.381.701</w:t>
            </w:r>
          </w:p>
        </w:tc>
        <w:tc>
          <w:tcPr>
            <w:tcW w:w="1992" w:type="dxa"/>
            <w:vAlign w:val="bottom"/>
          </w:tcPr>
          <w:p w:rsidR="00000000" w:rsidRDefault="00000000">
            <w:pPr>
              <w:ind w:right="680"/>
              <w:jc w:val="right"/>
            </w:pPr>
            <w:r>
              <w:t>1,81</w:t>
            </w:r>
          </w:p>
        </w:tc>
      </w:tr>
      <w:tr w:rsidR="00000000">
        <w:tblPrEx>
          <w:tblCellMar>
            <w:top w:w="0" w:type="dxa"/>
            <w:bottom w:w="0" w:type="dxa"/>
          </w:tblCellMar>
        </w:tblPrEx>
        <w:tc>
          <w:tcPr>
            <w:tcW w:w="5586" w:type="dxa"/>
          </w:tcPr>
          <w:p w:rsidR="00000000" w:rsidRDefault="00000000">
            <w:r>
              <w:t>Programas internacionales (Sócrates, etc.)</w:t>
            </w:r>
          </w:p>
        </w:tc>
        <w:tc>
          <w:tcPr>
            <w:tcW w:w="1917" w:type="dxa"/>
          </w:tcPr>
          <w:p w:rsidR="00000000" w:rsidRDefault="00000000">
            <w:pPr>
              <w:ind w:right="364"/>
              <w:jc w:val="right"/>
            </w:pPr>
            <w:r>
              <w:t>737.765</w:t>
            </w:r>
          </w:p>
        </w:tc>
        <w:tc>
          <w:tcPr>
            <w:tcW w:w="1992" w:type="dxa"/>
          </w:tcPr>
          <w:p w:rsidR="00000000" w:rsidRDefault="00000000">
            <w:pPr>
              <w:ind w:right="680"/>
              <w:jc w:val="right"/>
            </w:pPr>
            <w:r>
              <w:t>0,09</w:t>
            </w:r>
          </w:p>
        </w:tc>
      </w:tr>
      <w:tr w:rsidR="00000000">
        <w:tblPrEx>
          <w:tblCellMar>
            <w:top w:w="0" w:type="dxa"/>
            <w:bottom w:w="0" w:type="dxa"/>
          </w:tblCellMar>
        </w:tblPrEx>
        <w:tc>
          <w:tcPr>
            <w:tcW w:w="5586" w:type="dxa"/>
          </w:tcPr>
          <w:p w:rsidR="00000000" w:rsidRDefault="00000000">
            <w:r>
              <w:t>Becas y préstamos</w:t>
            </w:r>
          </w:p>
        </w:tc>
        <w:tc>
          <w:tcPr>
            <w:tcW w:w="1917" w:type="dxa"/>
          </w:tcPr>
          <w:p w:rsidR="00000000" w:rsidRDefault="00000000">
            <w:pPr>
              <w:ind w:right="364"/>
              <w:jc w:val="right"/>
            </w:pPr>
            <w:r>
              <w:t>4.286.492</w:t>
            </w:r>
          </w:p>
        </w:tc>
        <w:tc>
          <w:tcPr>
            <w:tcW w:w="1992" w:type="dxa"/>
          </w:tcPr>
          <w:p w:rsidR="00000000" w:rsidRDefault="00000000">
            <w:pPr>
              <w:ind w:right="680"/>
              <w:jc w:val="right"/>
            </w:pPr>
            <w:r>
              <w:t>0,54</w:t>
            </w:r>
          </w:p>
        </w:tc>
      </w:tr>
      <w:tr w:rsidR="00000000">
        <w:tblPrEx>
          <w:tblCellMar>
            <w:top w:w="0" w:type="dxa"/>
            <w:bottom w:w="0" w:type="dxa"/>
          </w:tblCellMar>
        </w:tblPrEx>
        <w:tc>
          <w:tcPr>
            <w:tcW w:w="5586" w:type="dxa"/>
          </w:tcPr>
          <w:p w:rsidR="00000000" w:rsidRDefault="00000000">
            <w:r>
              <w:t>Escuela de Bellas Artes</w:t>
            </w:r>
          </w:p>
        </w:tc>
        <w:tc>
          <w:tcPr>
            <w:tcW w:w="1917" w:type="dxa"/>
          </w:tcPr>
          <w:p w:rsidR="00000000" w:rsidRDefault="00000000">
            <w:pPr>
              <w:ind w:right="364"/>
              <w:jc w:val="right"/>
            </w:pPr>
            <w:r>
              <w:t>259.499</w:t>
            </w:r>
          </w:p>
        </w:tc>
        <w:tc>
          <w:tcPr>
            <w:tcW w:w="1992" w:type="dxa"/>
          </w:tcPr>
          <w:p w:rsidR="00000000" w:rsidRDefault="00000000">
            <w:pPr>
              <w:ind w:right="680"/>
              <w:jc w:val="right"/>
            </w:pPr>
            <w:r>
              <w:t>0,03</w:t>
            </w:r>
          </w:p>
        </w:tc>
      </w:tr>
      <w:tr w:rsidR="00000000">
        <w:tblPrEx>
          <w:tblCellMar>
            <w:top w:w="0" w:type="dxa"/>
            <w:bottom w:w="0" w:type="dxa"/>
          </w:tblCellMar>
        </w:tblPrEx>
        <w:tc>
          <w:tcPr>
            <w:tcW w:w="5586" w:type="dxa"/>
          </w:tcPr>
          <w:p w:rsidR="00000000" w:rsidRDefault="00000000">
            <w:r>
              <w:t>Conservatorio de Música</w:t>
            </w:r>
          </w:p>
        </w:tc>
        <w:tc>
          <w:tcPr>
            <w:tcW w:w="1917" w:type="dxa"/>
          </w:tcPr>
          <w:p w:rsidR="00000000" w:rsidRDefault="00000000">
            <w:pPr>
              <w:ind w:right="364"/>
              <w:jc w:val="right"/>
            </w:pPr>
            <w:r>
              <w:t>3.734.706</w:t>
            </w:r>
          </w:p>
        </w:tc>
        <w:tc>
          <w:tcPr>
            <w:tcW w:w="1992" w:type="dxa"/>
          </w:tcPr>
          <w:p w:rsidR="00000000" w:rsidRDefault="00000000">
            <w:pPr>
              <w:ind w:right="680"/>
              <w:jc w:val="right"/>
            </w:pPr>
            <w:r>
              <w:t>0,47</w:t>
            </w:r>
          </w:p>
        </w:tc>
      </w:tr>
      <w:tr w:rsidR="00000000">
        <w:tblPrEx>
          <w:tblCellMar>
            <w:top w:w="0" w:type="dxa"/>
            <w:bottom w:w="0" w:type="dxa"/>
          </w:tblCellMar>
        </w:tblPrEx>
        <w:tc>
          <w:tcPr>
            <w:tcW w:w="5586" w:type="dxa"/>
          </w:tcPr>
          <w:p w:rsidR="00000000" w:rsidRDefault="00000000">
            <w:r>
              <w:t>Otros centros (incluidos los centros privados)</w:t>
            </w:r>
          </w:p>
        </w:tc>
        <w:tc>
          <w:tcPr>
            <w:tcW w:w="1917" w:type="dxa"/>
          </w:tcPr>
          <w:p w:rsidR="00000000" w:rsidRDefault="00000000">
            <w:pPr>
              <w:ind w:right="364"/>
              <w:jc w:val="right"/>
            </w:pPr>
            <w:r>
              <w:t>806.335</w:t>
            </w:r>
          </w:p>
        </w:tc>
        <w:tc>
          <w:tcPr>
            <w:tcW w:w="1992" w:type="dxa"/>
          </w:tcPr>
          <w:p w:rsidR="00000000" w:rsidRDefault="00000000">
            <w:pPr>
              <w:ind w:right="680"/>
              <w:jc w:val="right"/>
            </w:pPr>
            <w:r>
              <w:t>0,10</w:t>
            </w:r>
          </w:p>
        </w:tc>
      </w:tr>
    </w:tbl>
    <w:p w:rsidR="00000000" w:rsidRDefault="00000000">
      <w:pPr>
        <w:spacing w:before="480" w:after="240"/>
      </w:pPr>
      <w:r>
        <w:rPr>
          <w:i/>
          <w:iCs/>
        </w:rPr>
        <w:t>Nota</w:t>
      </w:r>
      <w:r>
        <w:t>:  La diferencia observable en los ejercicios de 2003 y 2004 en cuanto al gasto para los jardines de infancia obedece a que la distribución entre el Estado y los municipios de los gastos en concepto de retribuciones de los docentes de los jardines de infancia fue modificada el 1º de agosto de 2004.  Los municipios aportan el 50% de los gastos de personal de los jardines de infancia y las escuelas de enseñanza primaria.</w:t>
      </w:r>
    </w:p>
    <w:p w:rsidR="00000000" w:rsidRDefault="00000000">
      <w:pPr>
        <w:spacing w:after="240"/>
        <w:rPr>
          <w:b/>
          <w:bCs/>
        </w:rPr>
      </w:pPr>
      <w:r>
        <w:rPr>
          <w:b/>
          <w:bCs/>
        </w:rPr>
        <w:t>2b)</w:t>
      </w:r>
      <w:r>
        <w:rPr>
          <w:b/>
          <w:bCs/>
        </w:rPr>
        <w:tab/>
        <w:t>Servicios de atención del niño, en particular guarderías y centros de atención diurna</w:t>
      </w:r>
    </w:p>
    <w:p w:rsidR="00000000" w:rsidRDefault="00000000">
      <w:pPr>
        <w:spacing w:after="240"/>
      </w:pPr>
      <w:r>
        <w:tab/>
        <w:t>El total del gasto público en servicios de atención del niño ascendió a 2,24 millones de francos suizos.  Esta cifra la sufragan conjuntamente el Estado y los municipios.  Se compone de contribuciones individualizadas y contribuciones generales a los centros.  La contribución del Estado al mantenimiento de estos centros en 2004 ascendió a aproximadamente 1,2 millones de francos y las contribuciones individualizadas a unos 140.000 francos.  El total del gasto público ascendió a 1,34 millones de francos suizos, esto es el 0,17% del presupuesto nacional para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0"/>
        <w:gridCol w:w="2477"/>
        <w:gridCol w:w="1904"/>
        <w:gridCol w:w="1890"/>
      </w:tblGrid>
      <w:tr w:rsidR="00000000">
        <w:tc>
          <w:tcPr>
            <w:tcW w:w="9571" w:type="dxa"/>
            <w:gridSpan w:val="4"/>
            <w:tcBorders>
              <w:top w:val="single" w:sz="4" w:space="0" w:color="auto"/>
              <w:left w:val="single" w:sz="4" w:space="0" w:color="auto"/>
              <w:bottom w:val="single" w:sz="4" w:space="0" w:color="auto"/>
              <w:right w:val="single" w:sz="4" w:space="0" w:color="auto"/>
            </w:tcBorders>
          </w:tcPr>
          <w:p w:rsidR="00000000" w:rsidRDefault="00000000">
            <w:pPr>
              <w:jc w:val="center"/>
              <w:rPr>
                <w:bCs/>
                <w:lang w:val="es-ES_tradnl"/>
              </w:rPr>
            </w:pPr>
            <w:r>
              <w:rPr>
                <w:bCs/>
                <w:lang w:val="es-ES_tradnl"/>
              </w:rPr>
              <w:t>2004</w:t>
            </w:r>
          </w:p>
        </w:tc>
      </w:tr>
      <w:tr w:rsidR="00000000">
        <w:tc>
          <w:tcPr>
            <w:tcW w:w="5777" w:type="dxa"/>
            <w:gridSpan w:val="2"/>
            <w:tcBorders>
              <w:left w:val="single" w:sz="4" w:space="0" w:color="auto"/>
              <w:bottom w:val="single" w:sz="4" w:space="0" w:color="auto"/>
            </w:tcBorders>
          </w:tcPr>
          <w:p w:rsidR="00000000" w:rsidRDefault="00000000">
            <w:pPr>
              <w:jc w:val="both"/>
              <w:rPr>
                <w:bCs/>
                <w:lang w:val="es-ES_tradnl"/>
              </w:rPr>
            </w:pPr>
          </w:p>
        </w:tc>
        <w:tc>
          <w:tcPr>
            <w:tcW w:w="1904" w:type="dxa"/>
            <w:tcBorders>
              <w:bottom w:val="single" w:sz="4" w:space="0" w:color="auto"/>
            </w:tcBorders>
          </w:tcPr>
          <w:p w:rsidR="00000000" w:rsidRDefault="00000000">
            <w:pPr>
              <w:jc w:val="center"/>
              <w:rPr>
                <w:bCs/>
              </w:rPr>
            </w:pPr>
            <w:r>
              <w:rPr>
                <w:bCs/>
              </w:rPr>
              <w:t>Contribuciones individualizadas</w:t>
            </w:r>
            <w:r>
              <w:rPr>
                <w:bCs/>
              </w:rPr>
              <w:br/>
              <w:t>(en CHF)</w:t>
            </w:r>
          </w:p>
        </w:tc>
        <w:tc>
          <w:tcPr>
            <w:tcW w:w="1890" w:type="dxa"/>
            <w:tcBorders>
              <w:bottom w:val="single" w:sz="4" w:space="0" w:color="auto"/>
              <w:right w:val="single" w:sz="4" w:space="0" w:color="auto"/>
            </w:tcBorders>
          </w:tcPr>
          <w:p w:rsidR="00000000" w:rsidRDefault="00000000">
            <w:pPr>
              <w:jc w:val="center"/>
              <w:rPr>
                <w:bCs/>
              </w:rPr>
            </w:pPr>
            <w:r>
              <w:rPr>
                <w:bCs/>
              </w:rPr>
              <w:t>Contribuciones institucionales</w:t>
            </w:r>
            <w:r>
              <w:rPr>
                <w:bCs/>
              </w:rPr>
              <w:br/>
              <w:t>(en CHF)</w:t>
            </w:r>
          </w:p>
        </w:tc>
      </w:tr>
      <w:tr w:rsidR="00000000">
        <w:trPr>
          <w:cantSplit/>
        </w:trPr>
        <w:tc>
          <w:tcPr>
            <w:tcW w:w="3300" w:type="dxa"/>
            <w:vMerge w:val="restart"/>
            <w:tcBorders>
              <w:top w:val="single" w:sz="4" w:space="0" w:color="auto"/>
              <w:left w:val="single" w:sz="4" w:space="0" w:color="auto"/>
              <w:right w:val="single" w:sz="4" w:space="0" w:color="auto"/>
            </w:tcBorders>
            <w:vAlign w:val="center"/>
          </w:tcPr>
          <w:p w:rsidR="00000000" w:rsidRDefault="00000000">
            <w:pPr>
              <w:rPr>
                <w:bCs/>
              </w:rPr>
            </w:pPr>
            <w:r>
              <w:rPr>
                <w:bCs/>
              </w:rPr>
              <w:t>Atención diurna fuera del hogar</w:t>
            </w:r>
          </w:p>
        </w:tc>
        <w:tc>
          <w:tcPr>
            <w:tcW w:w="2477" w:type="dxa"/>
            <w:tcBorders>
              <w:top w:val="single" w:sz="4" w:space="0" w:color="auto"/>
              <w:left w:val="single" w:sz="4" w:space="0" w:color="auto"/>
            </w:tcBorders>
          </w:tcPr>
          <w:p w:rsidR="00000000" w:rsidRDefault="00000000">
            <w:pPr>
              <w:rPr>
                <w:bCs/>
                <w:lang w:val="es-ES_tradnl"/>
              </w:rPr>
            </w:pPr>
            <w:r>
              <w:rPr>
                <w:bCs/>
                <w:lang w:val="es-ES_tradnl"/>
              </w:rPr>
              <w:t>Guarderías</w:t>
            </w:r>
          </w:p>
        </w:tc>
        <w:tc>
          <w:tcPr>
            <w:tcW w:w="1904" w:type="dxa"/>
            <w:tcBorders>
              <w:top w:val="single" w:sz="4" w:space="0" w:color="auto"/>
            </w:tcBorders>
          </w:tcPr>
          <w:p w:rsidR="00000000" w:rsidRDefault="00000000">
            <w:pPr>
              <w:ind w:left="-961" w:right="368" w:hanging="479"/>
              <w:jc w:val="right"/>
              <w:rPr>
                <w:bCs/>
                <w:lang w:val="es-ES_tradnl"/>
              </w:rPr>
            </w:pPr>
            <w:r>
              <w:rPr>
                <w:bCs/>
                <w:lang w:val="es-ES_tradnl"/>
              </w:rPr>
              <w:t>86.077,30</w:t>
            </w:r>
          </w:p>
        </w:tc>
        <w:tc>
          <w:tcPr>
            <w:tcW w:w="1890" w:type="dxa"/>
            <w:tcBorders>
              <w:top w:val="single" w:sz="4" w:space="0" w:color="auto"/>
              <w:right w:val="single" w:sz="4" w:space="0" w:color="auto"/>
            </w:tcBorders>
          </w:tcPr>
          <w:p w:rsidR="00000000" w:rsidRDefault="00000000">
            <w:pPr>
              <w:ind w:left="-961" w:right="368" w:hanging="479"/>
              <w:jc w:val="right"/>
              <w:rPr>
                <w:bCs/>
                <w:lang w:val="es-ES_tradnl"/>
              </w:rPr>
            </w:pPr>
            <w:r>
              <w:rPr>
                <w:bCs/>
                <w:lang w:val="es-ES_tradnl"/>
              </w:rPr>
              <w:t>1.680.760</w:t>
            </w:r>
          </w:p>
        </w:tc>
      </w:tr>
      <w:tr w:rsidR="00000000">
        <w:trPr>
          <w:cantSplit/>
        </w:trPr>
        <w:tc>
          <w:tcPr>
            <w:tcW w:w="3300" w:type="dxa"/>
            <w:vMerge/>
            <w:tcBorders>
              <w:left w:val="single" w:sz="4" w:space="0" w:color="auto"/>
              <w:right w:val="single" w:sz="4" w:space="0" w:color="auto"/>
            </w:tcBorders>
          </w:tcPr>
          <w:p w:rsidR="00000000" w:rsidRDefault="00000000">
            <w:pPr>
              <w:jc w:val="both"/>
              <w:rPr>
                <w:bCs/>
                <w:lang w:val="es-ES_tradnl"/>
              </w:rPr>
            </w:pPr>
          </w:p>
        </w:tc>
        <w:tc>
          <w:tcPr>
            <w:tcW w:w="2477" w:type="dxa"/>
            <w:tcBorders>
              <w:left w:val="single" w:sz="4" w:space="0" w:color="auto"/>
            </w:tcBorders>
          </w:tcPr>
          <w:p w:rsidR="00000000" w:rsidRDefault="00000000">
            <w:pPr>
              <w:rPr>
                <w:bCs/>
              </w:rPr>
            </w:pPr>
            <w:r>
              <w:rPr>
                <w:bCs/>
              </w:rPr>
              <w:t>Foro padres-niño</w:t>
            </w:r>
          </w:p>
        </w:tc>
        <w:tc>
          <w:tcPr>
            <w:tcW w:w="1904" w:type="dxa"/>
            <w:vAlign w:val="bottom"/>
          </w:tcPr>
          <w:p w:rsidR="00000000" w:rsidRDefault="00000000">
            <w:pPr>
              <w:ind w:left="-961" w:right="368" w:hanging="479"/>
              <w:jc w:val="right"/>
              <w:rPr>
                <w:bCs/>
              </w:rPr>
            </w:pPr>
            <w:r>
              <w:rPr>
                <w:bCs/>
              </w:rPr>
              <w:t>14.</w:t>
            </w:r>
            <w:r>
              <w:rPr>
                <w:bCs/>
                <w:lang w:val="es-ES_tradnl"/>
              </w:rPr>
              <w:t>991</w:t>
            </w:r>
            <w:r>
              <w:rPr>
                <w:bCs/>
              </w:rPr>
              <w:t>,</w:t>
            </w:r>
            <w:r>
              <w:rPr>
                <w:bCs/>
                <w:lang w:val="es-ES_tradnl"/>
              </w:rPr>
              <w:t>7</w:t>
            </w:r>
            <w:r>
              <w:rPr>
                <w:bCs/>
              </w:rPr>
              <w:t>0</w:t>
            </w:r>
          </w:p>
        </w:tc>
        <w:tc>
          <w:tcPr>
            <w:tcW w:w="1890" w:type="dxa"/>
            <w:tcBorders>
              <w:right w:val="single" w:sz="4" w:space="0" w:color="auto"/>
            </w:tcBorders>
            <w:vAlign w:val="bottom"/>
          </w:tcPr>
          <w:p w:rsidR="00000000" w:rsidRDefault="00000000">
            <w:pPr>
              <w:ind w:left="-961" w:right="368" w:hanging="479"/>
              <w:jc w:val="right"/>
              <w:rPr>
                <w:bCs/>
              </w:rPr>
            </w:pPr>
            <w:r>
              <w:rPr>
                <w:bCs/>
              </w:rPr>
              <w:t>275.</w:t>
            </w:r>
            <w:r>
              <w:rPr>
                <w:bCs/>
                <w:lang w:val="es-ES_tradnl"/>
              </w:rPr>
              <w:t>871</w:t>
            </w:r>
          </w:p>
        </w:tc>
      </w:tr>
      <w:tr w:rsidR="00000000">
        <w:trPr>
          <w:cantSplit/>
        </w:trPr>
        <w:tc>
          <w:tcPr>
            <w:tcW w:w="3300" w:type="dxa"/>
            <w:vMerge/>
            <w:tcBorders>
              <w:left w:val="single" w:sz="4" w:space="0" w:color="auto"/>
              <w:bottom w:val="single" w:sz="4" w:space="0" w:color="auto"/>
              <w:right w:val="single" w:sz="4" w:space="0" w:color="auto"/>
            </w:tcBorders>
          </w:tcPr>
          <w:p w:rsidR="00000000" w:rsidRDefault="00000000">
            <w:pPr>
              <w:jc w:val="both"/>
              <w:rPr>
                <w:bCs/>
              </w:rPr>
            </w:pPr>
          </w:p>
        </w:tc>
        <w:tc>
          <w:tcPr>
            <w:tcW w:w="2477" w:type="dxa"/>
            <w:tcBorders>
              <w:left w:val="single" w:sz="4" w:space="0" w:color="auto"/>
              <w:bottom w:val="single" w:sz="4" w:space="0" w:color="auto"/>
            </w:tcBorders>
          </w:tcPr>
          <w:p w:rsidR="00000000" w:rsidRDefault="00000000">
            <w:pPr>
              <w:rPr>
                <w:bCs/>
              </w:rPr>
            </w:pPr>
            <w:r>
              <w:rPr>
                <w:bCs/>
              </w:rPr>
              <w:t>Cuidadoras autónomas</w:t>
            </w:r>
          </w:p>
        </w:tc>
        <w:tc>
          <w:tcPr>
            <w:tcW w:w="1904" w:type="dxa"/>
            <w:tcBorders>
              <w:bottom w:val="single" w:sz="4" w:space="0" w:color="auto"/>
            </w:tcBorders>
            <w:vAlign w:val="bottom"/>
          </w:tcPr>
          <w:p w:rsidR="00000000" w:rsidRDefault="00000000">
            <w:pPr>
              <w:ind w:left="-961" w:right="368" w:hanging="479"/>
              <w:jc w:val="right"/>
              <w:rPr>
                <w:bCs/>
              </w:rPr>
            </w:pPr>
            <w:r>
              <w:rPr>
                <w:bCs/>
              </w:rPr>
              <w:t>126.</w:t>
            </w:r>
            <w:r>
              <w:rPr>
                <w:bCs/>
                <w:lang w:val="es-ES_tradnl"/>
              </w:rPr>
              <w:t>065</w:t>
            </w:r>
            <w:r>
              <w:rPr>
                <w:bCs/>
              </w:rPr>
              <w:t>,15</w:t>
            </w:r>
          </w:p>
        </w:tc>
        <w:tc>
          <w:tcPr>
            <w:tcW w:w="1890" w:type="dxa"/>
            <w:tcBorders>
              <w:bottom w:val="single" w:sz="4" w:space="0" w:color="auto"/>
              <w:right w:val="single" w:sz="4" w:space="0" w:color="auto"/>
            </w:tcBorders>
            <w:vAlign w:val="bottom"/>
          </w:tcPr>
          <w:p w:rsidR="00000000" w:rsidRDefault="00000000">
            <w:pPr>
              <w:ind w:left="-961" w:right="368" w:hanging="479"/>
              <w:jc w:val="right"/>
              <w:rPr>
                <w:bCs/>
              </w:rPr>
            </w:pPr>
            <w:r>
              <w:rPr>
                <w:bCs/>
              </w:rPr>
              <w:t>-</w:t>
            </w:r>
          </w:p>
        </w:tc>
      </w:tr>
      <w:tr w:rsidR="00000000">
        <w:tc>
          <w:tcPr>
            <w:tcW w:w="5777" w:type="dxa"/>
            <w:gridSpan w:val="2"/>
            <w:tcBorders>
              <w:left w:val="single" w:sz="4" w:space="0" w:color="auto"/>
              <w:bottom w:val="single" w:sz="4" w:space="0" w:color="auto"/>
            </w:tcBorders>
          </w:tcPr>
          <w:p w:rsidR="00000000" w:rsidRDefault="00000000">
            <w:pPr>
              <w:rPr>
                <w:bCs/>
              </w:rPr>
            </w:pPr>
            <w:r>
              <w:rPr>
                <w:bCs/>
              </w:rPr>
              <w:t>Dispositivos de puericultura</w:t>
            </w:r>
          </w:p>
        </w:tc>
        <w:tc>
          <w:tcPr>
            <w:tcW w:w="1904" w:type="dxa"/>
            <w:tcBorders>
              <w:bottom w:val="single" w:sz="4" w:space="0" w:color="auto"/>
            </w:tcBorders>
          </w:tcPr>
          <w:p w:rsidR="00000000" w:rsidRDefault="00000000">
            <w:pPr>
              <w:ind w:left="-961" w:right="368" w:hanging="479"/>
              <w:jc w:val="right"/>
              <w:rPr>
                <w:bCs/>
              </w:rPr>
            </w:pPr>
            <w:r>
              <w:rPr>
                <w:bCs/>
              </w:rPr>
              <w:t>56.</w:t>
            </w:r>
            <w:r>
              <w:rPr>
                <w:bCs/>
                <w:lang w:val="es-ES_tradnl"/>
              </w:rPr>
              <w:t>291</w:t>
            </w:r>
            <w:r>
              <w:rPr>
                <w:bCs/>
              </w:rPr>
              <w:t>,65</w:t>
            </w:r>
          </w:p>
        </w:tc>
        <w:tc>
          <w:tcPr>
            <w:tcW w:w="1890" w:type="dxa"/>
            <w:tcBorders>
              <w:bottom w:val="single" w:sz="4" w:space="0" w:color="auto"/>
              <w:right w:val="single" w:sz="4" w:space="0" w:color="auto"/>
            </w:tcBorders>
            <w:vAlign w:val="bottom"/>
          </w:tcPr>
          <w:p w:rsidR="00000000" w:rsidRDefault="00000000">
            <w:pPr>
              <w:ind w:left="-961" w:right="368" w:hanging="479"/>
              <w:jc w:val="right"/>
              <w:rPr>
                <w:bCs/>
              </w:rPr>
            </w:pPr>
            <w:r>
              <w:rPr>
                <w:bCs/>
              </w:rPr>
              <w:t>-</w:t>
            </w:r>
          </w:p>
        </w:tc>
      </w:tr>
      <w:tr w:rsidR="00000000">
        <w:tc>
          <w:tcPr>
            <w:tcW w:w="5777" w:type="dxa"/>
            <w:gridSpan w:val="2"/>
            <w:tcBorders>
              <w:top w:val="single" w:sz="4" w:space="0" w:color="auto"/>
              <w:left w:val="single" w:sz="4" w:space="0" w:color="auto"/>
              <w:bottom w:val="single" w:sz="4" w:space="0" w:color="auto"/>
              <w:right w:val="single" w:sz="4" w:space="0" w:color="auto"/>
            </w:tcBorders>
          </w:tcPr>
          <w:p w:rsidR="00000000" w:rsidRDefault="00000000">
            <w:pPr>
              <w:rPr>
                <w:bCs/>
              </w:rPr>
            </w:pPr>
            <w:r>
              <w:rPr>
                <w:bCs/>
              </w:rPr>
              <w:tab/>
              <w:t>Total</w:t>
            </w:r>
          </w:p>
        </w:tc>
        <w:tc>
          <w:tcPr>
            <w:tcW w:w="1904" w:type="dxa"/>
            <w:tcBorders>
              <w:top w:val="single" w:sz="4" w:space="0" w:color="auto"/>
              <w:left w:val="single" w:sz="4" w:space="0" w:color="auto"/>
              <w:bottom w:val="single" w:sz="4" w:space="0" w:color="auto"/>
            </w:tcBorders>
          </w:tcPr>
          <w:p w:rsidR="00000000" w:rsidRDefault="00000000">
            <w:pPr>
              <w:ind w:left="-961" w:right="368" w:hanging="479"/>
              <w:jc w:val="right"/>
              <w:rPr>
                <w:bCs/>
              </w:rPr>
            </w:pPr>
            <w:r>
              <w:rPr>
                <w:bCs/>
              </w:rPr>
              <w:t>283.</w:t>
            </w:r>
            <w:r>
              <w:rPr>
                <w:bCs/>
                <w:lang w:val="es-ES_tradnl"/>
              </w:rPr>
              <w:t>425</w:t>
            </w:r>
            <w:r>
              <w:rPr>
                <w:bCs/>
              </w:rPr>
              <w:t>,80</w:t>
            </w:r>
          </w:p>
        </w:tc>
        <w:tc>
          <w:tcPr>
            <w:tcW w:w="1890" w:type="dxa"/>
            <w:tcBorders>
              <w:top w:val="single" w:sz="4" w:space="0" w:color="auto"/>
              <w:bottom w:val="single" w:sz="4" w:space="0" w:color="auto"/>
              <w:right w:val="single" w:sz="4" w:space="0" w:color="auto"/>
            </w:tcBorders>
          </w:tcPr>
          <w:p w:rsidR="00000000" w:rsidRDefault="00000000">
            <w:pPr>
              <w:ind w:left="-961" w:right="368" w:hanging="479"/>
              <w:jc w:val="right"/>
              <w:rPr>
                <w:bCs/>
              </w:rPr>
            </w:pPr>
            <w:r>
              <w:rPr>
                <w:bCs/>
              </w:rPr>
              <w:t>1.</w:t>
            </w:r>
            <w:r>
              <w:rPr>
                <w:bCs/>
                <w:lang w:val="es-ES_tradnl"/>
              </w:rPr>
              <w:t>956</w:t>
            </w:r>
            <w:r>
              <w:rPr>
                <w:bCs/>
              </w:rPr>
              <w:t>.631</w:t>
            </w:r>
          </w:p>
        </w:tc>
      </w:tr>
    </w:tbl>
    <w:p w:rsidR="00000000" w:rsidRDefault="00000000">
      <w:pPr>
        <w:spacing w:before="480" w:after="240"/>
        <w:ind w:left="567" w:hanging="567"/>
        <w:rPr>
          <w:b/>
          <w:bCs/>
        </w:rPr>
      </w:pPr>
      <w:r>
        <w:rPr>
          <w:b/>
          <w:bCs/>
        </w:rPr>
        <w:t>2c)</w:t>
      </w:r>
      <w:r>
        <w:rPr>
          <w:b/>
          <w:bCs/>
        </w:rPr>
        <w:tab/>
        <w:t>Atención de salud (diferentes tipos de servicios de salud, por ejemplo atención primaria, programas de vacunación, atención de salud del adolescente y otros servicios de atención de salud para niños)</w:t>
      </w:r>
    </w:p>
    <w:p w:rsidR="00000000" w:rsidRDefault="00000000">
      <w:pPr>
        <w:spacing w:after="240"/>
      </w:pPr>
      <w:r>
        <w:tab/>
        <w:t>El Estado concede distintos tipos de prestaciones de apoyo para la promoción de la salud y la atención médica.  También contribuye a los distintos hospitales concertados de países vecinos.  Se concede una contribución anual de aproximadamente 300.000 francos suizos al Hospital Infantil de Suiza Oriental de San Gallen.  Las revisiones médicas preventivas son obligatorias y de su coordinación se encarga la Oficina de Salud Pública.  Las revisiones médicas las realiza el médico de familia y su costo lo sufragan los planes de seguro de enfermedad privados subvencionados por el Estado.  Sin embargo, el Estado corre íntegramente con todos los gastos de salud mental de los menores, que ascienden a unos 540.000 francos suizos anuales.  También son responsabilidad del Estado las vacunas obligatorias y la prevención del consumo de drogas.</w:t>
      </w:r>
    </w:p>
    <w:p w:rsidR="00000000" w:rsidRDefault="00000000">
      <w:pPr>
        <w:spacing w:after="240"/>
      </w:pPr>
      <w:r>
        <w:tab/>
        <w:t>En total, el Estado desembolsó unos 21 millones de francos suizos por la atención médica en 2004 (en 2003 fueron 19 millones de francos aproximadamente).  Estas cifras equivalen aproximadamente al 3% del presupuesto nacional para 2004.  Además, en 2004, el Estado contribuyó con un total de 56 millones de francos al seguro de enfermedad (en 2003 fueron unos 51 millones de francos).</w:t>
      </w:r>
    </w:p>
    <w:p w:rsidR="00000000" w:rsidRDefault="00000000">
      <w:pPr>
        <w:spacing w:after="240"/>
        <w:rPr>
          <w:b/>
          <w:bCs/>
        </w:rPr>
      </w:pPr>
      <w:r>
        <w:rPr>
          <w:b/>
          <w:bCs/>
        </w:rPr>
        <w:t>2d)</w:t>
      </w:r>
      <w:r>
        <w:rPr>
          <w:b/>
          <w:bCs/>
        </w:rPr>
        <w:tab/>
        <w:t>Programas y servicios para los niños con discapacidad</w:t>
      </w:r>
    </w:p>
    <w:p w:rsidR="00000000" w:rsidRDefault="00000000">
      <w:pPr>
        <w:spacing w:after="240"/>
        <w:rPr>
          <w:lang w:val="es-ES_tradnl"/>
        </w:rPr>
      </w:pPr>
      <w:r>
        <w:tab/>
        <w:t xml:space="preserve">En 2003, el Estado de </w:t>
      </w:r>
      <w:r>
        <w:rPr>
          <w:lang w:val="es-ES_tradnl"/>
        </w:rPr>
        <w:t>Liechtenstein desembolsó unos 5,6 millones de francos suizos por la atención, el tratamiento y la educación de los niños discapacitados.  En 2004 el gasto total fue ligeramente superior al del ejercicio anterior, esto es, 5,7 millones de francos suizos.  Este total también incluye las contribuciones del seguro de discapacidad para educación especial y educación integradora y las contribuciones de los municipios a la educación especial.  El porcentaje más importante del total se destina al Centro Terapéutico-Pedagógico (Heilpädagogisches Zentrum, HPZ), que es el principal proveedor de servicios para niños discapacitados.  Además, se apoya a los hogares de educación especial situados en países limítrofes.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9"/>
        <w:gridCol w:w="2016"/>
        <w:gridCol w:w="2016"/>
      </w:tblGrid>
      <w:tr w:rsidR="0000000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br w:type="page"/>
            </w:r>
            <w:r>
              <w:rPr>
                <w:sz w:val="22"/>
                <w:lang w:val="es-ES_tradnl"/>
              </w:rPr>
              <w:br w:type="page"/>
              <w:t>2003</w:t>
            </w:r>
          </w:p>
        </w:tc>
      </w:tr>
      <w:tr w:rsidR="00000000">
        <w:trPr>
          <w:jc w:val="center"/>
        </w:trPr>
        <w:tc>
          <w:tcPr>
            <w:tcW w:w="2894" w:type="pct"/>
            <w:tcBorders>
              <w:left w:val="single" w:sz="4" w:space="0" w:color="auto"/>
              <w:bottom w:val="single" w:sz="4" w:space="0" w:color="auto"/>
            </w:tcBorders>
            <w:vAlign w:val="center"/>
          </w:tcPr>
          <w:p w:rsidR="00000000" w:rsidRDefault="00000000">
            <w:pPr>
              <w:jc w:val="center"/>
              <w:rPr>
                <w:sz w:val="22"/>
                <w:lang w:val="es-ES_tradnl"/>
              </w:rPr>
            </w:pPr>
            <w:r>
              <w:rPr>
                <w:sz w:val="22"/>
                <w:lang w:val="es-ES_tradnl"/>
              </w:rPr>
              <w:t>Tipo de apoyo</w:t>
            </w:r>
          </w:p>
        </w:tc>
        <w:tc>
          <w:tcPr>
            <w:tcW w:w="1053" w:type="pct"/>
            <w:tcBorders>
              <w:bottom w:val="single" w:sz="4" w:space="0" w:color="auto"/>
            </w:tcBorders>
            <w:vAlign w:val="center"/>
          </w:tcPr>
          <w:p w:rsidR="00000000" w:rsidRDefault="00000000">
            <w:pPr>
              <w:jc w:val="center"/>
              <w:rPr>
                <w:sz w:val="22"/>
                <w:lang w:val="es-ES_tradnl"/>
              </w:rPr>
            </w:pPr>
            <w:r>
              <w:rPr>
                <w:sz w:val="22"/>
                <w:lang w:val="es-ES_tradnl"/>
              </w:rPr>
              <w:t>Contribuciones (en CHF)</w:t>
            </w:r>
          </w:p>
        </w:tc>
        <w:tc>
          <w:tcPr>
            <w:tcW w:w="1053" w:type="pct"/>
            <w:tcBorders>
              <w:bottom w:val="single" w:sz="4" w:space="0" w:color="auto"/>
              <w:right w:val="single" w:sz="4" w:space="0" w:color="auto"/>
            </w:tcBorders>
            <w:vAlign w:val="center"/>
          </w:tcPr>
          <w:p w:rsidR="00000000" w:rsidRDefault="00000000">
            <w:pPr>
              <w:jc w:val="center"/>
              <w:rPr>
                <w:sz w:val="22"/>
                <w:lang w:val="es-ES_tradnl"/>
              </w:rPr>
            </w:pPr>
            <w:r>
              <w:rPr>
                <w:sz w:val="22"/>
                <w:lang w:val="es-ES_tradnl"/>
              </w:rPr>
              <w:t>Porcentaje del PN de 2003</w:t>
            </w:r>
          </w:p>
        </w:tc>
      </w:tr>
      <w:tr w:rsidR="00000000">
        <w:trPr>
          <w:jc w:val="center"/>
        </w:trPr>
        <w:tc>
          <w:tcPr>
            <w:tcW w:w="2894" w:type="pct"/>
            <w:tcBorders>
              <w:top w:val="single" w:sz="4" w:space="0" w:color="auto"/>
              <w:left w:val="single" w:sz="4" w:space="0" w:color="auto"/>
            </w:tcBorders>
          </w:tcPr>
          <w:p w:rsidR="00000000" w:rsidRDefault="00000000">
            <w:pPr>
              <w:rPr>
                <w:sz w:val="22"/>
                <w:lang w:val="es-ES_tradnl"/>
              </w:rPr>
            </w:pPr>
            <w:r>
              <w:rPr>
                <w:sz w:val="22"/>
                <w:lang w:val="es-ES_tradnl"/>
              </w:rPr>
              <w:t>Escuela especial del Centro Terapéutico-Pedagógico (HPZ)</w:t>
            </w:r>
          </w:p>
        </w:tc>
        <w:tc>
          <w:tcPr>
            <w:tcW w:w="1053" w:type="pct"/>
            <w:tcBorders>
              <w:top w:val="single" w:sz="4" w:space="0" w:color="auto"/>
            </w:tcBorders>
          </w:tcPr>
          <w:p w:rsidR="00000000" w:rsidRDefault="00000000">
            <w:pPr>
              <w:tabs>
                <w:tab w:val="decimal" w:pos="1278"/>
              </w:tabs>
              <w:rPr>
                <w:sz w:val="22"/>
                <w:lang w:val="es-ES_tradnl"/>
              </w:rPr>
            </w:pPr>
            <w:r>
              <w:rPr>
                <w:sz w:val="22"/>
                <w:lang w:val="es-ES_tradnl"/>
              </w:rPr>
              <w:t>1.943.303</w:t>
            </w:r>
          </w:p>
        </w:tc>
        <w:tc>
          <w:tcPr>
            <w:tcW w:w="1053" w:type="pct"/>
            <w:tcBorders>
              <w:top w:val="single" w:sz="4" w:space="0" w:color="auto"/>
              <w:right w:val="single" w:sz="4" w:space="0" w:color="auto"/>
            </w:tcBorders>
          </w:tcPr>
          <w:p w:rsidR="00000000" w:rsidRDefault="00000000">
            <w:pPr>
              <w:tabs>
                <w:tab w:val="decimal" w:pos="868"/>
              </w:tabs>
              <w:rPr>
                <w:sz w:val="22"/>
                <w:lang w:val="es-ES_tradnl"/>
              </w:rPr>
            </w:pPr>
            <w:r>
              <w:rPr>
                <w:sz w:val="22"/>
                <w:lang w:val="es-ES_tradnl"/>
              </w:rPr>
              <w:t>0,24</w:t>
            </w:r>
          </w:p>
        </w:tc>
      </w:tr>
      <w:tr w:rsidR="00000000">
        <w:trPr>
          <w:jc w:val="center"/>
        </w:trPr>
        <w:tc>
          <w:tcPr>
            <w:tcW w:w="2894" w:type="pct"/>
            <w:tcBorders>
              <w:left w:val="single" w:sz="4" w:space="0" w:color="auto"/>
              <w:bottom w:val="single" w:sz="4" w:space="0" w:color="auto"/>
            </w:tcBorders>
          </w:tcPr>
          <w:p w:rsidR="00000000" w:rsidRDefault="00000000">
            <w:pPr>
              <w:rPr>
                <w:sz w:val="22"/>
                <w:lang w:val="es-ES_tradnl"/>
              </w:rPr>
            </w:pPr>
            <w:r>
              <w:rPr>
                <w:sz w:val="22"/>
                <w:lang w:val="es-ES_tradnl"/>
              </w:rPr>
              <w:t>Medidas terapéutico-pedagógicas (HPZ)</w:t>
            </w:r>
          </w:p>
        </w:tc>
        <w:tc>
          <w:tcPr>
            <w:tcW w:w="1053" w:type="pct"/>
            <w:tcBorders>
              <w:bottom w:val="single" w:sz="4" w:space="0" w:color="auto"/>
            </w:tcBorders>
          </w:tcPr>
          <w:p w:rsidR="00000000" w:rsidRDefault="00000000">
            <w:pPr>
              <w:tabs>
                <w:tab w:val="decimal" w:pos="1278"/>
              </w:tabs>
              <w:rPr>
                <w:sz w:val="22"/>
                <w:lang w:val="es-ES_tradnl"/>
              </w:rPr>
            </w:pPr>
            <w:r>
              <w:rPr>
                <w:sz w:val="22"/>
                <w:lang w:val="es-ES_tradnl"/>
              </w:rPr>
              <w:t>2.854.019</w:t>
            </w:r>
          </w:p>
        </w:tc>
        <w:tc>
          <w:tcPr>
            <w:tcW w:w="1053" w:type="pct"/>
            <w:tcBorders>
              <w:bottom w:val="single" w:sz="4" w:space="0" w:color="auto"/>
              <w:right w:val="single" w:sz="4" w:space="0" w:color="auto"/>
            </w:tcBorders>
          </w:tcPr>
          <w:p w:rsidR="00000000" w:rsidRDefault="00000000">
            <w:pPr>
              <w:tabs>
                <w:tab w:val="decimal" w:pos="868"/>
              </w:tabs>
              <w:rPr>
                <w:sz w:val="22"/>
                <w:lang w:val="es-ES_tradnl"/>
              </w:rPr>
            </w:pPr>
            <w:r>
              <w:rPr>
                <w:sz w:val="22"/>
                <w:lang w:val="es-ES_tradnl"/>
              </w:rPr>
              <w:t>0,36</w:t>
            </w:r>
          </w:p>
        </w:tc>
      </w:tr>
      <w:tr w:rsidR="00000000">
        <w:trPr>
          <w:jc w:val="center"/>
        </w:trPr>
        <w:tc>
          <w:tcPr>
            <w:tcW w:w="2894" w:type="pct"/>
            <w:tcBorders>
              <w:left w:val="single" w:sz="4" w:space="0" w:color="auto"/>
              <w:bottom w:val="single" w:sz="4" w:space="0" w:color="auto"/>
            </w:tcBorders>
          </w:tcPr>
          <w:p w:rsidR="00000000" w:rsidRDefault="00000000">
            <w:pPr>
              <w:rPr>
                <w:sz w:val="22"/>
                <w:lang w:val="es-ES_tradnl"/>
              </w:rPr>
            </w:pPr>
            <w:r>
              <w:rPr>
                <w:sz w:val="22"/>
                <w:lang w:val="es-ES_tradnl"/>
              </w:rPr>
              <w:t>Hogares de educación especial</w:t>
            </w:r>
          </w:p>
        </w:tc>
        <w:tc>
          <w:tcPr>
            <w:tcW w:w="1053" w:type="pct"/>
            <w:tcBorders>
              <w:bottom w:val="single" w:sz="4" w:space="0" w:color="auto"/>
            </w:tcBorders>
          </w:tcPr>
          <w:p w:rsidR="00000000" w:rsidRDefault="00000000">
            <w:pPr>
              <w:tabs>
                <w:tab w:val="decimal" w:pos="1278"/>
              </w:tabs>
              <w:rPr>
                <w:sz w:val="22"/>
                <w:lang w:val="es-ES_tradnl"/>
              </w:rPr>
            </w:pPr>
            <w:r>
              <w:rPr>
                <w:sz w:val="22"/>
                <w:lang w:val="es-ES_tradnl"/>
              </w:rPr>
              <w:t>783.088</w:t>
            </w:r>
          </w:p>
        </w:tc>
        <w:tc>
          <w:tcPr>
            <w:tcW w:w="1053" w:type="pct"/>
            <w:tcBorders>
              <w:bottom w:val="single" w:sz="4" w:space="0" w:color="auto"/>
              <w:right w:val="single" w:sz="4" w:space="0" w:color="auto"/>
            </w:tcBorders>
          </w:tcPr>
          <w:p w:rsidR="00000000" w:rsidRDefault="00000000">
            <w:pPr>
              <w:tabs>
                <w:tab w:val="decimal" w:pos="868"/>
              </w:tabs>
              <w:rPr>
                <w:sz w:val="22"/>
                <w:lang w:val="es-ES_tradnl"/>
              </w:rPr>
            </w:pPr>
            <w:r>
              <w:rPr>
                <w:sz w:val="22"/>
                <w:lang w:val="es-ES_tradnl"/>
              </w:rPr>
              <w:t>0,10</w:t>
            </w:r>
          </w:p>
        </w:tc>
      </w:tr>
      <w:tr w:rsidR="00000000">
        <w:trPr>
          <w:jc w:val="center"/>
        </w:trPr>
        <w:tc>
          <w:tcPr>
            <w:tcW w:w="2894" w:type="pct"/>
            <w:tcBorders>
              <w:top w:val="single" w:sz="4" w:space="0" w:color="auto"/>
              <w:left w:val="single" w:sz="4" w:space="0" w:color="auto"/>
              <w:bottom w:val="single" w:sz="4" w:space="0" w:color="auto"/>
            </w:tcBorders>
          </w:tcPr>
          <w:p w:rsidR="00000000" w:rsidRDefault="00000000">
            <w:pPr>
              <w:rPr>
                <w:sz w:val="22"/>
                <w:lang w:val="es-ES_tradnl"/>
              </w:rPr>
            </w:pPr>
            <w:r>
              <w:rPr>
                <w:sz w:val="22"/>
                <w:lang w:val="es-ES_tradnl"/>
              </w:rPr>
              <w:tab/>
              <w:t xml:space="preserve">Total </w:t>
            </w:r>
          </w:p>
        </w:tc>
        <w:tc>
          <w:tcPr>
            <w:tcW w:w="1053" w:type="pct"/>
            <w:tcBorders>
              <w:top w:val="single" w:sz="4" w:space="0" w:color="auto"/>
              <w:bottom w:val="single" w:sz="4" w:space="0" w:color="auto"/>
            </w:tcBorders>
          </w:tcPr>
          <w:p w:rsidR="00000000" w:rsidRDefault="00000000">
            <w:pPr>
              <w:tabs>
                <w:tab w:val="decimal" w:pos="1278"/>
              </w:tabs>
              <w:rPr>
                <w:sz w:val="22"/>
                <w:lang w:val="es-ES_tradnl"/>
              </w:rPr>
            </w:pPr>
            <w:r>
              <w:rPr>
                <w:sz w:val="22"/>
                <w:lang w:val="es-ES_tradnl"/>
              </w:rPr>
              <w:t>5.580.410</w:t>
            </w:r>
          </w:p>
        </w:tc>
        <w:tc>
          <w:tcPr>
            <w:tcW w:w="1053" w:type="pct"/>
            <w:tcBorders>
              <w:top w:val="single" w:sz="4" w:space="0" w:color="auto"/>
              <w:bottom w:val="single" w:sz="4" w:space="0" w:color="auto"/>
              <w:right w:val="single" w:sz="4" w:space="0" w:color="auto"/>
            </w:tcBorders>
          </w:tcPr>
          <w:p w:rsidR="00000000" w:rsidRDefault="00000000">
            <w:pPr>
              <w:tabs>
                <w:tab w:val="decimal" w:pos="868"/>
              </w:tabs>
              <w:rPr>
                <w:sz w:val="22"/>
                <w:lang w:val="es-ES_tradnl"/>
              </w:rPr>
            </w:pPr>
            <w:r>
              <w:rPr>
                <w:sz w:val="22"/>
                <w:lang w:val="es-ES_tradnl"/>
              </w:rPr>
              <w:t>0,70</w:t>
            </w:r>
          </w:p>
        </w:tc>
      </w:tr>
    </w:tbl>
    <w:p w:rsidR="00000000" w:rsidRDefault="00000000">
      <w:pPr>
        <w:spacing w:before="120" w:after="12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9"/>
        <w:gridCol w:w="2016"/>
        <w:gridCol w:w="2016"/>
      </w:tblGrid>
      <w:tr w:rsidR="0000000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00000" w:rsidRDefault="00000000">
            <w:pPr>
              <w:jc w:val="center"/>
              <w:rPr>
                <w:sz w:val="22"/>
                <w:lang w:val="es-ES_tradnl"/>
              </w:rPr>
            </w:pPr>
            <w:r>
              <w:rPr>
                <w:sz w:val="22"/>
                <w:lang w:val="es-ES_tradnl"/>
              </w:rPr>
              <w:t>2004</w:t>
            </w:r>
          </w:p>
        </w:tc>
      </w:tr>
      <w:tr w:rsidR="00000000">
        <w:trPr>
          <w:jc w:val="center"/>
        </w:trPr>
        <w:tc>
          <w:tcPr>
            <w:tcW w:w="2894" w:type="pct"/>
            <w:tcBorders>
              <w:left w:val="single" w:sz="4" w:space="0" w:color="auto"/>
              <w:bottom w:val="single" w:sz="4" w:space="0" w:color="auto"/>
            </w:tcBorders>
            <w:vAlign w:val="center"/>
          </w:tcPr>
          <w:p w:rsidR="00000000" w:rsidRDefault="00000000">
            <w:pPr>
              <w:jc w:val="center"/>
              <w:rPr>
                <w:sz w:val="22"/>
                <w:lang w:val="es-ES_tradnl"/>
              </w:rPr>
            </w:pPr>
            <w:r>
              <w:rPr>
                <w:sz w:val="22"/>
                <w:lang w:val="es-ES_tradnl"/>
              </w:rPr>
              <w:t>Tipo de apoyo</w:t>
            </w:r>
          </w:p>
        </w:tc>
        <w:tc>
          <w:tcPr>
            <w:tcW w:w="1053" w:type="pct"/>
            <w:tcBorders>
              <w:bottom w:val="single" w:sz="4" w:space="0" w:color="auto"/>
            </w:tcBorders>
            <w:vAlign w:val="center"/>
          </w:tcPr>
          <w:p w:rsidR="00000000" w:rsidRDefault="00000000">
            <w:pPr>
              <w:jc w:val="center"/>
              <w:rPr>
                <w:sz w:val="22"/>
                <w:lang w:val="es-ES_tradnl"/>
              </w:rPr>
            </w:pPr>
            <w:r>
              <w:rPr>
                <w:sz w:val="22"/>
                <w:lang w:val="es-ES_tradnl"/>
              </w:rPr>
              <w:t>Contribuciones (en CHF)</w:t>
            </w:r>
          </w:p>
        </w:tc>
        <w:tc>
          <w:tcPr>
            <w:tcW w:w="1053" w:type="pct"/>
            <w:tcBorders>
              <w:bottom w:val="single" w:sz="4" w:space="0" w:color="auto"/>
              <w:right w:val="single" w:sz="4" w:space="0" w:color="auto"/>
            </w:tcBorders>
            <w:vAlign w:val="center"/>
          </w:tcPr>
          <w:p w:rsidR="00000000" w:rsidRDefault="00000000">
            <w:pPr>
              <w:jc w:val="center"/>
              <w:rPr>
                <w:sz w:val="22"/>
                <w:lang w:val="es-ES_tradnl"/>
              </w:rPr>
            </w:pPr>
            <w:r>
              <w:rPr>
                <w:sz w:val="22"/>
                <w:lang w:val="es-ES_tradnl"/>
              </w:rPr>
              <w:t>Porcentaje del PN de 2004</w:t>
            </w:r>
          </w:p>
        </w:tc>
      </w:tr>
      <w:tr w:rsidR="00000000">
        <w:trPr>
          <w:jc w:val="center"/>
        </w:trPr>
        <w:tc>
          <w:tcPr>
            <w:tcW w:w="2894" w:type="pct"/>
            <w:tcBorders>
              <w:top w:val="single" w:sz="4" w:space="0" w:color="auto"/>
              <w:left w:val="single" w:sz="4" w:space="0" w:color="auto"/>
            </w:tcBorders>
          </w:tcPr>
          <w:p w:rsidR="00000000" w:rsidRDefault="00000000">
            <w:pPr>
              <w:rPr>
                <w:sz w:val="22"/>
                <w:lang w:val="es-ES_tradnl"/>
              </w:rPr>
            </w:pPr>
            <w:r>
              <w:rPr>
                <w:sz w:val="22"/>
                <w:lang w:val="es-ES_tradnl"/>
              </w:rPr>
              <w:t>Escuela especial del Centro Terapéutico-Pedagógico (HPZ)</w:t>
            </w:r>
          </w:p>
        </w:tc>
        <w:tc>
          <w:tcPr>
            <w:tcW w:w="1053" w:type="pct"/>
            <w:tcBorders>
              <w:top w:val="single" w:sz="4" w:space="0" w:color="auto"/>
            </w:tcBorders>
          </w:tcPr>
          <w:p w:rsidR="00000000" w:rsidRDefault="00000000">
            <w:pPr>
              <w:tabs>
                <w:tab w:val="decimal" w:pos="1278"/>
              </w:tabs>
              <w:rPr>
                <w:sz w:val="22"/>
                <w:lang w:val="es-ES_tradnl"/>
              </w:rPr>
            </w:pPr>
            <w:r>
              <w:rPr>
                <w:sz w:val="22"/>
                <w:lang w:val="es-ES_tradnl"/>
              </w:rPr>
              <w:t>2.036.194</w:t>
            </w:r>
          </w:p>
        </w:tc>
        <w:tc>
          <w:tcPr>
            <w:tcW w:w="1053" w:type="pct"/>
            <w:tcBorders>
              <w:top w:val="single" w:sz="4" w:space="0" w:color="auto"/>
              <w:right w:val="single" w:sz="4" w:space="0" w:color="auto"/>
            </w:tcBorders>
          </w:tcPr>
          <w:p w:rsidR="00000000" w:rsidRDefault="00000000">
            <w:pPr>
              <w:tabs>
                <w:tab w:val="decimal" w:pos="868"/>
              </w:tabs>
              <w:rPr>
                <w:sz w:val="22"/>
                <w:lang w:val="es-ES_tradnl"/>
              </w:rPr>
            </w:pPr>
            <w:r>
              <w:rPr>
                <w:sz w:val="22"/>
                <w:lang w:val="es-ES_tradnl"/>
              </w:rPr>
              <w:t>0,26</w:t>
            </w:r>
          </w:p>
        </w:tc>
      </w:tr>
      <w:tr w:rsidR="00000000">
        <w:trPr>
          <w:jc w:val="center"/>
        </w:trPr>
        <w:tc>
          <w:tcPr>
            <w:tcW w:w="2894" w:type="pct"/>
            <w:tcBorders>
              <w:left w:val="single" w:sz="4" w:space="0" w:color="auto"/>
              <w:bottom w:val="single" w:sz="4" w:space="0" w:color="auto"/>
            </w:tcBorders>
          </w:tcPr>
          <w:p w:rsidR="00000000" w:rsidRDefault="00000000">
            <w:pPr>
              <w:rPr>
                <w:sz w:val="22"/>
                <w:lang w:val="es-ES_tradnl"/>
              </w:rPr>
            </w:pPr>
            <w:r>
              <w:rPr>
                <w:sz w:val="22"/>
                <w:lang w:val="es-ES_tradnl"/>
              </w:rPr>
              <w:t>Medidas terapéutico-pedagógicas (HPZ)</w:t>
            </w:r>
          </w:p>
        </w:tc>
        <w:tc>
          <w:tcPr>
            <w:tcW w:w="1053" w:type="pct"/>
            <w:tcBorders>
              <w:bottom w:val="single" w:sz="4" w:space="0" w:color="auto"/>
            </w:tcBorders>
          </w:tcPr>
          <w:p w:rsidR="00000000" w:rsidRDefault="00000000">
            <w:pPr>
              <w:tabs>
                <w:tab w:val="decimal" w:pos="1278"/>
              </w:tabs>
              <w:rPr>
                <w:sz w:val="22"/>
                <w:lang w:val="es-ES_tradnl"/>
              </w:rPr>
            </w:pPr>
            <w:r>
              <w:rPr>
                <w:sz w:val="22"/>
                <w:lang w:val="es-ES_tradnl"/>
              </w:rPr>
              <w:t>2.838.151</w:t>
            </w:r>
          </w:p>
        </w:tc>
        <w:tc>
          <w:tcPr>
            <w:tcW w:w="1053" w:type="pct"/>
            <w:tcBorders>
              <w:bottom w:val="single" w:sz="4" w:space="0" w:color="auto"/>
              <w:right w:val="single" w:sz="4" w:space="0" w:color="auto"/>
            </w:tcBorders>
          </w:tcPr>
          <w:p w:rsidR="00000000" w:rsidRDefault="00000000">
            <w:pPr>
              <w:tabs>
                <w:tab w:val="decimal" w:pos="868"/>
              </w:tabs>
              <w:rPr>
                <w:sz w:val="22"/>
                <w:lang w:val="es-ES_tradnl"/>
              </w:rPr>
            </w:pPr>
            <w:r>
              <w:rPr>
                <w:sz w:val="22"/>
                <w:lang w:val="es-ES_tradnl"/>
              </w:rPr>
              <w:t>0,36</w:t>
            </w:r>
          </w:p>
        </w:tc>
      </w:tr>
      <w:tr w:rsidR="00000000">
        <w:trPr>
          <w:jc w:val="center"/>
        </w:trPr>
        <w:tc>
          <w:tcPr>
            <w:tcW w:w="2894" w:type="pct"/>
            <w:tcBorders>
              <w:left w:val="single" w:sz="4" w:space="0" w:color="auto"/>
              <w:bottom w:val="single" w:sz="4" w:space="0" w:color="auto"/>
            </w:tcBorders>
          </w:tcPr>
          <w:p w:rsidR="00000000" w:rsidRDefault="00000000">
            <w:pPr>
              <w:rPr>
                <w:sz w:val="22"/>
                <w:lang w:val="es-ES_tradnl"/>
              </w:rPr>
            </w:pPr>
            <w:r>
              <w:rPr>
                <w:sz w:val="22"/>
                <w:lang w:val="es-ES_tradnl"/>
              </w:rPr>
              <w:t>Hogares de educación especial</w:t>
            </w:r>
          </w:p>
        </w:tc>
        <w:tc>
          <w:tcPr>
            <w:tcW w:w="1053" w:type="pct"/>
            <w:tcBorders>
              <w:bottom w:val="single" w:sz="4" w:space="0" w:color="auto"/>
            </w:tcBorders>
          </w:tcPr>
          <w:p w:rsidR="00000000" w:rsidRDefault="00000000">
            <w:pPr>
              <w:tabs>
                <w:tab w:val="decimal" w:pos="1278"/>
              </w:tabs>
              <w:rPr>
                <w:sz w:val="22"/>
                <w:lang w:val="es-ES_tradnl"/>
              </w:rPr>
            </w:pPr>
            <w:r>
              <w:rPr>
                <w:sz w:val="22"/>
                <w:lang w:val="es-ES_tradnl"/>
              </w:rPr>
              <w:t>805.180</w:t>
            </w:r>
          </w:p>
        </w:tc>
        <w:tc>
          <w:tcPr>
            <w:tcW w:w="1053" w:type="pct"/>
            <w:tcBorders>
              <w:bottom w:val="single" w:sz="4" w:space="0" w:color="auto"/>
              <w:right w:val="single" w:sz="4" w:space="0" w:color="auto"/>
            </w:tcBorders>
          </w:tcPr>
          <w:p w:rsidR="00000000" w:rsidRDefault="00000000">
            <w:pPr>
              <w:tabs>
                <w:tab w:val="decimal" w:pos="868"/>
              </w:tabs>
              <w:rPr>
                <w:sz w:val="22"/>
                <w:lang w:val="es-ES_tradnl"/>
              </w:rPr>
            </w:pPr>
            <w:r>
              <w:rPr>
                <w:sz w:val="22"/>
                <w:lang w:val="es-ES_tradnl"/>
              </w:rPr>
              <w:t>0,10</w:t>
            </w:r>
          </w:p>
        </w:tc>
      </w:tr>
      <w:tr w:rsidR="00000000">
        <w:trPr>
          <w:jc w:val="center"/>
        </w:trPr>
        <w:tc>
          <w:tcPr>
            <w:tcW w:w="2894" w:type="pct"/>
            <w:tcBorders>
              <w:top w:val="single" w:sz="4" w:space="0" w:color="auto"/>
              <w:left w:val="single" w:sz="4" w:space="0" w:color="auto"/>
              <w:bottom w:val="single" w:sz="4" w:space="0" w:color="auto"/>
            </w:tcBorders>
          </w:tcPr>
          <w:p w:rsidR="00000000" w:rsidRDefault="00000000">
            <w:pPr>
              <w:rPr>
                <w:sz w:val="22"/>
                <w:lang w:val="es-ES_tradnl"/>
              </w:rPr>
            </w:pPr>
            <w:r>
              <w:rPr>
                <w:sz w:val="22"/>
                <w:lang w:val="es-ES_tradnl"/>
              </w:rPr>
              <w:tab/>
              <w:t xml:space="preserve">Total </w:t>
            </w:r>
          </w:p>
        </w:tc>
        <w:tc>
          <w:tcPr>
            <w:tcW w:w="1053" w:type="pct"/>
            <w:tcBorders>
              <w:top w:val="single" w:sz="4" w:space="0" w:color="auto"/>
              <w:bottom w:val="single" w:sz="4" w:space="0" w:color="auto"/>
            </w:tcBorders>
          </w:tcPr>
          <w:p w:rsidR="00000000" w:rsidRDefault="00000000">
            <w:pPr>
              <w:tabs>
                <w:tab w:val="decimal" w:pos="1278"/>
              </w:tabs>
              <w:rPr>
                <w:sz w:val="22"/>
                <w:lang w:val="es-ES_tradnl"/>
              </w:rPr>
            </w:pPr>
            <w:r>
              <w:rPr>
                <w:sz w:val="22"/>
                <w:lang w:val="es-ES_tradnl"/>
              </w:rPr>
              <w:t>5.679.525</w:t>
            </w:r>
          </w:p>
        </w:tc>
        <w:tc>
          <w:tcPr>
            <w:tcW w:w="1053" w:type="pct"/>
            <w:tcBorders>
              <w:top w:val="single" w:sz="4" w:space="0" w:color="auto"/>
              <w:bottom w:val="single" w:sz="4" w:space="0" w:color="auto"/>
              <w:right w:val="single" w:sz="4" w:space="0" w:color="auto"/>
            </w:tcBorders>
          </w:tcPr>
          <w:p w:rsidR="00000000" w:rsidRDefault="00000000">
            <w:pPr>
              <w:tabs>
                <w:tab w:val="decimal" w:pos="868"/>
              </w:tabs>
              <w:rPr>
                <w:sz w:val="22"/>
                <w:lang w:val="es-ES_tradnl"/>
              </w:rPr>
            </w:pPr>
            <w:r>
              <w:rPr>
                <w:sz w:val="22"/>
                <w:lang w:val="es-ES_tradnl"/>
              </w:rPr>
              <w:t>0,72</w:t>
            </w:r>
          </w:p>
        </w:tc>
      </w:tr>
    </w:tbl>
    <w:p w:rsidR="00000000" w:rsidRDefault="00000000">
      <w:pPr>
        <w:spacing w:before="480" w:after="240"/>
        <w:rPr>
          <w:b/>
          <w:bCs/>
          <w:lang w:val="es-ES_tradnl"/>
        </w:rPr>
      </w:pPr>
      <w:r>
        <w:rPr>
          <w:b/>
          <w:bCs/>
          <w:lang w:val="es-ES_tradnl"/>
        </w:rPr>
        <w:t>2e)</w:t>
      </w:r>
      <w:r>
        <w:rPr>
          <w:b/>
          <w:bCs/>
          <w:lang w:val="es-ES_tradnl"/>
        </w:rPr>
        <w:tab/>
        <w:t>Programas de apoyo a las familias</w:t>
      </w:r>
    </w:p>
    <w:p w:rsidR="00000000" w:rsidRDefault="00000000">
      <w:pPr>
        <w:spacing w:after="240"/>
        <w:rPr>
          <w:lang w:val="es-ES_tradnl"/>
        </w:rPr>
      </w:pPr>
      <w:r>
        <w:rPr>
          <w:lang w:val="es-ES_tradnl"/>
        </w:rPr>
        <w:tab/>
        <w:t>Los subsidios por hijo a cargo, las prestaciones por nacimiento y las prestaciones a las familias monoparentales corren a cargo de la Oficina de Prestaciones Familiares (instituciones AHV-IV-FAK).  Este tipo de prestaciones familiares están sufragadas por contribuciones de los beneficiarios y de los empleadores.  El 75% de los subsidios de vivienda concedidos a la familia son financiados por el Estado y el 25% por los municipios.  La asistencia a la familia se organiza en el nivel municipal, aunque está subvencionada por el Estado.  En 2003 y 2004, el apoyo a la familia (por el Estado y los municipios) ocasionó los gastos siguientes: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9"/>
        <w:gridCol w:w="2006"/>
        <w:gridCol w:w="2006"/>
      </w:tblGrid>
      <w:tr w:rsidR="00000000">
        <w:trPr>
          <w:jc w:val="center"/>
        </w:trPr>
        <w:tc>
          <w:tcPr>
            <w:tcW w:w="5000" w:type="pct"/>
            <w:gridSpan w:val="3"/>
            <w:tcBorders>
              <w:top w:val="single" w:sz="4" w:space="0" w:color="auto"/>
              <w:left w:val="single" w:sz="4" w:space="0" w:color="auto"/>
              <w:right w:val="single" w:sz="4" w:space="0" w:color="auto"/>
            </w:tcBorders>
          </w:tcPr>
          <w:p w:rsidR="00000000" w:rsidRDefault="00000000">
            <w:pPr>
              <w:jc w:val="center"/>
              <w:rPr>
                <w:bCs/>
                <w:lang w:val="es-ES_tradnl"/>
              </w:rPr>
            </w:pPr>
            <w:r>
              <w:rPr>
                <w:bCs/>
                <w:lang w:val="es-ES_tradnl"/>
              </w:rPr>
              <w:t>2003</w:t>
            </w:r>
          </w:p>
        </w:tc>
      </w:tr>
      <w:tr w:rsidR="00000000">
        <w:trPr>
          <w:jc w:val="center"/>
        </w:trPr>
        <w:tc>
          <w:tcPr>
            <w:tcW w:w="2904" w:type="pct"/>
            <w:tcBorders>
              <w:left w:val="single" w:sz="4" w:space="0" w:color="auto"/>
              <w:bottom w:val="single" w:sz="4" w:space="0" w:color="auto"/>
            </w:tcBorders>
            <w:vAlign w:val="center"/>
          </w:tcPr>
          <w:p w:rsidR="00000000" w:rsidRDefault="00000000">
            <w:pPr>
              <w:jc w:val="center"/>
              <w:rPr>
                <w:bCs/>
                <w:lang w:val="es-ES_tradnl"/>
              </w:rPr>
            </w:pPr>
            <w:r>
              <w:rPr>
                <w:bCs/>
                <w:lang w:val="es-ES_tradnl"/>
              </w:rPr>
              <w:t>Tipo de apoyo</w:t>
            </w:r>
          </w:p>
        </w:tc>
        <w:tc>
          <w:tcPr>
            <w:tcW w:w="1048" w:type="pct"/>
            <w:tcBorders>
              <w:bottom w:val="single" w:sz="4" w:space="0" w:color="auto"/>
            </w:tcBorders>
            <w:vAlign w:val="center"/>
          </w:tcPr>
          <w:p w:rsidR="00000000" w:rsidRDefault="00000000">
            <w:pPr>
              <w:jc w:val="center"/>
              <w:rPr>
                <w:bCs/>
                <w:lang w:val="es-ES_tradnl"/>
              </w:rPr>
            </w:pPr>
            <w:r>
              <w:rPr>
                <w:bCs/>
                <w:lang w:val="es-ES_tradnl"/>
              </w:rPr>
              <w:t>Contribución (en CHF)</w:t>
            </w:r>
          </w:p>
        </w:tc>
        <w:tc>
          <w:tcPr>
            <w:tcW w:w="1048" w:type="pct"/>
            <w:tcBorders>
              <w:bottom w:val="single" w:sz="4" w:space="0" w:color="auto"/>
              <w:right w:val="single" w:sz="4" w:space="0" w:color="auto"/>
            </w:tcBorders>
            <w:vAlign w:val="center"/>
          </w:tcPr>
          <w:p w:rsidR="00000000" w:rsidRDefault="00000000">
            <w:pPr>
              <w:jc w:val="center"/>
              <w:rPr>
                <w:bCs/>
                <w:lang w:val="es-ES_tradnl"/>
              </w:rPr>
            </w:pPr>
            <w:r>
              <w:rPr>
                <w:bCs/>
                <w:lang w:val="es-ES_tradnl"/>
              </w:rPr>
              <w:t>Porcentaje del PN de 2003</w:t>
            </w:r>
          </w:p>
        </w:tc>
      </w:tr>
      <w:tr w:rsidR="00000000">
        <w:trPr>
          <w:jc w:val="center"/>
        </w:trPr>
        <w:tc>
          <w:tcPr>
            <w:tcW w:w="2904" w:type="pct"/>
            <w:tcBorders>
              <w:top w:val="single" w:sz="4" w:space="0" w:color="auto"/>
              <w:left w:val="single" w:sz="4" w:space="0" w:color="auto"/>
            </w:tcBorders>
          </w:tcPr>
          <w:p w:rsidR="00000000" w:rsidRDefault="00000000">
            <w:pPr>
              <w:rPr>
                <w:bCs/>
                <w:lang w:val="es-ES_tradnl"/>
              </w:rPr>
            </w:pPr>
            <w:r>
              <w:rPr>
                <w:bCs/>
                <w:lang w:val="es-ES_tradnl"/>
              </w:rPr>
              <w:t>Subsidios por hijo a cargo</w:t>
            </w:r>
          </w:p>
        </w:tc>
        <w:tc>
          <w:tcPr>
            <w:tcW w:w="1048" w:type="pct"/>
            <w:tcBorders>
              <w:top w:val="single" w:sz="4" w:space="0" w:color="auto"/>
            </w:tcBorders>
          </w:tcPr>
          <w:p w:rsidR="00000000" w:rsidRDefault="00000000">
            <w:pPr>
              <w:tabs>
                <w:tab w:val="decimal" w:pos="1468"/>
              </w:tabs>
              <w:rPr>
                <w:bCs/>
                <w:lang w:val="es-ES_tradnl"/>
              </w:rPr>
            </w:pPr>
            <w:r>
              <w:rPr>
                <w:bCs/>
                <w:lang w:val="es-ES_tradnl"/>
              </w:rPr>
              <w:t>44.097.342</w:t>
            </w:r>
          </w:p>
        </w:tc>
        <w:tc>
          <w:tcPr>
            <w:tcW w:w="1048" w:type="pct"/>
            <w:tcBorders>
              <w:top w:val="single" w:sz="4" w:space="0" w:color="auto"/>
              <w:right w:val="single" w:sz="4" w:space="0" w:color="auto"/>
            </w:tcBorders>
          </w:tcPr>
          <w:p w:rsidR="00000000" w:rsidRDefault="00000000">
            <w:pPr>
              <w:tabs>
                <w:tab w:val="decimal" w:pos="806"/>
              </w:tabs>
              <w:rPr>
                <w:bCs/>
                <w:lang w:val="es-ES_tradnl"/>
              </w:rPr>
            </w:pPr>
            <w:r>
              <w:rPr>
                <w:bCs/>
                <w:lang w:val="es-ES_tradnl"/>
              </w:rPr>
              <w:t>5,55</w:t>
            </w:r>
          </w:p>
        </w:tc>
      </w:tr>
      <w:tr w:rsidR="00000000">
        <w:trPr>
          <w:jc w:val="center"/>
        </w:trPr>
        <w:tc>
          <w:tcPr>
            <w:tcW w:w="2904" w:type="pct"/>
            <w:tcBorders>
              <w:left w:val="single" w:sz="4" w:space="0" w:color="auto"/>
            </w:tcBorders>
          </w:tcPr>
          <w:p w:rsidR="00000000" w:rsidRDefault="00000000">
            <w:pPr>
              <w:rPr>
                <w:bCs/>
                <w:lang w:val="es-ES_tradnl"/>
              </w:rPr>
            </w:pPr>
            <w:r>
              <w:rPr>
                <w:bCs/>
                <w:lang w:val="es-ES_tradnl"/>
              </w:rPr>
              <w:t>Prestaciones por nacimiento</w:t>
            </w:r>
          </w:p>
        </w:tc>
        <w:tc>
          <w:tcPr>
            <w:tcW w:w="1048" w:type="pct"/>
          </w:tcPr>
          <w:p w:rsidR="00000000" w:rsidRDefault="00000000">
            <w:pPr>
              <w:tabs>
                <w:tab w:val="decimal" w:pos="1468"/>
              </w:tabs>
              <w:rPr>
                <w:bCs/>
                <w:lang w:val="es-ES_tradnl"/>
              </w:rPr>
            </w:pPr>
            <w:r>
              <w:rPr>
                <w:bCs/>
                <w:lang w:val="es-ES_tradnl"/>
              </w:rPr>
              <w:t>1.717.404</w:t>
            </w:r>
          </w:p>
        </w:tc>
        <w:tc>
          <w:tcPr>
            <w:tcW w:w="1048" w:type="pct"/>
            <w:tcBorders>
              <w:right w:val="single" w:sz="4" w:space="0" w:color="auto"/>
            </w:tcBorders>
          </w:tcPr>
          <w:p w:rsidR="00000000" w:rsidRDefault="00000000">
            <w:pPr>
              <w:tabs>
                <w:tab w:val="decimal" w:pos="806"/>
              </w:tabs>
              <w:rPr>
                <w:bCs/>
                <w:lang w:val="es-ES_tradnl"/>
              </w:rPr>
            </w:pPr>
            <w:r>
              <w:rPr>
                <w:bCs/>
                <w:lang w:val="es-ES_tradnl"/>
              </w:rPr>
              <w:t>0,22</w:t>
            </w:r>
          </w:p>
        </w:tc>
      </w:tr>
      <w:tr w:rsidR="00000000">
        <w:trPr>
          <w:jc w:val="center"/>
        </w:trPr>
        <w:tc>
          <w:tcPr>
            <w:tcW w:w="2904" w:type="pct"/>
            <w:tcBorders>
              <w:left w:val="single" w:sz="4" w:space="0" w:color="auto"/>
            </w:tcBorders>
          </w:tcPr>
          <w:p w:rsidR="00000000" w:rsidRDefault="00000000">
            <w:pPr>
              <w:rPr>
                <w:bCs/>
                <w:lang w:val="es-ES_tradnl"/>
              </w:rPr>
            </w:pPr>
            <w:r>
              <w:rPr>
                <w:bCs/>
                <w:lang w:val="es-ES_tradnl"/>
              </w:rPr>
              <w:t>Prestaciones a las familias monoparentales</w:t>
            </w:r>
          </w:p>
        </w:tc>
        <w:tc>
          <w:tcPr>
            <w:tcW w:w="1048" w:type="pct"/>
          </w:tcPr>
          <w:p w:rsidR="00000000" w:rsidRDefault="00000000">
            <w:pPr>
              <w:tabs>
                <w:tab w:val="decimal" w:pos="1468"/>
              </w:tabs>
              <w:rPr>
                <w:bCs/>
                <w:lang w:val="es-ES_tradnl"/>
              </w:rPr>
            </w:pPr>
            <w:r>
              <w:rPr>
                <w:bCs/>
                <w:lang w:val="es-ES_tradnl"/>
              </w:rPr>
              <w:t>1.202.097</w:t>
            </w:r>
          </w:p>
        </w:tc>
        <w:tc>
          <w:tcPr>
            <w:tcW w:w="1048" w:type="pct"/>
            <w:tcBorders>
              <w:right w:val="single" w:sz="4" w:space="0" w:color="auto"/>
            </w:tcBorders>
          </w:tcPr>
          <w:p w:rsidR="00000000" w:rsidRDefault="00000000">
            <w:pPr>
              <w:tabs>
                <w:tab w:val="decimal" w:pos="806"/>
              </w:tabs>
              <w:rPr>
                <w:bCs/>
                <w:lang w:val="es-ES_tradnl"/>
              </w:rPr>
            </w:pPr>
            <w:r>
              <w:rPr>
                <w:bCs/>
                <w:lang w:val="es-ES_tradnl"/>
              </w:rPr>
              <w:t>0,15</w:t>
            </w:r>
          </w:p>
        </w:tc>
      </w:tr>
      <w:tr w:rsidR="00000000">
        <w:trPr>
          <w:jc w:val="center"/>
        </w:trPr>
        <w:tc>
          <w:tcPr>
            <w:tcW w:w="2904" w:type="pct"/>
            <w:tcBorders>
              <w:left w:val="single" w:sz="4" w:space="0" w:color="auto"/>
              <w:bottom w:val="single" w:sz="8" w:space="0" w:color="auto"/>
            </w:tcBorders>
          </w:tcPr>
          <w:p w:rsidR="00000000" w:rsidRDefault="00000000">
            <w:pPr>
              <w:rPr>
                <w:bCs/>
                <w:lang w:val="es-ES_tradnl"/>
              </w:rPr>
            </w:pPr>
            <w:r>
              <w:rPr>
                <w:bCs/>
                <w:lang w:val="es-ES_tradnl"/>
              </w:rPr>
              <w:t>Subsidios de vivienda para las familias</w:t>
            </w:r>
          </w:p>
        </w:tc>
        <w:tc>
          <w:tcPr>
            <w:tcW w:w="1048" w:type="pct"/>
          </w:tcPr>
          <w:p w:rsidR="00000000" w:rsidRDefault="00000000">
            <w:pPr>
              <w:tabs>
                <w:tab w:val="decimal" w:pos="1468"/>
              </w:tabs>
              <w:rPr>
                <w:bCs/>
                <w:lang w:val="es-ES_tradnl"/>
              </w:rPr>
            </w:pPr>
            <w:r>
              <w:rPr>
                <w:bCs/>
                <w:lang w:val="es-ES_tradnl"/>
              </w:rPr>
              <w:t>1.510.484</w:t>
            </w:r>
          </w:p>
        </w:tc>
        <w:tc>
          <w:tcPr>
            <w:tcW w:w="1048" w:type="pct"/>
            <w:tcBorders>
              <w:right w:val="single" w:sz="4" w:space="0" w:color="auto"/>
            </w:tcBorders>
          </w:tcPr>
          <w:p w:rsidR="00000000" w:rsidRDefault="00000000">
            <w:pPr>
              <w:tabs>
                <w:tab w:val="decimal" w:pos="806"/>
              </w:tabs>
              <w:rPr>
                <w:bCs/>
                <w:lang w:val="es-ES_tradnl"/>
              </w:rPr>
            </w:pPr>
            <w:r>
              <w:rPr>
                <w:bCs/>
                <w:lang w:val="es-ES_tradnl"/>
              </w:rPr>
              <w:t>0,19</w:t>
            </w:r>
          </w:p>
        </w:tc>
      </w:tr>
      <w:tr w:rsidR="00000000">
        <w:trPr>
          <w:jc w:val="center"/>
        </w:trPr>
        <w:tc>
          <w:tcPr>
            <w:tcW w:w="2904" w:type="pct"/>
            <w:tcBorders>
              <w:top w:val="single" w:sz="8" w:space="0" w:color="auto"/>
              <w:left w:val="single" w:sz="4" w:space="0" w:color="auto"/>
              <w:bottom w:val="single" w:sz="4" w:space="0" w:color="auto"/>
            </w:tcBorders>
          </w:tcPr>
          <w:p w:rsidR="00000000" w:rsidRDefault="00000000">
            <w:pPr>
              <w:rPr>
                <w:bCs/>
                <w:lang w:val="es-ES_tradnl"/>
              </w:rPr>
            </w:pPr>
            <w:r>
              <w:rPr>
                <w:bCs/>
                <w:lang w:val="es-ES_tradnl"/>
              </w:rPr>
              <w:t>Asistencia a la familia (subvenciones del Estado a la asistencia municipal a las familias)</w:t>
            </w:r>
          </w:p>
        </w:tc>
        <w:tc>
          <w:tcPr>
            <w:tcW w:w="1048" w:type="pct"/>
            <w:tcBorders>
              <w:bottom w:val="single" w:sz="4" w:space="0" w:color="auto"/>
            </w:tcBorders>
            <w:vAlign w:val="bottom"/>
          </w:tcPr>
          <w:p w:rsidR="00000000" w:rsidRDefault="00000000">
            <w:pPr>
              <w:tabs>
                <w:tab w:val="decimal" w:pos="1468"/>
              </w:tabs>
              <w:rPr>
                <w:bCs/>
                <w:lang w:val="es-ES_tradnl"/>
              </w:rPr>
            </w:pPr>
            <w:r>
              <w:rPr>
                <w:bCs/>
                <w:lang w:val="es-ES_tradnl"/>
              </w:rPr>
              <w:t>1.248.507</w:t>
            </w:r>
          </w:p>
        </w:tc>
        <w:tc>
          <w:tcPr>
            <w:tcW w:w="1048" w:type="pct"/>
            <w:tcBorders>
              <w:bottom w:val="single" w:sz="4" w:space="0" w:color="auto"/>
              <w:right w:val="single" w:sz="4" w:space="0" w:color="auto"/>
            </w:tcBorders>
            <w:vAlign w:val="bottom"/>
          </w:tcPr>
          <w:p w:rsidR="00000000" w:rsidRDefault="00000000">
            <w:pPr>
              <w:tabs>
                <w:tab w:val="decimal" w:pos="806"/>
              </w:tabs>
              <w:rPr>
                <w:bCs/>
                <w:lang w:val="es-ES_tradnl"/>
              </w:rPr>
            </w:pPr>
            <w:r>
              <w:rPr>
                <w:bCs/>
                <w:lang w:val="es-ES_tradnl"/>
              </w:rPr>
              <w:t>0,16</w:t>
            </w:r>
          </w:p>
        </w:tc>
      </w:tr>
      <w:tr w:rsidR="00000000">
        <w:trPr>
          <w:jc w:val="center"/>
        </w:trPr>
        <w:tc>
          <w:tcPr>
            <w:tcW w:w="2904" w:type="pct"/>
            <w:tcBorders>
              <w:top w:val="single" w:sz="4" w:space="0" w:color="auto"/>
              <w:left w:val="single" w:sz="4" w:space="0" w:color="auto"/>
              <w:bottom w:val="single" w:sz="4" w:space="0" w:color="auto"/>
            </w:tcBorders>
          </w:tcPr>
          <w:p w:rsidR="00000000" w:rsidRDefault="00000000">
            <w:pPr>
              <w:jc w:val="both"/>
              <w:rPr>
                <w:bCs/>
                <w:lang w:val="es-ES_tradnl"/>
              </w:rPr>
            </w:pPr>
            <w:r>
              <w:rPr>
                <w:bCs/>
                <w:lang w:val="es-ES_tradnl"/>
              </w:rPr>
              <w:tab/>
              <w:t>Total</w:t>
            </w:r>
          </w:p>
        </w:tc>
        <w:tc>
          <w:tcPr>
            <w:tcW w:w="1048" w:type="pct"/>
            <w:tcBorders>
              <w:top w:val="single" w:sz="4" w:space="0" w:color="auto"/>
              <w:bottom w:val="single" w:sz="4" w:space="0" w:color="auto"/>
            </w:tcBorders>
          </w:tcPr>
          <w:p w:rsidR="00000000" w:rsidRDefault="00000000">
            <w:pPr>
              <w:tabs>
                <w:tab w:val="decimal" w:pos="1468"/>
              </w:tabs>
              <w:rPr>
                <w:bCs/>
                <w:lang w:val="es-ES_tradnl"/>
              </w:rPr>
            </w:pPr>
            <w:r>
              <w:rPr>
                <w:bCs/>
                <w:lang w:val="es-ES_tradnl"/>
              </w:rPr>
              <w:t>48.655.834</w:t>
            </w:r>
          </w:p>
        </w:tc>
        <w:tc>
          <w:tcPr>
            <w:tcW w:w="1048" w:type="pct"/>
            <w:tcBorders>
              <w:top w:val="single" w:sz="4" w:space="0" w:color="auto"/>
              <w:bottom w:val="single" w:sz="4" w:space="0" w:color="auto"/>
              <w:right w:val="single" w:sz="4" w:space="0" w:color="auto"/>
            </w:tcBorders>
          </w:tcPr>
          <w:p w:rsidR="00000000" w:rsidRDefault="00000000">
            <w:pPr>
              <w:tabs>
                <w:tab w:val="decimal" w:pos="806"/>
              </w:tabs>
              <w:rPr>
                <w:bCs/>
                <w:lang w:val="es-ES_tradnl"/>
              </w:rPr>
            </w:pPr>
            <w:r>
              <w:rPr>
                <w:bCs/>
                <w:lang w:val="es-ES_tradnl"/>
              </w:rPr>
              <w:t>6,13</w:t>
            </w:r>
          </w:p>
        </w:tc>
      </w:tr>
    </w:tbl>
    <w:p w:rsidR="00000000" w:rsidRDefault="00000000">
      <w:pPr>
        <w:spacing w:before="120" w:after="120"/>
        <w:rPr>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7"/>
        <w:gridCol w:w="2058"/>
        <w:gridCol w:w="2056"/>
      </w:tblGrid>
      <w:tr w:rsidR="0000000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00000" w:rsidRDefault="00000000">
            <w:pPr>
              <w:jc w:val="center"/>
              <w:rPr>
                <w:bCs/>
                <w:lang w:val="es-ES_tradnl"/>
              </w:rPr>
            </w:pPr>
            <w:r>
              <w:rPr>
                <w:bCs/>
                <w:lang w:val="es-ES_tradnl"/>
              </w:rPr>
              <w:t>2004</w:t>
            </w:r>
          </w:p>
        </w:tc>
      </w:tr>
      <w:tr w:rsidR="00000000">
        <w:trPr>
          <w:jc w:val="center"/>
        </w:trPr>
        <w:tc>
          <w:tcPr>
            <w:tcW w:w="2851" w:type="pct"/>
            <w:tcBorders>
              <w:left w:val="single" w:sz="4" w:space="0" w:color="auto"/>
              <w:bottom w:val="single" w:sz="4" w:space="0" w:color="auto"/>
            </w:tcBorders>
            <w:vAlign w:val="center"/>
          </w:tcPr>
          <w:p w:rsidR="00000000" w:rsidRDefault="00000000">
            <w:pPr>
              <w:jc w:val="center"/>
              <w:rPr>
                <w:bCs/>
                <w:lang w:val="es-ES_tradnl"/>
              </w:rPr>
            </w:pPr>
            <w:r>
              <w:rPr>
                <w:bCs/>
                <w:lang w:val="es-ES_tradnl"/>
              </w:rPr>
              <w:t>Tipo de apoyo</w:t>
            </w:r>
          </w:p>
        </w:tc>
        <w:tc>
          <w:tcPr>
            <w:tcW w:w="1075" w:type="pct"/>
            <w:tcBorders>
              <w:bottom w:val="single" w:sz="4" w:space="0" w:color="auto"/>
            </w:tcBorders>
            <w:vAlign w:val="center"/>
          </w:tcPr>
          <w:p w:rsidR="00000000" w:rsidRDefault="00000000">
            <w:pPr>
              <w:jc w:val="center"/>
              <w:rPr>
                <w:bCs/>
                <w:lang w:val="es-ES_tradnl"/>
              </w:rPr>
            </w:pPr>
            <w:r>
              <w:rPr>
                <w:bCs/>
                <w:lang w:val="es-ES_tradnl"/>
              </w:rPr>
              <w:t>Contribución (en CHF)</w:t>
            </w:r>
          </w:p>
        </w:tc>
        <w:tc>
          <w:tcPr>
            <w:tcW w:w="1075" w:type="pct"/>
            <w:tcBorders>
              <w:bottom w:val="single" w:sz="4" w:space="0" w:color="auto"/>
              <w:right w:val="single" w:sz="4" w:space="0" w:color="auto"/>
            </w:tcBorders>
            <w:vAlign w:val="center"/>
          </w:tcPr>
          <w:p w:rsidR="00000000" w:rsidRDefault="00000000">
            <w:pPr>
              <w:jc w:val="center"/>
              <w:rPr>
                <w:bCs/>
                <w:lang w:val="es-ES_tradnl"/>
              </w:rPr>
            </w:pPr>
            <w:r>
              <w:rPr>
                <w:bCs/>
                <w:lang w:val="es-ES_tradnl"/>
              </w:rPr>
              <w:t>Porcentaje del PN de 2004</w:t>
            </w:r>
          </w:p>
        </w:tc>
      </w:tr>
      <w:tr w:rsidR="00000000">
        <w:trPr>
          <w:jc w:val="center"/>
        </w:trPr>
        <w:tc>
          <w:tcPr>
            <w:tcW w:w="2851" w:type="pct"/>
            <w:tcBorders>
              <w:top w:val="single" w:sz="4" w:space="0" w:color="auto"/>
              <w:left w:val="single" w:sz="4" w:space="0" w:color="auto"/>
            </w:tcBorders>
          </w:tcPr>
          <w:p w:rsidR="00000000" w:rsidRDefault="00000000">
            <w:pPr>
              <w:rPr>
                <w:bCs/>
                <w:lang w:val="es-ES_tradnl"/>
              </w:rPr>
            </w:pPr>
            <w:r>
              <w:rPr>
                <w:bCs/>
                <w:lang w:val="es-ES_tradnl"/>
              </w:rPr>
              <w:t>Subsidios por hijo a cargo</w:t>
            </w:r>
          </w:p>
        </w:tc>
        <w:tc>
          <w:tcPr>
            <w:tcW w:w="1075" w:type="pct"/>
            <w:tcBorders>
              <w:top w:val="single" w:sz="4" w:space="0" w:color="auto"/>
            </w:tcBorders>
          </w:tcPr>
          <w:p w:rsidR="00000000" w:rsidRDefault="00000000">
            <w:pPr>
              <w:tabs>
                <w:tab w:val="decimal" w:pos="1468"/>
              </w:tabs>
              <w:rPr>
                <w:bCs/>
                <w:lang w:val="es-ES_tradnl"/>
              </w:rPr>
            </w:pPr>
            <w:r>
              <w:rPr>
                <w:bCs/>
                <w:lang w:val="es-ES_tradnl"/>
              </w:rPr>
              <w:t>43.936.268</w:t>
            </w:r>
          </w:p>
        </w:tc>
        <w:tc>
          <w:tcPr>
            <w:tcW w:w="1075" w:type="pct"/>
            <w:tcBorders>
              <w:top w:val="single" w:sz="4" w:space="0" w:color="auto"/>
              <w:right w:val="single" w:sz="4" w:space="0" w:color="auto"/>
            </w:tcBorders>
          </w:tcPr>
          <w:p w:rsidR="00000000" w:rsidRDefault="00000000">
            <w:pPr>
              <w:tabs>
                <w:tab w:val="decimal" w:pos="806"/>
              </w:tabs>
              <w:rPr>
                <w:bCs/>
                <w:lang w:val="es-ES_tradnl"/>
              </w:rPr>
            </w:pPr>
            <w:r>
              <w:rPr>
                <w:bCs/>
                <w:lang w:val="es-ES_tradnl"/>
              </w:rPr>
              <w:t>5,63</w:t>
            </w:r>
          </w:p>
        </w:tc>
      </w:tr>
      <w:tr w:rsidR="00000000">
        <w:trPr>
          <w:jc w:val="center"/>
        </w:trPr>
        <w:tc>
          <w:tcPr>
            <w:tcW w:w="2851" w:type="pct"/>
            <w:tcBorders>
              <w:left w:val="single" w:sz="4" w:space="0" w:color="auto"/>
            </w:tcBorders>
          </w:tcPr>
          <w:p w:rsidR="00000000" w:rsidRDefault="00000000">
            <w:pPr>
              <w:rPr>
                <w:bCs/>
                <w:lang w:val="es-ES_tradnl"/>
              </w:rPr>
            </w:pPr>
            <w:r>
              <w:rPr>
                <w:bCs/>
                <w:lang w:val="es-ES_tradnl"/>
              </w:rPr>
              <w:t>Prestaciones por nacimiento</w:t>
            </w:r>
          </w:p>
        </w:tc>
        <w:tc>
          <w:tcPr>
            <w:tcW w:w="1075" w:type="pct"/>
          </w:tcPr>
          <w:p w:rsidR="00000000" w:rsidRDefault="00000000">
            <w:pPr>
              <w:tabs>
                <w:tab w:val="decimal" w:pos="1468"/>
              </w:tabs>
              <w:rPr>
                <w:bCs/>
                <w:lang w:val="es-ES_tradnl"/>
              </w:rPr>
            </w:pPr>
            <w:r>
              <w:rPr>
                <w:bCs/>
                <w:lang w:val="es-ES_tradnl"/>
              </w:rPr>
              <w:t>1.739.400</w:t>
            </w:r>
          </w:p>
        </w:tc>
        <w:tc>
          <w:tcPr>
            <w:tcW w:w="1075" w:type="pct"/>
            <w:tcBorders>
              <w:right w:val="single" w:sz="4" w:space="0" w:color="auto"/>
            </w:tcBorders>
          </w:tcPr>
          <w:p w:rsidR="00000000" w:rsidRDefault="00000000">
            <w:pPr>
              <w:tabs>
                <w:tab w:val="decimal" w:pos="806"/>
              </w:tabs>
              <w:rPr>
                <w:bCs/>
                <w:lang w:val="es-ES_tradnl"/>
              </w:rPr>
            </w:pPr>
            <w:r>
              <w:rPr>
                <w:bCs/>
                <w:lang w:val="es-ES_tradnl"/>
              </w:rPr>
              <w:t>0,22</w:t>
            </w:r>
          </w:p>
        </w:tc>
      </w:tr>
      <w:tr w:rsidR="00000000">
        <w:trPr>
          <w:jc w:val="center"/>
        </w:trPr>
        <w:tc>
          <w:tcPr>
            <w:tcW w:w="2851" w:type="pct"/>
            <w:tcBorders>
              <w:left w:val="single" w:sz="4" w:space="0" w:color="auto"/>
            </w:tcBorders>
          </w:tcPr>
          <w:p w:rsidR="00000000" w:rsidRDefault="00000000">
            <w:pPr>
              <w:rPr>
                <w:bCs/>
                <w:lang w:val="es-ES_tradnl"/>
              </w:rPr>
            </w:pPr>
            <w:r>
              <w:rPr>
                <w:bCs/>
                <w:lang w:val="es-ES_tradnl"/>
              </w:rPr>
              <w:t>Prestaciones a las familias monoparentales</w:t>
            </w:r>
          </w:p>
        </w:tc>
        <w:tc>
          <w:tcPr>
            <w:tcW w:w="1075" w:type="pct"/>
          </w:tcPr>
          <w:p w:rsidR="00000000" w:rsidRDefault="00000000">
            <w:pPr>
              <w:tabs>
                <w:tab w:val="decimal" w:pos="1468"/>
              </w:tabs>
              <w:rPr>
                <w:bCs/>
                <w:lang w:val="es-ES_tradnl"/>
              </w:rPr>
            </w:pPr>
            <w:r>
              <w:rPr>
                <w:bCs/>
                <w:lang w:val="es-ES_tradnl"/>
              </w:rPr>
              <w:t>1.281.580</w:t>
            </w:r>
          </w:p>
        </w:tc>
        <w:tc>
          <w:tcPr>
            <w:tcW w:w="1075" w:type="pct"/>
            <w:tcBorders>
              <w:right w:val="single" w:sz="4" w:space="0" w:color="auto"/>
            </w:tcBorders>
          </w:tcPr>
          <w:p w:rsidR="00000000" w:rsidRDefault="00000000">
            <w:pPr>
              <w:tabs>
                <w:tab w:val="decimal" w:pos="806"/>
              </w:tabs>
              <w:rPr>
                <w:bCs/>
                <w:lang w:val="es-ES_tradnl"/>
              </w:rPr>
            </w:pPr>
            <w:r>
              <w:rPr>
                <w:bCs/>
                <w:lang w:val="es-ES_tradnl"/>
              </w:rPr>
              <w:t>0,16</w:t>
            </w:r>
          </w:p>
        </w:tc>
      </w:tr>
      <w:tr w:rsidR="00000000">
        <w:trPr>
          <w:jc w:val="center"/>
        </w:trPr>
        <w:tc>
          <w:tcPr>
            <w:tcW w:w="2851" w:type="pct"/>
            <w:tcBorders>
              <w:left w:val="single" w:sz="4" w:space="0" w:color="auto"/>
              <w:bottom w:val="single" w:sz="4" w:space="0" w:color="auto"/>
            </w:tcBorders>
          </w:tcPr>
          <w:p w:rsidR="00000000" w:rsidRDefault="00000000">
            <w:pPr>
              <w:rPr>
                <w:bCs/>
                <w:lang w:val="es-ES_tradnl"/>
              </w:rPr>
            </w:pPr>
            <w:r>
              <w:rPr>
                <w:bCs/>
                <w:lang w:val="es-ES_tradnl"/>
              </w:rPr>
              <w:t>Subsidios de vivienda para las familias</w:t>
            </w:r>
          </w:p>
        </w:tc>
        <w:tc>
          <w:tcPr>
            <w:tcW w:w="1075" w:type="pct"/>
            <w:tcBorders>
              <w:bottom w:val="single" w:sz="4" w:space="0" w:color="auto"/>
            </w:tcBorders>
          </w:tcPr>
          <w:p w:rsidR="00000000" w:rsidRDefault="00000000">
            <w:pPr>
              <w:tabs>
                <w:tab w:val="decimal" w:pos="1468"/>
              </w:tabs>
              <w:rPr>
                <w:bCs/>
                <w:lang w:val="es-ES_tradnl"/>
              </w:rPr>
            </w:pPr>
            <w:r>
              <w:rPr>
                <w:bCs/>
                <w:lang w:val="es-ES_tradnl"/>
              </w:rPr>
              <w:t>1.737.232</w:t>
            </w:r>
          </w:p>
        </w:tc>
        <w:tc>
          <w:tcPr>
            <w:tcW w:w="1075" w:type="pct"/>
            <w:tcBorders>
              <w:bottom w:val="single" w:sz="4" w:space="0" w:color="auto"/>
              <w:right w:val="single" w:sz="4" w:space="0" w:color="auto"/>
            </w:tcBorders>
          </w:tcPr>
          <w:p w:rsidR="00000000" w:rsidRDefault="00000000">
            <w:pPr>
              <w:tabs>
                <w:tab w:val="decimal" w:pos="806"/>
              </w:tabs>
              <w:rPr>
                <w:bCs/>
                <w:lang w:val="es-ES_tradnl"/>
              </w:rPr>
            </w:pPr>
            <w:r>
              <w:rPr>
                <w:bCs/>
                <w:lang w:val="es-ES_tradnl"/>
              </w:rPr>
              <w:t>0,22</w:t>
            </w:r>
          </w:p>
        </w:tc>
      </w:tr>
      <w:tr w:rsidR="00000000">
        <w:trPr>
          <w:jc w:val="center"/>
        </w:trPr>
        <w:tc>
          <w:tcPr>
            <w:tcW w:w="2851" w:type="pct"/>
            <w:tcBorders>
              <w:left w:val="single" w:sz="4" w:space="0" w:color="auto"/>
              <w:bottom w:val="single" w:sz="4" w:space="0" w:color="auto"/>
            </w:tcBorders>
          </w:tcPr>
          <w:p w:rsidR="00000000" w:rsidRDefault="00000000">
            <w:pPr>
              <w:rPr>
                <w:bCs/>
                <w:lang w:val="es-ES_tradnl"/>
              </w:rPr>
            </w:pPr>
            <w:r>
              <w:rPr>
                <w:bCs/>
                <w:lang w:val="es-ES_tradnl"/>
              </w:rPr>
              <w:t>Asistencia a la familia (subvenciones del Estado a la asistencia municipal a las familias)</w:t>
            </w:r>
          </w:p>
        </w:tc>
        <w:tc>
          <w:tcPr>
            <w:tcW w:w="1075" w:type="pct"/>
            <w:tcBorders>
              <w:bottom w:val="single" w:sz="4" w:space="0" w:color="auto"/>
            </w:tcBorders>
            <w:vAlign w:val="bottom"/>
          </w:tcPr>
          <w:p w:rsidR="00000000" w:rsidRDefault="00000000">
            <w:pPr>
              <w:tabs>
                <w:tab w:val="decimal" w:pos="1468"/>
              </w:tabs>
              <w:rPr>
                <w:bCs/>
                <w:lang w:val="es-ES_tradnl"/>
              </w:rPr>
            </w:pPr>
            <w:r>
              <w:rPr>
                <w:bCs/>
                <w:lang w:val="es-ES_tradnl"/>
              </w:rPr>
              <w:t>1.349.866</w:t>
            </w:r>
          </w:p>
        </w:tc>
        <w:tc>
          <w:tcPr>
            <w:tcW w:w="1075" w:type="pct"/>
            <w:tcBorders>
              <w:bottom w:val="single" w:sz="4" w:space="0" w:color="auto"/>
              <w:right w:val="single" w:sz="4" w:space="0" w:color="auto"/>
            </w:tcBorders>
            <w:vAlign w:val="bottom"/>
          </w:tcPr>
          <w:p w:rsidR="00000000" w:rsidRDefault="00000000">
            <w:pPr>
              <w:tabs>
                <w:tab w:val="decimal" w:pos="806"/>
              </w:tabs>
              <w:rPr>
                <w:bCs/>
                <w:lang w:val="es-ES_tradnl"/>
              </w:rPr>
            </w:pPr>
            <w:r>
              <w:rPr>
                <w:bCs/>
                <w:lang w:val="es-ES_tradnl"/>
              </w:rPr>
              <w:t>0,17</w:t>
            </w:r>
          </w:p>
        </w:tc>
      </w:tr>
      <w:tr w:rsidR="00000000">
        <w:trPr>
          <w:jc w:val="center"/>
        </w:trPr>
        <w:tc>
          <w:tcPr>
            <w:tcW w:w="2851" w:type="pct"/>
            <w:tcBorders>
              <w:top w:val="single" w:sz="4" w:space="0" w:color="auto"/>
              <w:left w:val="single" w:sz="4" w:space="0" w:color="auto"/>
              <w:bottom w:val="single" w:sz="4" w:space="0" w:color="auto"/>
            </w:tcBorders>
          </w:tcPr>
          <w:p w:rsidR="00000000" w:rsidRDefault="00000000">
            <w:pPr>
              <w:jc w:val="both"/>
              <w:rPr>
                <w:bCs/>
                <w:lang w:val="es-ES_tradnl"/>
              </w:rPr>
            </w:pPr>
            <w:r>
              <w:rPr>
                <w:bCs/>
                <w:lang w:val="es-ES_tradnl"/>
              </w:rPr>
              <w:tab/>
              <w:t>Total</w:t>
            </w:r>
          </w:p>
        </w:tc>
        <w:tc>
          <w:tcPr>
            <w:tcW w:w="1075" w:type="pct"/>
            <w:tcBorders>
              <w:top w:val="single" w:sz="4" w:space="0" w:color="auto"/>
              <w:bottom w:val="single" w:sz="4" w:space="0" w:color="auto"/>
            </w:tcBorders>
          </w:tcPr>
          <w:p w:rsidR="00000000" w:rsidRDefault="00000000">
            <w:pPr>
              <w:tabs>
                <w:tab w:val="decimal" w:pos="1468"/>
              </w:tabs>
              <w:rPr>
                <w:bCs/>
                <w:lang w:val="es-ES_tradnl"/>
              </w:rPr>
            </w:pPr>
            <w:r>
              <w:rPr>
                <w:bCs/>
                <w:lang w:val="es-ES_tradnl"/>
              </w:rPr>
              <w:t>50.044.346</w:t>
            </w:r>
          </w:p>
        </w:tc>
        <w:tc>
          <w:tcPr>
            <w:tcW w:w="1075" w:type="pct"/>
            <w:tcBorders>
              <w:top w:val="single" w:sz="4" w:space="0" w:color="auto"/>
              <w:bottom w:val="single" w:sz="4" w:space="0" w:color="auto"/>
              <w:right w:val="single" w:sz="4" w:space="0" w:color="auto"/>
            </w:tcBorders>
          </w:tcPr>
          <w:p w:rsidR="00000000" w:rsidRDefault="00000000">
            <w:pPr>
              <w:tabs>
                <w:tab w:val="decimal" w:pos="806"/>
              </w:tabs>
              <w:rPr>
                <w:bCs/>
                <w:lang w:val="es-ES_tradnl"/>
              </w:rPr>
            </w:pPr>
            <w:r>
              <w:rPr>
                <w:bCs/>
                <w:lang w:val="es-ES_tradnl"/>
              </w:rPr>
              <w:t>6,41</w:t>
            </w:r>
          </w:p>
        </w:tc>
      </w:tr>
    </w:tbl>
    <w:p w:rsidR="00000000" w:rsidRDefault="00000000">
      <w:pPr>
        <w:spacing w:before="480" w:after="240"/>
        <w:ind w:left="567" w:hanging="567"/>
        <w:rPr>
          <w:b/>
          <w:bCs/>
        </w:rPr>
      </w:pPr>
      <w:r>
        <w:rPr>
          <w:b/>
          <w:bCs/>
        </w:rPr>
        <w:t>2f)</w:t>
      </w:r>
      <w:r>
        <w:rPr>
          <w:b/>
          <w:bCs/>
        </w:rPr>
        <w:tab/>
        <w:t>Apoyo a los niños que viven por debajo del umbral de pobreza (sírvanse especificar también los criterios para definir la "pobreza" y señalar el número de niños que viven por debajo de ese umbral)</w:t>
      </w:r>
    </w:p>
    <w:p w:rsidR="00000000" w:rsidRDefault="00000000">
      <w:pPr>
        <w:spacing w:after="240"/>
      </w:pPr>
      <w:r>
        <w:tab/>
        <w:t>La pobreza absoluta propiamente dicha no existe en Liechtenstein, aunque hay personas relativamente desaventajadas que necesitan del apoyo del Estado.  No se emplea ninguna definición específica de "pobreza".  En 2003, 477 familias recibieron ayuda económica de carácter social de la Oficina de Asuntos Sociales, esto es, subsidios públicos a los que se tiene derecho.  En total, 1.001 personas de esas familias recibieron ayuda, entre ellos 317 niños menores de 18 años.  En 2003, el gasto total de ayudas económicas de carácter social ascendió a 3,8 millones de francos suizos (el 50% con cargo al Estado y el otro 50% aportado por los municipios).</w:t>
      </w:r>
    </w:p>
    <w:p w:rsidR="00000000" w:rsidRDefault="00000000">
      <w:pPr>
        <w:spacing w:after="240"/>
      </w:pPr>
      <w:r>
        <w:tab/>
        <w:t>Existen otras ayudas públicas, como los subsidios por hijo a cargo y la prestación por nacimiento, las prestaciones a las familias monoparentales y los subsidios de vivienda (véase la cuestión 2e).  El Estado también facilita la reducción de las primas del seguro de enfermedad en el caso de las personas de bajos ingresos.  Este gasto ascendió a unos 3 millones de francos suizos en 2003 y unos 4,1 millones en 2004.</w:t>
      </w:r>
    </w:p>
    <w:p w:rsidR="00000000" w:rsidRDefault="00000000">
      <w:pPr>
        <w:keepNext/>
        <w:keepLines/>
        <w:spacing w:after="240"/>
        <w:ind w:left="567" w:hanging="567"/>
        <w:rPr>
          <w:b/>
          <w:bCs/>
        </w:rPr>
      </w:pPr>
      <w:r>
        <w:rPr>
          <w:b/>
          <w:bCs/>
        </w:rPr>
        <w:t>2g)</w:t>
      </w:r>
      <w:r>
        <w:rPr>
          <w:b/>
          <w:bCs/>
        </w:rPr>
        <w:tab/>
        <w:t>Protección de los niños que necesitan otras formas de atención, en particular el apoyo a las instituciones que prestan dicha atención</w:t>
      </w:r>
    </w:p>
    <w:p w:rsidR="00000000" w:rsidRDefault="00000000">
      <w:pPr>
        <w:keepNext/>
        <w:keepLines/>
        <w:spacing w:after="240"/>
      </w:pPr>
      <w:r>
        <w:tab/>
        <w:t>El total del gasto público en concepto de otras formas de atención ascendió a 1,15 millones de francos suizos.  Esta cifra equivale a alrededor de un 0,15% del presupuesto nacional de 2004.  Esta cantidad es sufragada conjuntamente por el Estado y los municipios.  Las contribuciones se dividen en contribuciones individualizadas y contribuciones generales a las instituciones.  En 2004, las contribuciones institucionales ascendieron a 473.000 francos suizos y las contribuciones individualizadas a 677.315.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135"/>
        <w:gridCol w:w="1901"/>
        <w:gridCol w:w="1683"/>
      </w:tblGrid>
      <w:tr w:rsidR="00000000">
        <w:tc>
          <w:tcPr>
            <w:tcW w:w="5000" w:type="pct"/>
            <w:gridSpan w:val="4"/>
          </w:tcPr>
          <w:p w:rsidR="00000000" w:rsidRDefault="00000000">
            <w:pPr>
              <w:jc w:val="center"/>
              <w:rPr>
                <w:bCs/>
                <w:lang w:val="es-ES_tradnl"/>
              </w:rPr>
            </w:pPr>
            <w:r>
              <w:rPr>
                <w:bCs/>
                <w:lang w:val="es-ES_tradnl"/>
              </w:rPr>
              <w:t>2004</w:t>
            </w:r>
          </w:p>
        </w:tc>
      </w:tr>
      <w:tr w:rsidR="00000000">
        <w:tc>
          <w:tcPr>
            <w:tcW w:w="3128" w:type="pct"/>
            <w:gridSpan w:val="2"/>
          </w:tcPr>
          <w:p w:rsidR="00000000" w:rsidRDefault="00000000">
            <w:pPr>
              <w:jc w:val="both"/>
              <w:rPr>
                <w:bCs/>
                <w:lang w:val="es-ES_tradnl"/>
              </w:rPr>
            </w:pPr>
          </w:p>
        </w:tc>
        <w:tc>
          <w:tcPr>
            <w:tcW w:w="993" w:type="pct"/>
          </w:tcPr>
          <w:p w:rsidR="00000000" w:rsidRDefault="00000000">
            <w:pPr>
              <w:jc w:val="center"/>
              <w:rPr>
                <w:bCs/>
                <w:lang w:val="es-ES_tradnl"/>
              </w:rPr>
            </w:pPr>
            <w:r>
              <w:rPr>
                <w:bCs/>
                <w:lang w:val="es-ES_tradnl"/>
              </w:rPr>
              <w:t>Contribuciones individualizadas</w:t>
            </w:r>
            <w:r>
              <w:rPr>
                <w:bCs/>
                <w:lang w:val="es-ES_tradnl"/>
              </w:rPr>
              <w:br/>
              <w:t>(en CHF)</w:t>
            </w:r>
          </w:p>
        </w:tc>
        <w:tc>
          <w:tcPr>
            <w:tcW w:w="879" w:type="pct"/>
          </w:tcPr>
          <w:p w:rsidR="00000000" w:rsidRDefault="00000000">
            <w:pPr>
              <w:jc w:val="center"/>
              <w:rPr>
                <w:bCs/>
                <w:lang w:val="es-ES_tradnl"/>
              </w:rPr>
            </w:pPr>
            <w:r>
              <w:rPr>
                <w:bCs/>
                <w:lang w:val="es-ES_tradnl"/>
              </w:rPr>
              <w:t>Contribuciones institucionales (en CHF)</w:t>
            </w:r>
          </w:p>
        </w:tc>
      </w:tr>
      <w:tr w:rsidR="00000000">
        <w:tc>
          <w:tcPr>
            <w:tcW w:w="3128" w:type="pct"/>
            <w:gridSpan w:val="2"/>
          </w:tcPr>
          <w:p w:rsidR="00000000" w:rsidRDefault="00000000">
            <w:pPr>
              <w:jc w:val="both"/>
              <w:rPr>
                <w:bCs/>
                <w:lang w:val="es-ES_tradnl"/>
              </w:rPr>
            </w:pPr>
            <w:r>
              <w:rPr>
                <w:bCs/>
                <w:lang w:val="es-ES_tradnl"/>
              </w:rPr>
              <w:t>Asistencia especial</w:t>
            </w:r>
          </w:p>
        </w:tc>
        <w:tc>
          <w:tcPr>
            <w:tcW w:w="993" w:type="pct"/>
            <w:vAlign w:val="center"/>
          </w:tcPr>
          <w:p w:rsidR="00000000" w:rsidRDefault="00000000">
            <w:pPr>
              <w:ind w:right="603"/>
              <w:jc w:val="right"/>
              <w:rPr>
                <w:bCs/>
                <w:lang w:val="es-ES_tradnl"/>
              </w:rPr>
            </w:pPr>
            <w:r>
              <w:rPr>
                <w:bCs/>
                <w:lang w:val="es-ES_tradnl"/>
              </w:rPr>
              <w:t>23.243</w:t>
            </w:r>
          </w:p>
        </w:tc>
        <w:tc>
          <w:tcPr>
            <w:tcW w:w="879" w:type="pct"/>
            <w:vAlign w:val="center"/>
          </w:tcPr>
          <w:p w:rsidR="00000000" w:rsidRDefault="00000000">
            <w:pPr>
              <w:ind w:right="624"/>
              <w:jc w:val="right"/>
              <w:rPr>
                <w:bCs/>
                <w:lang w:val="es-ES_tradnl"/>
              </w:rPr>
            </w:pPr>
          </w:p>
        </w:tc>
      </w:tr>
      <w:tr w:rsidR="00000000">
        <w:trPr>
          <w:cantSplit/>
        </w:trPr>
        <w:tc>
          <w:tcPr>
            <w:tcW w:w="1490" w:type="pct"/>
            <w:vMerge w:val="restart"/>
            <w:vAlign w:val="center"/>
          </w:tcPr>
          <w:p w:rsidR="00000000" w:rsidRDefault="00000000">
            <w:pPr>
              <w:rPr>
                <w:bCs/>
                <w:lang w:val="es-ES_tradnl"/>
              </w:rPr>
            </w:pPr>
            <w:r>
              <w:rPr>
                <w:bCs/>
                <w:lang w:val="es-ES_tradnl"/>
              </w:rPr>
              <w:t>Instalaciones hospitalarias en el extranjero</w:t>
            </w:r>
          </w:p>
        </w:tc>
        <w:tc>
          <w:tcPr>
            <w:tcW w:w="1638" w:type="pct"/>
          </w:tcPr>
          <w:p w:rsidR="00000000" w:rsidRDefault="00000000">
            <w:pPr>
              <w:rPr>
                <w:bCs/>
                <w:lang w:val="es-ES_tradnl"/>
              </w:rPr>
            </w:pPr>
            <w:r>
              <w:rPr>
                <w:bCs/>
                <w:lang w:val="es-ES_tradnl"/>
              </w:rPr>
              <w:t>Centro Socio-Pedagógico</w:t>
            </w:r>
          </w:p>
        </w:tc>
        <w:tc>
          <w:tcPr>
            <w:tcW w:w="993" w:type="pct"/>
            <w:vAlign w:val="center"/>
          </w:tcPr>
          <w:p w:rsidR="00000000" w:rsidRDefault="00000000">
            <w:pPr>
              <w:ind w:right="603"/>
              <w:jc w:val="right"/>
              <w:rPr>
                <w:bCs/>
                <w:lang w:val="es-ES_tradnl"/>
              </w:rPr>
            </w:pPr>
            <w:r>
              <w:rPr>
                <w:bCs/>
                <w:lang w:val="es-ES_tradnl"/>
              </w:rPr>
              <w:t>194.960</w:t>
            </w:r>
          </w:p>
        </w:tc>
        <w:tc>
          <w:tcPr>
            <w:tcW w:w="879" w:type="pct"/>
            <w:vAlign w:val="center"/>
          </w:tcPr>
          <w:p w:rsidR="00000000" w:rsidRDefault="00000000">
            <w:pPr>
              <w:ind w:right="624"/>
              <w:jc w:val="right"/>
              <w:rPr>
                <w:bCs/>
                <w:lang w:val="es-ES_tradnl"/>
              </w:rPr>
            </w:pPr>
          </w:p>
        </w:tc>
      </w:tr>
      <w:tr w:rsidR="00000000">
        <w:trPr>
          <w:cantSplit/>
        </w:trPr>
        <w:tc>
          <w:tcPr>
            <w:tcW w:w="1490" w:type="pct"/>
            <w:vMerge/>
          </w:tcPr>
          <w:p w:rsidR="00000000" w:rsidRDefault="00000000">
            <w:pPr>
              <w:rPr>
                <w:bCs/>
                <w:lang w:val="es-ES_tradnl"/>
              </w:rPr>
            </w:pPr>
          </w:p>
        </w:tc>
        <w:tc>
          <w:tcPr>
            <w:tcW w:w="1638" w:type="pct"/>
          </w:tcPr>
          <w:p w:rsidR="00000000" w:rsidRDefault="00000000">
            <w:pPr>
              <w:rPr>
                <w:bCs/>
                <w:lang w:val="es-ES_tradnl"/>
              </w:rPr>
            </w:pPr>
            <w:r>
              <w:rPr>
                <w:bCs/>
                <w:lang w:val="es-ES_tradnl"/>
              </w:rPr>
              <w:t>Pabellón psiquiátrico, centro de desintoxicación</w:t>
            </w:r>
          </w:p>
        </w:tc>
        <w:tc>
          <w:tcPr>
            <w:tcW w:w="993" w:type="pct"/>
            <w:vAlign w:val="bottom"/>
          </w:tcPr>
          <w:p w:rsidR="00000000" w:rsidRDefault="00000000">
            <w:pPr>
              <w:ind w:right="603"/>
              <w:jc w:val="right"/>
              <w:rPr>
                <w:bCs/>
                <w:lang w:val="es-ES_tradnl"/>
              </w:rPr>
            </w:pPr>
            <w:r>
              <w:rPr>
                <w:bCs/>
                <w:lang w:val="es-ES_tradnl"/>
              </w:rPr>
              <w:t>19.161</w:t>
            </w:r>
          </w:p>
        </w:tc>
        <w:tc>
          <w:tcPr>
            <w:tcW w:w="879" w:type="pct"/>
            <w:vAlign w:val="center"/>
          </w:tcPr>
          <w:p w:rsidR="00000000" w:rsidRDefault="00000000">
            <w:pPr>
              <w:ind w:right="624"/>
              <w:jc w:val="right"/>
              <w:rPr>
                <w:bCs/>
                <w:lang w:val="es-ES_tradnl"/>
              </w:rPr>
            </w:pPr>
          </w:p>
        </w:tc>
      </w:tr>
      <w:tr w:rsidR="00000000">
        <w:trPr>
          <w:cantSplit/>
        </w:trPr>
        <w:tc>
          <w:tcPr>
            <w:tcW w:w="1490" w:type="pct"/>
            <w:vMerge/>
          </w:tcPr>
          <w:p w:rsidR="00000000" w:rsidRDefault="00000000">
            <w:pPr>
              <w:rPr>
                <w:bCs/>
                <w:lang w:val="es-ES_tradnl"/>
              </w:rPr>
            </w:pPr>
          </w:p>
        </w:tc>
        <w:tc>
          <w:tcPr>
            <w:tcW w:w="1638" w:type="pct"/>
          </w:tcPr>
          <w:p w:rsidR="00000000" w:rsidRDefault="00000000">
            <w:pPr>
              <w:rPr>
                <w:bCs/>
                <w:lang w:val="es-ES_tradnl"/>
              </w:rPr>
            </w:pPr>
            <w:r>
              <w:rPr>
                <w:bCs/>
                <w:lang w:val="es-ES_tradnl"/>
              </w:rPr>
              <w:t>Internados</w:t>
            </w:r>
          </w:p>
        </w:tc>
        <w:tc>
          <w:tcPr>
            <w:tcW w:w="993" w:type="pct"/>
            <w:vAlign w:val="center"/>
          </w:tcPr>
          <w:p w:rsidR="00000000" w:rsidRDefault="00000000">
            <w:pPr>
              <w:ind w:right="603"/>
              <w:jc w:val="right"/>
              <w:rPr>
                <w:bCs/>
                <w:lang w:val="es-ES_tradnl"/>
              </w:rPr>
            </w:pPr>
            <w:r>
              <w:rPr>
                <w:bCs/>
                <w:lang w:val="es-ES_tradnl"/>
              </w:rPr>
              <w:t>154.937</w:t>
            </w:r>
          </w:p>
        </w:tc>
        <w:tc>
          <w:tcPr>
            <w:tcW w:w="879" w:type="pct"/>
            <w:vAlign w:val="center"/>
          </w:tcPr>
          <w:p w:rsidR="00000000" w:rsidRDefault="00000000">
            <w:pPr>
              <w:ind w:right="624"/>
              <w:jc w:val="right"/>
              <w:rPr>
                <w:bCs/>
                <w:lang w:val="es-ES_tradnl"/>
              </w:rPr>
            </w:pPr>
          </w:p>
        </w:tc>
      </w:tr>
      <w:tr w:rsidR="00000000">
        <w:trPr>
          <w:cantSplit/>
        </w:trPr>
        <w:tc>
          <w:tcPr>
            <w:tcW w:w="1490" w:type="pct"/>
            <w:vMerge w:val="restart"/>
          </w:tcPr>
          <w:p w:rsidR="00000000" w:rsidRDefault="00000000">
            <w:pPr>
              <w:rPr>
                <w:bCs/>
                <w:lang w:val="es-ES_tradnl"/>
              </w:rPr>
            </w:pPr>
            <w:r>
              <w:rPr>
                <w:bCs/>
                <w:lang w:val="es-ES_tradnl"/>
              </w:rPr>
              <w:t>Instalaciones hospitalarias en Liechtenstein</w:t>
            </w:r>
          </w:p>
        </w:tc>
        <w:tc>
          <w:tcPr>
            <w:tcW w:w="1638" w:type="pct"/>
          </w:tcPr>
          <w:p w:rsidR="00000000" w:rsidRDefault="00000000">
            <w:pPr>
              <w:rPr>
                <w:bCs/>
                <w:lang w:val="es-ES_tradnl"/>
              </w:rPr>
            </w:pPr>
            <w:r>
              <w:rPr>
                <w:bCs/>
                <w:lang w:val="es-ES_tradnl"/>
              </w:rPr>
              <w:t>Grupos residenciales para jóvenes</w:t>
            </w:r>
          </w:p>
        </w:tc>
        <w:tc>
          <w:tcPr>
            <w:tcW w:w="993" w:type="pct"/>
            <w:vAlign w:val="bottom"/>
          </w:tcPr>
          <w:p w:rsidR="00000000" w:rsidRDefault="00000000">
            <w:pPr>
              <w:ind w:right="603"/>
              <w:jc w:val="right"/>
              <w:rPr>
                <w:bCs/>
                <w:lang w:val="es-ES_tradnl"/>
              </w:rPr>
            </w:pPr>
            <w:r>
              <w:rPr>
                <w:bCs/>
                <w:lang w:val="es-ES_tradnl"/>
              </w:rPr>
              <w:t>206.549</w:t>
            </w:r>
          </w:p>
        </w:tc>
        <w:tc>
          <w:tcPr>
            <w:tcW w:w="879" w:type="pct"/>
            <w:vAlign w:val="bottom"/>
          </w:tcPr>
          <w:p w:rsidR="00000000" w:rsidRDefault="00000000">
            <w:pPr>
              <w:ind w:right="326"/>
              <w:jc w:val="right"/>
              <w:rPr>
                <w:bCs/>
                <w:lang w:val="es-ES_tradnl"/>
              </w:rPr>
            </w:pPr>
            <w:r>
              <w:rPr>
                <w:bCs/>
                <w:lang w:val="es-ES_tradnl"/>
              </w:rPr>
              <w:t>473.000</w:t>
            </w:r>
          </w:p>
        </w:tc>
      </w:tr>
      <w:tr w:rsidR="00000000">
        <w:trPr>
          <w:cantSplit/>
        </w:trPr>
        <w:tc>
          <w:tcPr>
            <w:tcW w:w="1490" w:type="pct"/>
            <w:vMerge/>
          </w:tcPr>
          <w:p w:rsidR="00000000" w:rsidRDefault="00000000">
            <w:pPr>
              <w:rPr>
                <w:bCs/>
                <w:lang w:val="es-ES_tradnl"/>
              </w:rPr>
            </w:pPr>
          </w:p>
        </w:tc>
        <w:tc>
          <w:tcPr>
            <w:tcW w:w="1638" w:type="pct"/>
          </w:tcPr>
          <w:p w:rsidR="00000000" w:rsidRDefault="00000000">
            <w:pPr>
              <w:rPr>
                <w:bCs/>
                <w:lang w:val="es-ES_tradnl"/>
              </w:rPr>
            </w:pPr>
            <w:r>
              <w:rPr>
                <w:bCs/>
                <w:lang w:val="es-ES_tradnl"/>
              </w:rPr>
              <w:t>Grupo residencial terapéutico</w:t>
            </w:r>
          </w:p>
        </w:tc>
        <w:tc>
          <w:tcPr>
            <w:tcW w:w="993" w:type="pct"/>
            <w:vAlign w:val="center"/>
          </w:tcPr>
          <w:p w:rsidR="00000000" w:rsidRDefault="00000000">
            <w:pPr>
              <w:ind w:right="603"/>
              <w:jc w:val="right"/>
              <w:rPr>
                <w:bCs/>
                <w:lang w:val="es-ES_tradnl"/>
              </w:rPr>
            </w:pPr>
            <w:r>
              <w:rPr>
                <w:bCs/>
                <w:lang w:val="es-ES_tradnl"/>
              </w:rPr>
              <w:t>78.465</w:t>
            </w:r>
          </w:p>
        </w:tc>
        <w:tc>
          <w:tcPr>
            <w:tcW w:w="879" w:type="pct"/>
            <w:vAlign w:val="center"/>
          </w:tcPr>
          <w:p w:rsidR="00000000" w:rsidRDefault="00000000">
            <w:pPr>
              <w:ind w:right="326"/>
              <w:jc w:val="right"/>
              <w:rPr>
                <w:bCs/>
                <w:lang w:val="es-ES_tradnl"/>
              </w:rPr>
            </w:pPr>
          </w:p>
        </w:tc>
      </w:tr>
      <w:tr w:rsidR="00000000">
        <w:trPr>
          <w:cantSplit/>
        </w:trPr>
        <w:tc>
          <w:tcPr>
            <w:tcW w:w="3128" w:type="pct"/>
            <w:gridSpan w:val="2"/>
          </w:tcPr>
          <w:p w:rsidR="00000000" w:rsidRDefault="00000000">
            <w:pPr>
              <w:rPr>
                <w:bCs/>
                <w:lang w:val="es-ES_tradnl"/>
              </w:rPr>
            </w:pPr>
            <w:r>
              <w:rPr>
                <w:bCs/>
                <w:lang w:val="es-ES_tradnl"/>
              </w:rPr>
              <w:tab/>
              <w:t>Total</w:t>
            </w:r>
          </w:p>
        </w:tc>
        <w:tc>
          <w:tcPr>
            <w:tcW w:w="993" w:type="pct"/>
            <w:vAlign w:val="center"/>
          </w:tcPr>
          <w:p w:rsidR="00000000" w:rsidRDefault="00000000">
            <w:pPr>
              <w:ind w:right="603"/>
              <w:jc w:val="right"/>
              <w:rPr>
                <w:bCs/>
                <w:lang w:val="es-ES_tradnl"/>
              </w:rPr>
            </w:pPr>
            <w:r>
              <w:rPr>
                <w:bCs/>
                <w:lang w:val="es-ES_tradnl"/>
              </w:rPr>
              <w:t>677.315</w:t>
            </w:r>
          </w:p>
        </w:tc>
        <w:tc>
          <w:tcPr>
            <w:tcW w:w="879" w:type="pct"/>
            <w:vAlign w:val="center"/>
          </w:tcPr>
          <w:p w:rsidR="00000000" w:rsidRDefault="00000000">
            <w:pPr>
              <w:ind w:right="326"/>
              <w:jc w:val="right"/>
              <w:rPr>
                <w:bCs/>
                <w:lang w:val="es-ES_tradnl"/>
              </w:rPr>
            </w:pPr>
            <w:r>
              <w:rPr>
                <w:bCs/>
                <w:lang w:val="es-ES_tradnl"/>
              </w:rPr>
              <w:t>473.000</w:t>
            </w:r>
          </w:p>
        </w:tc>
      </w:tr>
    </w:tbl>
    <w:p w:rsidR="00000000" w:rsidRDefault="00000000">
      <w:pPr>
        <w:spacing w:before="480" w:after="240"/>
        <w:ind w:left="567" w:hanging="567"/>
        <w:rPr>
          <w:b/>
          <w:bCs/>
        </w:rPr>
      </w:pPr>
      <w:r>
        <w:rPr>
          <w:b/>
          <w:bCs/>
        </w:rPr>
        <w:t>2h)</w:t>
      </w:r>
      <w:r>
        <w:rPr>
          <w:b/>
          <w:bCs/>
        </w:rPr>
        <w:tab/>
        <w:t>Programas y actividades para la prevención de toda forma de abuso, explotación sexual y trabajo de los niños y su protección en esos ámbitos</w:t>
      </w:r>
    </w:p>
    <w:p w:rsidR="00000000" w:rsidRDefault="00000000">
      <w:pPr>
        <w:spacing w:after="240"/>
      </w:pPr>
      <w:r>
        <w:rPr>
          <w:b/>
          <w:bCs/>
        </w:rPr>
        <w:tab/>
      </w:r>
      <w:r>
        <w:t>El Grupo de Expertos contra el Abuso Sexual de Niños y Adolescentes recibió ayudas públicas por valor de 18.000 francos suizos en 2005.  En 2004 su presupuesto ascendió a 21.000 francos.  El Grupo de Expertos utiliza los fondos asignados principalmente para actividades públicas de extensión, actos educativos, apoyo a proyectos (de prevención) y establecimiento de una red de contactos en el exterior.</w:t>
      </w:r>
    </w:p>
    <w:p w:rsidR="00000000" w:rsidRDefault="00000000">
      <w:pPr>
        <w:spacing w:after="240"/>
        <w:rPr>
          <w:b/>
          <w:bCs/>
        </w:rPr>
      </w:pPr>
      <w:r>
        <w:rPr>
          <w:b/>
          <w:bCs/>
        </w:rPr>
        <w:t>2i)</w:t>
      </w:r>
      <w:r>
        <w:rPr>
          <w:b/>
          <w:bCs/>
        </w:rPr>
        <w:tab/>
        <w:t>Justicia de menores</w:t>
      </w:r>
    </w:p>
    <w:p w:rsidR="00000000" w:rsidRDefault="00000000">
      <w:pPr>
        <w:spacing w:after="240"/>
      </w:pPr>
      <w:r>
        <w:rPr>
          <w:b/>
          <w:bCs/>
        </w:rPr>
        <w:tab/>
      </w:r>
      <w:r>
        <w:t>La justicia de menores la administra en Liechtenstein el Tribunal de Menores:  en las causas penales, es competente el Tribunal de Menores, y en las causas civiles un juez o un funcionario judicial encargado del asunto de que se trate.</w:t>
      </w:r>
    </w:p>
    <w:p w:rsidR="00000000" w:rsidRDefault="00000000">
      <w:pPr>
        <w:spacing w:after="240"/>
      </w:pPr>
      <w:r>
        <w:tab/>
        <w:t>La administración de justicia no se sufraga con cargo a una partida presupuestaria especial sino mediante el presupuesto general del Tribunal de Justicia.  Por ello, no se dispone de datos sobre gastos específicos.</w:t>
      </w:r>
    </w:p>
    <w:p w:rsidR="00000000" w:rsidRDefault="00000000">
      <w:pPr>
        <w:keepNext/>
        <w:keepLines/>
        <w:spacing w:after="240"/>
        <w:ind w:left="567" w:hanging="567"/>
        <w:rPr>
          <w:b/>
          <w:bCs/>
        </w:rPr>
      </w:pPr>
      <w:r>
        <w:rPr>
          <w:b/>
          <w:bCs/>
        </w:rPr>
        <w:t>2j)</w:t>
      </w:r>
      <w:r>
        <w:rPr>
          <w:b/>
          <w:bCs/>
        </w:rPr>
        <w:tab/>
        <w:t>Protección y apoyo de los niños refugiados, solicitantes de asilo y migrantes, en particular los niños no acompañados</w:t>
      </w:r>
    </w:p>
    <w:p w:rsidR="00000000" w:rsidRDefault="00000000">
      <w:pPr>
        <w:keepNext/>
        <w:keepLines/>
        <w:spacing w:after="240"/>
      </w:pPr>
      <w:r>
        <w:tab/>
        <w:t>Al igual que todos los solicitantes de asilo, en Liechtenstein los menores están cubiertos por el seguro de enfermedad desde el día de su llegada, y se les ofrece todo tratamiento médico necesario sin ningún tipo de excepción.  Se garantiza el acceso a todos los niveles de la educación general y a cursos de lengua alemana desde el primer día de su matriculación.  Los fondos asignados no pueden enumerarse por separado, por cuanto que figuran aglutinados bajo la partida de gasto general consignada en el presupuesto nacional.</w:t>
      </w:r>
    </w:p>
    <w:p w:rsidR="00000000" w:rsidRDefault="00000000">
      <w:pPr>
        <w:spacing w:after="240"/>
      </w:pPr>
      <w:r>
        <w:tab/>
        <w:t>Los menores no acompañados disfrutan de una protección especial.  Por regla general, se les acoge en el Grupo Residencial para Jóvenes.  Los gastos en concepto de alojamiento de menores no acompañados (tres personas) ascendieron a 33.605,85 francos suizos en 2004.  Los gastos adicionales derivados de su inscripción en la enseñanza secundaria ascendieron a 7.450 francos suizos.</w:t>
      </w:r>
    </w:p>
    <w:p w:rsidR="00000000" w:rsidRDefault="00000000">
      <w:pPr>
        <w:spacing w:after="240"/>
        <w:ind w:left="567" w:hanging="567"/>
        <w:rPr>
          <w:b/>
          <w:bCs/>
        </w:rPr>
      </w:pPr>
      <w:r>
        <w:rPr>
          <w:b/>
          <w:bCs/>
        </w:rPr>
        <w:t>3.</w:t>
      </w:r>
      <w:r>
        <w:rPr>
          <w:b/>
          <w:bCs/>
        </w:rPr>
        <w:tab/>
        <w:t>Con referencia a los niños privados de un entorno familiar y separados de sus padres, sírvanse proporcionar datos desglosados (por sexo, edad y grupos minoritarios y étnicos, zonas urbanas y rurales) especialmente entre los niños refugiados solicitantes de asilo y migrantes, correspondientes a los años 2004 y 2005 sobre el número de niños:</w:t>
      </w:r>
    </w:p>
    <w:p w:rsidR="00000000" w:rsidRDefault="00000000">
      <w:pPr>
        <w:spacing w:after="240"/>
        <w:rPr>
          <w:b/>
          <w:bCs/>
        </w:rPr>
      </w:pPr>
      <w:r>
        <w:rPr>
          <w:b/>
          <w:bCs/>
        </w:rPr>
        <w:t>3a)</w:t>
      </w:r>
      <w:r>
        <w:rPr>
          <w:b/>
          <w:bCs/>
        </w:rPr>
        <w:tab/>
        <w:t>Separados de sus padres</w:t>
      </w:r>
    </w:p>
    <w:p w:rsidR="00000000" w:rsidRDefault="00000000">
      <w:pPr>
        <w:spacing w:after="240"/>
      </w:pPr>
      <w:r>
        <w:tab/>
        <w:t>En 2004, un total de 35 personas menores de 18 años de edad vivían separadas de sus padres, de las que 11 vivían con familias de acogida, 15 en el Grupo Residencial para Jóvenes y 9 en el extranjero (en un hogar para jóvenes o en una clínica).</w:t>
      </w:r>
    </w:p>
    <w:p w:rsidR="00000000" w:rsidRDefault="00000000">
      <w:pPr>
        <w:spacing w:after="240"/>
        <w:rPr>
          <w:b/>
          <w:bCs/>
        </w:rPr>
      </w:pPr>
      <w:r>
        <w:rPr>
          <w:b/>
          <w:bCs/>
        </w:rPr>
        <w:t>3b)</w:t>
      </w:r>
      <w:r>
        <w:rPr>
          <w:b/>
          <w:bCs/>
        </w:rPr>
        <w:tab/>
        <w:t>Alojados en instituciones</w:t>
      </w:r>
    </w:p>
    <w:p w:rsidR="00000000" w:rsidRDefault="00000000">
      <w:pPr>
        <w:spacing w:after="240"/>
      </w:pPr>
      <w:r>
        <w:tab/>
        <w:t>Los niños y los adolescentes con dificultades de habla o discapacidades mentales por lo general asisten a la Escuela Pedagógica Especial Diurna del Centro Terapéutico-Pedagógico.  Sin embargo, este centro conceptualmente no está concebido para alumnos cuyo principal problema es una discapacidad muy grave o niños con discapacidades múltiples.  Liechtenstein tampoco tiene un hogar educativo para jóvenes con trastornos extremos del comportamiento que ofrezca un entorno relativamente cerrado ni un internado con educación integrada o formación profesional.  En esos casos, Liechtenstein colabora estrechamente con instituciones en Suiza y Austria radicadas cerca de la frontera.  Esos clientes no pueden ser atendidos dentro del país.  Por lo general, las colocaciones en el extranjero las lleva a cabo la Junta de Educación, un organismo en el que están presentes el Director de la Oficina de Educación y otros cuatro vocales designados por el Gobierno para un mandato de cuatro años.  En el caso de problemas especiales en el entorno familiar o si los padres no dan su visto bueno a una colocación en una institución y se recurre ante un tribunal, la Oficina de Asuntos Sociales puede también ordenar la colocación del menor en una institución.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2"/>
        <w:gridCol w:w="3387"/>
        <w:gridCol w:w="1582"/>
        <w:gridCol w:w="1894"/>
      </w:tblGrid>
      <w:tr w:rsidR="00000000">
        <w:tblPrEx>
          <w:tblCellMar>
            <w:top w:w="0" w:type="dxa"/>
            <w:bottom w:w="0" w:type="dxa"/>
          </w:tblCellMar>
        </w:tblPrEx>
        <w:trPr>
          <w:cantSplit/>
        </w:trPr>
        <w:tc>
          <w:tcPr>
            <w:tcW w:w="9495" w:type="dxa"/>
            <w:gridSpan w:val="4"/>
            <w:vAlign w:val="center"/>
          </w:tcPr>
          <w:p w:rsidR="00000000" w:rsidRDefault="00000000">
            <w:pPr>
              <w:keepNext/>
              <w:keepLines/>
              <w:jc w:val="center"/>
            </w:pPr>
            <w:r>
              <w:t>Colocaciones llevadas a cabo por la Oficina de Asuntos Sociales en 2004</w:t>
            </w:r>
          </w:p>
        </w:tc>
      </w:tr>
      <w:tr w:rsidR="00000000">
        <w:tblPrEx>
          <w:tblCellMar>
            <w:top w:w="0" w:type="dxa"/>
            <w:bottom w:w="0" w:type="dxa"/>
          </w:tblCellMar>
        </w:tblPrEx>
        <w:trPr>
          <w:cantSplit/>
        </w:trPr>
        <w:tc>
          <w:tcPr>
            <w:tcW w:w="6019" w:type="dxa"/>
            <w:gridSpan w:val="2"/>
          </w:tcPr>
          <w:p w:rsidR="00000000" w:rsidRDefault="00000000">
            <w:pPr>
              <w:keepNext/>
              <w:keepLines/>
              <w:jc w:val="center"/>
            </w:pPr>
            <w:r>
              <w:t>Institución</w:t>
            </w:r>
          </w:p>
        </w:tc>
        <w:tc>
          <w:tcPr>
            <w:tcW w:w="1582" w:type="dxa"/>
            <w:vAlign w:val="center"/>
          </w:tcPr>
          <w:p w:rsidR="00000000" w:rsidRDefault="00000000">
            <w:pPr>
              <w:keepNext/>
              <w:keepLines/>
              <w:jc w:val="center"/>
            </w:pPr>
            <w:r>
              <w:t>Número</w:t>
            </w:r>
          </w:p>
        </w:tc>
        <w:tc>
          <w:tcPr>
            <w:tcW w:w="1894" w:type="dxa"/>
            <w:vAlign w:val="center"/>
          </w:tcPr>
          <w:p w:rsidR="00000000" w:rsidRDefault="00000000">
            <w:pPr>
              <w:keepNext/>
              <w:keepLines/>
              <w:jc w:val="center"/>
            </w:pPr>
            <w:r>
              <w:t>Edad</w:t>
            </w:r>
          </w:p>
        </w:tc>
      </w:tr>
      <w:tr w:rsidR="00000000">
        <w:tblPrEx>
          <w:tblCellMar>
            <w:top w:w="0" w:type="dxa"/>
            <w:bottom w:w="0" w:type="dxa"/>
          </w:tblCellMar>
        </w:tblPrEx>
        <w:trPr>
          <w:cantSplit/>
        </w:trPr>
        <w:tc>
          <w:tcPr>
            <w:tcW w:w="6019" w:type="dxa"/>
            <w:gridSpan w:val="2"/>
            <w:vAlign w:val="center"/>
          </w:tcPr>
          <w:p w:rsidR="00000000" w:rsidRDefault="00000000">
            <w:pPr>
              <w:keepNext/>
              <w:keepLines/>
              <w:jc w:val="center"/>
            </w:pPr>
            <w:r>
              <w:t>Grupo Residencial Socio-Pedagógico para Jóvenes</w:t>
            </w:r>
          </w:p>
        </w:tc>
        <w:tc>
          <w:tcPr>
            <w:tcW w:w="1582" w:type="dxa"/>
            <w:vAlign w:val="center"/>
          </w:tcPr>
          <w:p w:rsidR="00000000" w:rsidRDefault="00000000">
            <w:pPr>
              <w:keepNext/>
              <w:keepLines/>
              <w:jc w:val="center"/>
            </w:pPr>
            <w:r>
              <w:t>15 (10 varones y 5 mujeres)</w:t>
            </w:r>
          </w:p>
        </w:tc>
        <w:tc>
          <w:tcPr>
            <w:tcW w:w="1894" w:type="dxa"/>
            <w:vAlign w:val="center"/>
          </w:tcPr>
          <w:p w:rsidR="00000000" w:rsidRDefault="00000000">
            <w:pPr>
              <w:keepNext/>
              <w:keepLines/>
              <w:jc w:val="center"/>
            </w:pPr>
            <w:r>
              <w:t>8 a 17 años (media:  14 años)</w:t>
            </w:r>
          </w:p>
        </w:tc>
      </w:tr>
      <w:tr w:rsidR="00000000">
        <w:tblPrEx>
          <w:tblCellMar>
            <w:top w:w="0" w:type="dxa"/>
            <w:bottom w:w="0" w:type="dxa"/>
          </w:tblCellMar>
        </w:tblPrEx>
        <w:trPr>
          <w:cantSplit/>
        </w:trPr>
        <w:tc>
          <w:tcPr>
            <w:tcW w:w="2632" w:type="dxa"/>
            <w:vMerge w:val="restart"/>
            <w:vAlign w:val="center"/>
          </w:tcPr>
          <w:p w:rsidR="00000000" w:rsidRDefault="00000000">
            <w:pPr>
              <w:keepNext/>
              <w:keepLines/>
            </w:pPr>
            <w:r>
              <w:t>Colocaciones en el extranjero</w:t>
            </w:r>
          </w:p>
        </w:tc>
        <w:tc>
          <w:tcPr>
            <w:tcW w:w="3387" w:type="dxa"/>
            <w:vAlign w:val="center"/>
          </w:tcPr>
          <w:p w:rsidR="00000000" w:rsidRDefault="00000000">
            <w:pPr>
              <w:keepNext/>
              <w:keepLines/>
            </w:pPr>
            <w:r>
              <w:t>Hogar para jóvenes, internado</w:t>
            </w:r>
          </w:p>
        </w:tc>
        <w:tc>
          <w:tcPr>
            <w:tcW w:w="1582" w:type="dxa"/>
          </w:tcPr>
          <w:p w:rsidR="00000000" w:rsidRDefault="00000000">
            <w:pPr>
              <w:jc w:val="center"/>
              <w:rPr>
                <w:lang w:val="es-ES_tradnl"/>
              </w:rPr>
            </w:pPr>
            <w:r>
              <w:rPr>
                <w:lang w:val="es-ES_tradnl"/>
              </w:rPr>
              <w:t>7</w:t>
            </w:r>
          </w:p>
        </w:tc>
        <w:tc>
          <w:tcPr>
            <w:tcW w:w="1894" w:type="dxa"/>
          </w:tcPr>
          <w:p w:rsidR="00000000" w:rsidRDefault="00000000">
            <w:pPr>
              <w:keepNext/>
              <w:keepLines/>
              <w:tabs>
                <w:tab w:val="decimal" w:pos="701"/>
              </w:tabs>
              <w:ind w:right="501"/>
              <w:jc w:val="center"/>
              <w:rPr>
                <w:lang w:val="es-ES_tradnl"/>
              </w:rPr>
            </w:pPr>
            <w:r>
              <w:rPr>
                <w:lang w:val="es-ES_tradnl"/>
              </w:rPr>
              <w:t>-</w:t>
            </w:r>
          </w:p>
        </w:tc>
      </w:tr>
      <w:tr w:rsidR="00000000">
        <w:tblPrEx>
          <w:tblCellMar>
            <w:top w:w="0" w:type="dxa"/>
            <w:bottom w:w="0" w:type="dxa"/>
          </w:tblCellMar>
        </w:tblPrEx>
        <w:trPr>
          <w:cantSplit/>
        </w:trPr>
        <w:tc>
          <w:tcPr>
            <w:tcW w:w="2632" w:type="dxa"/>
            <w:vMerge/>
          </w:tcPr>
          <w:p w:rsidR="00000000" w:rsidRDefault="00000000">
            <w:pPr>
              <w:rPr>
                <w:lang w:val="es-ES_tradnl"/>
              </w:rPr>
            </w:pPr>
          </w:p>
        </w:tc>
        <w:tc>
          <w:tcPr>
            <w:tcW w:w="3387" w:type="dxa"/>
            <w:vAlign w:val="center"/>
          </w:tcPr>
          <w:p w:rsidR="00000000" w:rsidRDefault="00000000">
            <w:r>
              <w:t>Pabellón psiquiátrico, centro de desintoxicación</w:t>
            </w:r>
          </w:p>
        </w:tc>
        <w:tc>
          <w:tcPr>
            <w:tcW w:w="1582" w:type="dxa"/>
            <w:vAlign w:val="bottom"/>
          </w:tcPr>
          <w:p w:rsidR="00000000" w:rsidRDefault="00000000">
            <w:pPr>
              <w:jc w:val="center"/>
              <w:rPr>
                <w:lang w:val="es-ES_tradnl"/>
              </w:rPr>
            </w:pPr>
            <w:r>
              <w:rPr>
                <w:lang w:val="es-ES_tradnl"/>
              </w:rPr>
              <w:t>2</w:t>
            </w:r>
          </w:p>
        </w:tc>
        <w:tc>
          <w:tcPr>
            <w:tcW w:w="1894" w:type="dxa"/>
            <w:vAlign w:val="bottom"/>
          </w:tcPr>
          <w:p w:rsidR="00000000" w:rsidRDefault="00000000">
            <w:pPr>
              <w:keepNext/>
              <w:keepLines/>
              <w:tabs>
                <w:tab w:val="decimal" w:pos="701"/>
              </w:tabs>
              <w:ind w:right="501"/>
              <w:jc w:val="center"/>
              <w:rPr>
                <w:lang w:val="es-ES_tradnl"/>
              </w:rPr>
            </w:pPr>
            <w:r>
              <w:rPr>
                <w:lang w:val="es-ES_tradnl"/>
              </w:rPr>
              <w:t>-</w:t>
            </w:r>
          </w:p>
        </w:tc>
      </w:tr>
      <w:tr w:rsidR="00000000">
        <w:tblPrEx>
          <w:tblCellMar>
            <w:top w:w="0" w:type="dxa"/>
            <w:bottom w:w="0" w:type="dxa"/>
          </w:tblCellMar>
        </w:tblPrEx>
        <w:trPr>
          <w:cantSplit/>
        </w:trPr>
        <w:tc>
          <w:tcPr>
            <w:tcW w:w="6019" w:type="dxa"/>
            <w:gridSpan w:val="2"/>
            <w:vAlign w:val="center"/>
          </w:tcPr>
          <w:p w:rsidR="00000000" w:rsidRDefault="00000000">
            <w:pPr>
              <w:rPr>
                <w:lang w:val="es-ES_tradnl"/>
              </w:rPr>
            </w:pPr>
            <w:r>
              <w:rPr>
                <w:lang w:val="es-ES_tradnl"/>
              </w:rPr>
              <w:tab/>
              <w:t>Total</w:t>
            </w:r>
          </w:p>
        </w:tc>
        <w:tc>
          <w:tcPr>
            <w:tcW w:w="1582" w:type="dxa"/>
            <w:vAlign w:val="center"/>
          </w:tcPr>
          <w:p w:rsidR="00000000" w:rsidRDefault="00000000">
            <w:pPr>
              <w:ind w:right="112"/>
              <w:jc w:val="center"/>
              <w:rPr>
                <w:lang w:val="es-ES_tradnl"/>
              </w:rPr>
            </w:pPr>
            <w:r>
              <w:rPr>
                <w:lang w:val="es-ES_tradnl"/>
              </w:rPr>
              <w:t>24</w:t>
            </w:r>
          </w:p>
        </w:tc>
        <w:tc>
          <w:tcPr>
            <w:tcW w:w="1894" w:type="dxa"/>
            <w:vAlign w:val="center"/>
          </w:tcPr>
          <w:p w:rsidR="00000000" w:rsidRDefault="00000000">
            <w:pPr>
              <w:keepNext/>
              <w:keepLines/>
              <w:tabs>
                <w:tab w:val="decimal" w:pos="701"/>
              </w:tabs>
              <w:ind w:right="501"/>
              <w:jc w:val="center"/>
              <w:rPr>
                <w:lang w:val="es-ES_tradnl"/>
              </w:rPr>
            </w:pPr>
            <w:r>
              <w:rPr>
                <w:lang w:val="es-ES_tradnl"/>
              </w:rPr>
              <w:t>-</w:t>
            </w:r>
          </w:p>
        </w:tc>
      </w:tr>
    </w:tbl>
    <w:p w:rsidR="00000000" w:rsidRDefault="00000000">
      <w:pPr>
        <w:spacing w:before="120" w:after="120"/>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2"/>
        <w:gridCol w:w="1130"/>
        <w:gridCol w:w="927"/>
        <w:gridCol w:w="1008"/>
        <w:gridCol w:w="983"/>
        <w:gridCol w:w="785"/>
      </w:tblGrid>
      <w:tr w:rsidR="00000000">
        <w:tblPrEx>
          <w:tblCellMar>
            <w:top w:w="0" w:type="dxa"/>
            <w:bottom w:w="0" w:type="dxa"/>
          </w:tblCellMar>
        </w:tblPrEx>
        <w:trPr>
          <w:cantSplit/>
        </w:trPr>
        <w:tc>
          <w:tcPr>
            <w:tcW w:w="9495" w:type="dxa"/>
            <w:gridSpan w:val="6"/>
          </w:tcPr>
          <w:p w:rsidR="00000000" w:rsidRDefault="00000000">
            <w:pPr>
              <w:jc w:val="center"/>
            </w:pPr>
            <w:r>
              <w:t>Colocaciones en el extranjero aprobadas por la Junta de Educación (curso escolar 2004/05)</w:t>
            </w:r>
          </w:p>
        </w:tc>
      </w:tr>
      <w:tr w:rsidR="00000000">
        <w:tblPrEx>
          <w:tblCellMar>
            <w:top w:w="0" w:type="dxa"/>
            <w:bottom w:w="0" w:type="dxa"/>
          </w:tblCellMar>
        </w:tblPrEx>
        <w:trPr>
          <w:cantSplit/>
        </w:trPr>
        <w:tc>
          <w:tcPr>
            <w:tcW w:w="4662" w:type="dxa"/>
            <w:vMerge w:val="restart"/>
            <w:vAlign w:val="center"/>
          </w:tcPr>
          <w:p w:rsidR="00000000" w:rsidRDefault="00000000">
            <w:pPr>
              <w:jc w:val="center"/>
            </w:pPr>
            <w:r>
              <w:t>Tipo de discapacidad</w:t>
            </w:r>
          </w:p>
        </w:tc>
        <w:tc>
          <w:tcPr>
            <w:tcW w:w="2057" w:type="dxa"/>
            <w:gridSpan w:val="2"/>
          </w:tcPr>
          <w:p w:rsidR="00000000" w:rsidRDefault="00000000">
            <w:pPr>
              <w:jc w:val="center"/>
            </w:pPr>
            <w:r>
              <w:t>Suiza</w:t>
            </w:r>
          </w:p>
        </w:tc>
        <w:tc>
          <w:tcPr>
            <w:tcW w:w="1991" w:type="dxa"/>
            <w:gridSpan w:val="2"/>
          </w:tcPr>
          <w:p w:rsidR="00000000" w:rsidRDefault="00000000">
            <w:pPr>
              <w:jc w:val="center"/>
            </w:pPr>
            <w:r>
              <w:t>Austria</w:t>
            </w:r>
          </w:p>
        </w:tc>
        <w:tc>
          <w:tcPr>
            <w:tcW w:w="785" w:type="dxa"/>
            <w:vMerge w:val="restart"/>
            <w:vAlign w:val="center"/>
          </w:tcPr>
          <w:p w:rsidR="00000000" w:rsidRDefault="00000000">
            <w:pPr>
              <w:jc w:val="center"/>
            </w:pPr>
            <w:r>
              <w:t>Total</w:t>
            </w:r>
          </w:p>
        </w:tc>
      </w:tr>
      <w:tr w:rsidR="00000000">
        <w:tblPrEx>
          <w:tblCellMar>
            <w:top w:w="0" w:type="dxa"/>
            <w:bottom w:w="0" w:type="dxa"/>
          </w:tblCellMar>
        </w:tblPrEx>
        <w:trPr>
          <w:cantSplit/>
        </w:trPr>
        <w:tc>
          <w:tcPr>
            <w:tcW w:w="4662" w:type="dxa"/>
            <w:vMerge/>
          </w:tcPr>
          <w:p w:rsidR="00000000" w:rsidRDefault="00000000">
            <w:pPr>
              <w:jc w:val="center"/>
            </w:pPr>
          </w:p>
        </w:tc>
        <w:tc>
          <w:tcPr>
            <w:tcW w:w="1130" w:type="dxa"/>
          </w:tcPr>
          <w:p w:rsidR="00000000" w:rsidRDefault="00000000">
            <w:pPr>
              <w:jc w:val="center"/>
            </w:pPr>
            <w:r>
              <w:t>Varones</w:t>
            </w:r>
          </w:p>
        </w:tc>
        <w:tc>
          <w:tcPr>
            <w:tcW w:w="927" w:type="dxa"/>
          </w:tcPr>
          <w:p w:rsidR="00000000" w:rsidRDefault="00000000">
            <w:pPr>
              <w:jc w:val="center"/>
            </w:pPr>
            <w:r>
              <w:t>Mujeres</w:t>
            </w:r>
          </w:p>
        </w:tc>
        <w:tc>
          <w:tcPr>
            <w:tcW w:w="1008" w:type="dxa"/>
          </w:tcPr>
          <w:p w:rsidR="00000000" w:rsidRDefault="00000000">
            <w:pPr>
              <w:jc w:val="center"/>
            </w:pPr>
            <w:r>
              <w:t>Varones</w:t>
            </w:r>
          </w:p>
        </w:tc>
        <w:tc>
          <w:tcPr>
            <w:tcW w:w="983" w:type="dxa"/>
          </w:tcPr>
          <w:p w:rsidR="00000000" w:rsidRDefault="00000000">
            <w:pPr>
              <w:jc w:val="center"/>
            </w:pPr>
            <w:r>
              <w:t>Mujeres</w:t>
            </w:r>
          </w:p>
        </w:tc>
        <w:tc>
          <w:tcPr>
            <w:tcW w:w="785" w:type="dxa"/>
            <w:vMerge/>
          </w:tcPr>
          <w:p w:rsidR="00000000" w:rsidRDefault="00000000"/>
        </w:tc>
      </w:tr>
      <w:tr w:rsidR="00000000">
        <w:tblPrEx>
          <w:tblCellMar>
            <w:top w:w="0" w:type="dxa"/>
            <w:bottom w:w="0" w:type="dxa"/>
          </w:tblCellMar>
        </w:tblPrEx>
        <w:tc>
          <w:tcPr>
            <w:tcW w:w="4662" w:type="dxa"/>
          </w:tcPr>
          <w:p w:rsidR="00000000" w:rsidRDefault="00000000">
            <w:r>
              <w:t>Alteraciones del comportamiento</w:t>
            </w:r>
          </w:p>
        </w:tc>
        <w:tc>
          <w:tcPr>
            <w:tcW w:w="1130" w:type="dxa"/>
          </w:tcPr>
          <w:p w:rsidR="00000000" w:rsidRDefault="00000000">
            <w:pPr>
              <w:jc w:val="center"/>
              <w:rPr>
                <w:lang w:val="es-ES_tradnl"/>
              </w:rPr>
            </w:pPr>
            <w:r>
              <w:rPr>
                <w:lang w:val="es-ES_tradnl"/>
              </w:rPr>
              <w:t>2</w:t>
            </w:r>
          </w:p>
        </w:tc>
        <w:tc>
          <w:tcPr>
            <w:tcW w:w="927" w:type="dxa"/>
          </w:tcPr>
          <w:p w:rsidR="00000000" w:rsidRDefault="00000000">
            <w:pPr>
              <w:jc w:val="center"/>
              <w:rPr>
                <w:lang w:val="es-ES_tradnl"/>
              </w:rPr>
            </w:pPr>
            <w:r>
              <w:rPr>
                <w:lang w:val="es-ES_tradnl"/>
              </w:rPr>
              <w:t>1</w:t>
            </w:r>
          </w:p>
        </w:tc>
        <w:tc>
          <w:tcPr>
            <w:tcW w:w="1008" w:type="dxa"/>
          </w:tcPr>
          <w:p w:rsidR="00000000" w:rsidRDefault="00000000">
            <w:pPr>
              <w:jc w:val="center"/>
              <w:rPr>
                <w:lang w:val="es-ES_tradnl"/>
              </w:rPr>
            </w:pPr>
          </w:p>
        </w:tc>
        <w:tc>
          <w:tcPr>
            <w:tcW w:w="983" w:type="dxa"/>
          </w:tcPr>
          <w:p w:rsidR="00000000" w:rsidRDefault="00000000">
            <w:pPr>
              <w:jc w:val="center"/>
              <w:rPr>
                <w:lang w:val="es-ES_tradnl"/>
              </w:rPr>
            </w:pPr>
            <w:r>
              <w:rPr>
                <w:lang w:val="es-ES_tradnl"/>
              </w:rPr>
              <w:t>1</w:t>
            </w:r>
          </w:p>
        </w:tc>
        <w:tc>
          <w:tcPr>
            <w:tcW w:w="785" w:type="dxa"/>
          </w:tcPr>
          <w:p w:rsidR="00000000" w:rsidRDefault="00000000">
            <w:pPr>
              <w:jc w:val="center"/>
              <w:rPr>
                <w:lang w:val="es-ES_tradnl"/>
              </w:rPr>
            </w:pPr>
            <w:r>
              <w:rPr>
                <w:lang w:val="es-ES_tradnl"/>
              </w:rPr>
              <w:t>4</w:t>
            </w:r>
          </w:p>
        </w:tc>
      </w:tr>
      <w:tr w:rsidR="00000000">
        <w:tblPrEx>
          <w:tblCellMar>
            <w:top w:w="0" w:type="dxa"/>
            <w:bottom w:w="0" w:type="dxa"/>
          </w:tblCellMar>
        </w:tblPrEx>
        <w:tc>
          <w:tcPr>
            <w:tcW w:w="4662" w:type="dxa"/>
          </w:tcPr>
          <w:p w:rsidR="00000000" w:rsidRDefault="00000000">
            <w:r>
              <w:t>Discapacidad mental</w:t>
            </w:r>
          </w:p>
        </w:tc>
        <w:tc>
          <w:tcPr>
            <w:tcW w:w="1130" w:type="dxa"/>
          </w:tcPr>
          <w:p w:rsidR="00000000" w:rsidRDefault="00000000">
            <w:pPr>
              <w:jc w:val="center"/>
              <w:rPr>
                <w:lang w:val="es-ES_tradnl"/>
              </w:rPr>
            </w:pPr>
            <w:r>
              <w:rPr>
                <w:lang w:val="es-ES_tradnl"/>
              </w:rPr>
              <w:t>1</w:t>
            </w:r>
          </w:p>
        </w:tc>
        <w:tc>
          <w:tcPr>
            <w:tcW w:w="927" w:type="dxa"/>
          </w:tcPr>
          <w:p w:rsidR="00000000" w:rsidRDefault="00000000">
            <w:pPr>
              <w:jc w:val="center"/>
              <w:rPr>
                <w:lang w:val="es-ES_tradnl"/>
              </w:rPr>
            </w:pPr>
          </w:p>
        </w:tc>
        <w:tc>
          <w:tcPr>
            <w:tcW w:w="1008" w:type="dxa"/>
          </w:tcPr>
          <w:p w:rsidR="00000000" w:rsidRDefault="00000000">
            <w:pPr>
              <w:jc w:val="center"/>
              <w:rPr>
                <w:lang w:val="es-ES_tradnl"/>
              </w:rPr>
            </w:pPr>
            <w:r>
              <w:rPr>
                <w:lang w:val="es-ES_tradnl"/>
              </w:rPr>
              <w:t>1</w:t>
            </w:r>
          </w:p>
        </w:tc>
        <w:tc>
          <w:tcPr>
            <w:tcW w:w="983" w:type="dxa"/>
          </w:tcPr>
          <w:p w:rsidR="00000000" w:rsidRDefault="00000000">
            <w:pPr>
              <w:jc w:val="center"/>
              <w:rPr>
                <w:lang w:val="es-ES_tradnl"/>
              </w:rPr>
            </w:pPr>
            <w:r>
              <w:rPr>
                <w:lang w:val="es-ES_tradnl"/>
              </w:rPr>
              <w:t>1</w:t>
            </w:r>
          </w:p>
        </w:tc>
        <w:tc>
          <w:tcPr>
            <w:tcW w:w="785" w:type="dxa"/>
          </w:tcPr>
          <w:p w:rsidR="00000000" w:rsidRDefault="00000000">
            <w:pPr>
              <w:jc w:val="center"/>
              <w:rPr>
                <w:lang w:val="es-ES_tradnl"/>
              </w:rPr>
            </w:pPr>
            <w:r>
              <w:rPr>
                <w:lang w:val="es-ES_tradnl"/>
              </w:rPr>
              <w:t>3</w:t>
            </w:r>
          </w:p>
        </w:tc>
      </w:tr>
      <w:tr w:rsidR="00000000">
        <w:tblPrEx>
          <w:tblCellMar>
            <w:top w:w="0" w:type="dxa"/>
            <w:bottom w:w="0" w:type="dxa"/>
          </w:tblCellMar>
        </w:tblPrEx>
        <w:tc>
          <w:tcPr>
            <w:tcW w:w="4662" w:type="dxa"/>
          </w:tcPr>
          <w:p w:rsidR="00000000" w:rsidRDefault="00000000">
            <w:r>
              <w:t>Discapacidad auditiva</w:t>
            </w:r>
          </w:p>
        </w:tc>
        <w:tc>
          <w:tcPr>
            <w:tcW w:w="1130" w:type="dxa"/>
          </w:tcPr>
          <w:p w:rsidR="00000000" w:rsidRDefault="00000000">
            <w:pPr>
              <w:jc w:val="center"/>
              <w:rPr>
                <w:lang w:val="es-ES_tradnl"/>
              </w:rPr>
            </w:pPr>
          </w:p>
        </w:tc>
        <w:tc>
          <w:tcPr>
            <w:tcW w:w="927" w:type="dxa"/>
          </w:tcPr>
          <w:p w:rsidR="00000000" w:rsidRDefault="00000000">
            <w:pPr>
              <w:jc w:val="center"/>
              <w:rPr>
                <w:lang w:val="es-ES_tradnl"/>
              </w:rPr>
            </w:pPr>
          </w:p>
        </w:tc>
        <w:tc>
          <w:tcPr>
            <w:tcW w:w="1008" w:type="dxa"/>
          </w:tcPr>
          <w:p w:rsidR="00000000" w:rsidRDefault="00000000">
            <w:pPr>
              <w:jc w:val="center"/>
              <w:rPr>
                <w:lang w:val="es-ES_tradnl"/>
              </w:rPr>
            </w:pPr>
            <w:r>
              <w:rPr>
                <w:lang w:val="es-ES_tradnl"/>
              </w:rPr>
              <w:t>2</w:t>
            </w:r>
          </w:p>
        </w:tc>
        <w:tc>
          <w:tcPr>
            <w:tcW w:w="983" w:type="dxa"/>
          </w:tcPr>
          <w:p w:rsidR="00000000" w:rsidRDefault="00000000">
            <w:pPr>
              <w:jc w:val="center"/>
              <w:rPr>
                <w:lang w:val="es-ES_tradnl"/>
              </w:rPr>
            </w:pPr>
          </w:p>
        </w:tc>
        <w:tc>
          <w:tcPr>
            <w:tcW w:w="785" w:type="dxa"/>
          </w:tcPr>
          <w:p w:rsidR="00000000" w:rsidRDefault="00000000">
            <w:pPr>
              <w:jc w:val="center"/>
              <w:rPr>
                <w:lang w:val="es-ES_tradnl"/>
              </w:rPr>
            </w:pPr>
            <w:r>
              <w:rPr>
                <w:lang w:val="es-ES_tradnl"/>
              </w:rPr>
              <w:t>2</w:t>
            </w:r>
          </w:p>
        </w:tc>
      </w:tr>
      <w:tr w:rsidR="00000000">
        <w:tblPrEx>
          <w:tblCellMar>
            <w:top w:w="0" w:type="dxa"/>
            <w:bottom w:w="0" w:type="dxa"/>
          </w:tblCellMar>
        </w:tblPrEx>
        <w:tc>
          <w:tcPr>
            <w:tcW w:w="4662" w:type="dxa"/>
          </w:tcPr>
          <w:p w:rsidR="00000000" w:rsidRDefault="00000000">
            <w:r>
              <w:t>Discapacidad del habla</w:t>
            </w:r>
          </w:p>
        </w:tc>
        <w:tc>
          <w:tcPr>
            <w:tcW w:w="1130" w:type="dxa"/>
          </w:tcPr>
          <w:p w:rsidR="00000000" w:rsidRDefault="00000000">
            <w:pPr>
              <w:jc w:val="center"/>
              <w:rPr>
                <w:lang w:val="es-ES_tradnl"/>
              </w:rPr>
            </w:pPr>
            <w:r>
              <w:rPr>
                <w:lang w:val="es-ES_tradnl"/>
              </w:rPr>
              <w:t>2</w:t>
            </w:r>
          </w:p>
        </w:tc>
        <w:tc>
          <w:tcPr>
            <w:tcW w:w="927" w:type="dxa"/>
          </w:tcPr>
          <w:p w:rsidR="00000000" w:rsidRDefault="00000000">
            <w:pPr>
              <w:jc w:val="center"/>
              <w:rPr>
                <w:lang w:val="es-ES_tradnl"/>
              </w:rPr>
            </w:pPr>
          </w:p>
        </w:tc>
        <w:tc>
          <w:tcPr>
            <w:tcW w:w="1008" w:type="dxa"/>
          </w:tcPr>
          <w:p w:rsidR="00000000" w:rsidRDefault="00000000">
            <w:pPr>
              <w:jc w:val="center"/>
              <w:rPr>
                <w:lang w:val="es-ES_tradnl"/>
              </w:rPr>
            </w:pPr>
          </w:p>
        </w:tc>
        <w:tc>
          <w:tcPr>
            <w:tcW w:w="983" w:type="dxa"/>
          </w:tcPr>
          <w:p w:rsidR="00000000" w:rsidRDefault="00000000">
            <w:pPr>
              <w:jc w:val="center"/>
              <w:rPr>
                <w:lang w:val="es-ES_tradnl"/>
              </w:rPr>
            </w:pPr>
          </w:p>
        </w:tc>
        <w:tc>
          <w:tcPr>
            <w:tcW w:w="785" w:type="dxa"/>
          </w:tcPr>
          <w:p w:rsidR="00000000" w:rsidRDefault="00000000">
            <w:pPr>
              <w:jc w:val="center"/>
              <w:rPr>
                <w:lang w:val="es-ES_tradnl"/>
              </w:rPr>
            </w:pPr>
            <w:r>
              <w:rPr>
                <w:lang w:val="es-ES_tradnl"/>
              </w:rPr>
              <w:t>2</w:t>
            </w:r>
          </w:p>
        </w:tc>
      </w:tr>
      <w:tr w:rsidR="00000000">
        <w:tblPrEx>
          <w:tblCellMar>
            <w:top w:w="0" w:type="dxa"/>
            <w:bottom w:w="0" w:type="dxa"/>
          </w:tblCellMar>
        </w:tblPrEx>
        <w:tc>
          <w:tcPr>
            <w:tcW w:w="4662" w:type="dxa"/>
          </w:tcPr>
          <w:p w:rsidR="00000000" w:rsidRDefault="00000000">
            <w:r>
              <w:t>Discapacidades múltiples</w:t>
            </w:r>
          </w:p>
        </w:tc>
        <w:tc>
          <w:tcPr>
            <w:tcW w:w="1130" w:type="dxa"/>
          </w:tcPr>
          <w:p w:rsidR="00000000" w:rsidRDefault="00000000">
            <w:pPr>
              <w:jc w:val="center"/>
              <w:rPr>
                <w:lang w:val="es-ES_tradnl"/>
              </w:rPr>
            </w:pPr>
            <w:r>
              <w:rPr>
                <w:lang w:val="es-ES_tradnl"/>
              </w:rPr>
              <w:t>1</w:t>
            </w:r>
          </w:p>
        </w:tc>
        <w:tc>
          <w:tcPr>
            <w:tcW w:w="927" w:type="dxa"/>
          </w:tcPr>
          <w:p w:rsidR="00000000" w:rsidRDefault="00000000">
            <w:pPr>
              <w:jc w:val="center"/>
              <w:rPr>
                <w:lang w:val="es-ES_tradnl"/>
              </w:rPr>
            </w:pPr>
          </w:p>
        </w:tc>
        <w:tc>
          <w:tcPr>
            <w:tcW w:w="1008" w:type="dxa"/>
          </w:tcPr>
          <w:p w:rsidR="00000000" w:rsidRDefault="00000000">
            <w:pPr>
              <w:jc w:val="center"/>
              <w:rPr>
                <w:lang w:val="es-ES_tradnl"/>
              </w:rPr>
            </w:pPr>
            <w:r>
              <w:rPr>
                <w:lang w:val="es-ES_tradnl"/>
              </w:rPr>
              <w:t>1</w:t>
            </w:r>
          </w:p>
        </w:tc>
        <w:tc>
          <w:tcPr>
            <w:tcW w:w="983" w:type="dxa"/>
          </w:tcPr>
          <w:p w:rsidR="00000000" w:rsidRDefault="00000000">
            <w:pPr>
              <w:jc w:val="center"/>
              <w:rPr>
                <w:lang w:val="es-ES_tradnl"/>
              </w:rPr>
            </w:pPr>
          </w:p>
        </w:tc>
        <w:tc>
          <w:tcPr>
            <w:tcW w:w="785" w:type="dxa"/>
          </w:tcPr>
          <w:p w:rsidR="00000000" w:rsidRDefault="00000000">
            <w:pPr>
              <w:jc w:val="center"/>
              <w:rPr>
                <w:lang w:val="es-ES_tradnl"/>
              </w:rPr>
            </w:pPr>
            <w:r>
              <w:rPr>
                <w:lang w:val="es-ES_tradnl"/>
              </w:rPr>
              <w:t>2</w:t>
            </w:r>
          </w:p>
        </w:tc>
      </w:tr>
      <w:tr w:rsidR="00000000">
        <w:tblPrEx>
          <w:tblCellMar>
            <w:top w:w="0" w:type="dxa"/>
            <w:bottom w:w="0" w:type="dxa"/>
          </w:tblCellMar>
        </w:tblPrEx>
        <w:tc>
          <w:tcPr>
            <w:tcW w:w="4662" w:type="dxa"/>
          </w:tcPr>
          <w:p w:rsidR="00000000" w:rsidRDefault="00000000">
            <w:r>
              <w:tab/>
              <w:t>Total</w:t>
            </w:r>
          </w:p>
        </w:tc>
        <w:tc>
          <w:tcPr>
            <w:tcW w:w="1130" w:type="dxa"/>
          </w:tcPr>
          <w:p w:rsidR="00000000" w:rsidRDefault="00000000">
            <w:pPr>
              <w:jc w:val="center"/>
              <w:rPr>
                <w:lang w:val="es-ES_tradnl"/>
              </w:rPr>
            </w:pPr>
            <w:r>
              <w:rPr>
                <w:lang w:val="es-ES_tradnl"/>
              </w:rPr>
              <w:t>6</w:t>
            </w:r>
          </w:p>
        </w:tc>
        <w:tc>
          <w:tcPr>
            <w:tcW w:w="927" w:type="dxa"/>
          </w:tcPr>
          <w:p w:rsidR="00000000" w:rsidRDefault="00000000">
            <w:pPr>
              <w:jc w:val="center"/>
              <w:rPr>
                <w:lang w:val="es-ES_tradnl"/>
              </w:rPr>
            </w:pPr>
            <w:r>
              <w:rPr>
                <w:lang w:val="es-ES_tradnl"/>
              </w:rPr>
              <w:t>1</w:t>
            </w:r>
          </w:p>
        </w:tc>
        <w:tc>
          <w:tcPr>
            <w:tcW w:w="1008" w:type="dxa"/>
          </w:tcPr>
          <w:p w:rsidR="00000000" w:rsidRDefault="00000000">
            <w:pPr>
              <w:jc w:val="center"/>
              <w:rPr>
                <w:lang w:val="es-ES_tradnl"/>
              </w:rPr>
            </w:pPr>
            <w:r>
              <w:rPr>
                <w:lang w:val="es-ES_tradnl"/>
              </w:rPr>
              <w:t>4</w:t>
            </w:r>
          </w:p>
        </w:tc>
        <w:tc>
          <w:tcPr>
            <w:tcW w:w="983" w:type="dxa"/>
          </w:tcPr>
          <w:p w:rsidR="00000000" w:rsidRDefault="00000000">
            <w:pPr>
              <w:jc w:val="center"/>
              <w:rPr>
                <w:lang w:val="es-ES_tradnl"/>
              </w:rPr>
            </w:pPr>
            <w:r>
              <w:rPr>
                <w:lang w:val="es-ES_tradnl"/>
              </w:rPr>
              <w:t>2</w:t>
            </w:r>
          </w:p>
        </w:tc>
        <w:tc>
          <w:tcPr>
            <w:tcW w:w="785" w:type="dxa"/>
          </w:tcPr>
          <w:p w:rsidR="00000000" w:rsidRDefault="00000000">
            <w:pPr>
              <w:jc w:val="center"/>
              <w:rPr>
                <w:lang w:val="es-ES_tradnl"/>
              </w:rPr>
            </w:pPr>
            <w:r>
              <w:rPr>
                <w:lang w:val="es-ES_tradnl"/>
              </w:rPr>
              <w:t>13</w:t>
            </w:r>
          </w:p>
        </w:tc>
      </w:tr>
    </w:tbl>
    <w:p w:rsidR="00000000" w:rsidRDefault="00000000">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8"/>
        <w:gridCol w:w="1143"/>
        <w:gridCol w:w="929"/>
        <w:gridCol w:w="980"/>
        <w:gridCol w:w="963"/>
        <w:gridCol w:w="832"/>
      </w:tblGrid>
      <w:tr w:rsidR="00000000">
        <w:tblPrEx>
          <w:tblCellMar>
            <w:top w:w="0" w:type="dxa"/>
            <w:bottom w:w="0" w:type="dxa"/>
          </w:tblCellMar>
        </w:tblPrEx>
        <w:trPr>
          <w:cantSplit/>
        </w:trPr>
        <w:tc>
          <w:tcPr>
            <w:tcW w:w="5000" w:type="pct"/>
            <w:gridSpan w:val="6"/>
            <w:vAlign w:val="center"/>
          </w:tcPr>
          <w:p w:rsidR="00000000" w:rsidRDefault="00000000">
            <w:pPr>
              <w:jc w:val="center"/>
            </w:pPr>
            <w:r>
              <w:t>Colocaciones en el extranjero aprobadas por la Junta de Educación (curso escolar 2005/06)</w:t>
            </w:r>
          </w:p>
        </w:tc>
      </w:tr>
      <w:tr w:rsidR="00000000">
        <w:tblPrEx>
          <w:tblCellMar>
            <w:top w:w="0" w:type="dxa"/>
            <w:bottom w:w="0" w:type="dxa"/>
          </w:tblCellMar>
        </w:tblPrEx>
        <w:trPr>
          <w:cantSplit/>
        </w:trPr>
        <w:tc>
          <w:tcPr>
            <w:tcW w:w="2448" w:type="pct"/>
            <w:vMerge w:val="restart"/>
            <w:vAlign w:val="center"/>
          </w:tcPr>
          <w:p w:rsidR="00000000" w:rsidRDefault="00000000">
            <w:pPr>
              <w:jc w:val="center"/>
            </w:pPr>
            <w:r>
              <w:t>Tipo de discapacidad</w:t>
            </w:r>
          </w:p>
        </w:tc>
        <w:tc>
          <w:tcPr>
            <w:tcW w:w="1091" w:type="pct"/>
            <w:gridSpan w:val="2"/>
            <w:vAlign w:val="center"/>
          </w:tcPr>
          <w:p w:rsidR="00000000" w:rsidRDefault="00000000">
            <w:pPr>
              <w:jc w:val="center"/>
            </w:pPr>
            <w:r>
              <w:t>Suiza</w:t>
            </w:r>
          </w:p>
        </w:tc>
        <w:tc>
          <w:tcPr>
            <w:tcW w:w="1023" w:type="pct"/>
            <w:gridSpan w:val="2"/>
            <w:vAlign w:val="center"/>
          </w:tcPr>
          <w:p w:rsidR="00000000" w:rsidRDefault="00000000">
            <w:pPr>
              <w:jc w:val="center"/>
            </w:pPr>
            <w:r>
              <w:t>Austria</w:t>
            </w:r>
          </w:p>
        </w:tc>
        <w:tc>
          <w:tcPr>
            <w:tcW w:w="439" w:type="pct"/>
            <w:vMerge w:val="restart"/>
            <w:vAlign w:val="center"/>
          </w:tcPr>
          <w:p w:rsidR="00000000" w:rsidRDefault="00000000">
            <w:pPr>
              <w:jc w:val="center"/>
            </w:pPr>
            <w:r>
              <w:t>Total</w:t>
            </w:r>
          </w:p>
        </w:tc>
      </w:tr>
      <w:tr w:rsidR="00000000">
        <w:tblPrEx>
          <w:tblCellMar>
            <w:top w:w="0" w:type="dxa"/>
            <w:bottom w:w="0" w:type="dxa"/>
          </w:tblCellMar>
        </w:tblPrEx>
        <w:trPr>
          <w:cantSplit/>
        </w:trPr>
        <w:tc>
          <w:tcPr>
            <w:tcW w:w="2448" w:type="pct"/>
            <w:vMerge/>
            <w:vAlign w:val="center"/>
          </w:tcPr>
          <w:p w:rsidR="00000000" w:rsidRDefault="00000000">
            <w:pPr>
              <w:jc w:val="center"/>
            </w:pPr>
          </w:p>
        </w:tc>
        <w:tc>
          <w:tcPr>
            <w:tcW w:w="602" w:type="pct"/>
            <w:vAlign w:val="center"/>
          </w:tcPr>
          <w:p w:rsidR="00000000" w:rsidRDefault="00000000">
            <w:pPr>
              <w:jc w:val="center"/>
            </w:pPr>
            <w:r>
              <w:t>Varones</w:t>
            </w:r>
          </w:p>
        </w:tc>
        <w:tc>
          <w:tcPr>
            <w:tcW w:w="488" w:type="pct"/>
            <w:vAlign w:val="center"/>
          </w:tcPr>
          <w:p w:rsidR="00000000" w:rsidRDefault="00000000">
            <w:pPr>
              <w:jc w:val="center"/>
            </w:pPr>
            <w:r>
              <w:t>Mujeres</w:t>
            </w:r>
          </w:p>
        </w:tc>
        <w:tc>
          <w:tcPr>
            <w:tcW w:w="516" w:type="pct"/>
            <w:vAlign w:val="center"/>
          </w:tcPr>
          <w:p w:rsidR="00000000" w:rsidRDefault="00000000">
            <w:pPr>
              <w:jc w:val="center"/>
            </w:pPr>
            <w:r>
              <w:t>Varones</w:t>
            </w:r>
          </w:p>
        </w:tc>
        <w:tc>
          <w:tcPr>
            <w:tcW w:w="507" w:type="pct"/>
            <w:vAlign w:val="center"/>
          </w:tcPr>
          <w:p w:rsidR="00000000" w:rsidRDefault="00000000">
            <w:pPr>
              <w:jc w:val="center"/>
            </w:pPr>
            <w:r>
              <w:t>Mujeres</w:t>
            </w:r>
          </w:p>
        </w:tc>
        <w:tc>
          <w:tcPr>
            <w:tcW w:w="439" w:type="pct"/>
            <w:vMerge/>
            <w:vAlign w:val="center"/>
          </w:tcPr>
          <w:p w:rsidR="00000000" w:rsidRDefault="00000000">
            <w:pPr>
              <w:jc w:val="center"/>
            </w:pPr>
          </w:p>
        </w:tc>
      </w:tr>
      <w:tr w:rsidR="00000000">
        <w:tblPrEx>
          <w:tblCellMar>
            <w:top w:w="0" w:type="dxa"/>
            <w:bottom w:w="0" w:type="dxa"/>
          </w:tblCellMar>
        </w:tblPrEx>
        <w:tc>
          <w:tcPr>
            <w:tcW w:w="2448" w:type="pct"/>
          </w:tcPr>
          <w:p w:rsidR="00000000" w:rsidRDefault="00000000">
            <w:r>
              <w:t>Alteraciones del comportamiento</w:t>
            </w:r>
          </w:p>
        </w:tc>
        <w:tc>
          <w:tcPr>
            <w:tcW w:w="602" w:type="pct"/>
          </w:tcPr>
          <w:p w:rsidR="00000000" w:rsidRDefault="00000000">
            <w:pPr>
              <w:ind w:right="416"/>
              <w:jc w:val="right"/>
              <w:rPr>
                <w:lang w:val="es-ES_tradnl"/>
              </w:rPr>
            </w:pPr>
            <w:r>
              <w:rPr>
                <w:lang w:val="es-ES_tradnl"/>
              </w:rPr>
              <w:t>6</w:t>
            </w:r>
          </w:p>
        </w:tc>
        <w:tc>
          <w:tcPr>
            <w:tcW w:w="488" w:type="pct"/>
          </w:tcPr>
          <w:p w:rsidR="00000000" w:rsidRDefault="00000000">
            <w:pPr>
              <w:jc w:val="center"/>
              <w:rPr>
                <w:lang w:val="es-ES_tradnl"/>
              </w:rPr>
            </w:pPr>
            <w:r>
              <w:rPr>
                <w:lang w:val="es-ES_tradnl"/>
              </w:rPr>
              <w:t>2</w:t>
            </w:r>
          </w:p>
        </w:tc>
        <w:tc>
          <w:tcPr>
            <w:tcW w:w="516" w:type="pct"/>
          </w:tcPr>
          <w:p w:rsidR="00000000" w:rsidRDefault="00000000">
            <w:pPr>
              <w:jc w:val="center"/>
              <w:rPr>
                <w:lang w:val="es-ES_tradnl"/>
              </w:rPr>
            </w:pPr>
          </w:p>
        </w:tc>
        <w:tc>
          <w:tcPr>
            <w:tcW w:w="507" w:type="pct"/>
          </w:tcPr>
          <w:p w:rsidR="00000000" w:rsidRDefault="00000000">
            <w:pPr>
              <w:jc w:val="center"/>
              <w:rPr>
                <w:lang w:val="es-ES_tradnl"/>
              </w:rPr>
            </w:pPr>
          </w:p>
        </w:tc>
        <w:tc>
          <w:tcPr>
            <w:tcW w:w="439" w:type="pct"/>
          </w:tcPr>
          <w:p w:rsidR="00000000" w:rsidRDefault="00000000">
            <w:pPr>
              <w:ind w:right="242"/>
              <w:jc w:val="right"/>
              <w:rPr>
                <w:lang w:val="es-ES_tradnl"/>
              </w:rPr>
            </w:pPr>
            <w:r>
              <w:rPr>
                <w:lang w:val="es-ES_tradnl"/>
              </w:rPr>
              <w:t>8</w:t>
            </w:r>
          </w:p>
        </w:tc>
      </w:tr>
      <w:tr w:rsidR="00000000">
        <w:tblPrEx>
          <w:tblCellMar>
            <w:top w:w="0" w:type="dxa"/>
            <w:bottom w:w="0" w:type="dxa"/>
          </w:tblCellMar>
        </w:tblPrEx>
        <w:tc>
          <w:tcPr>
            <w:tcW w:w="2448" w:type="pct"/>
          </w:tcPr>
          <w:p w:rsidR="00000000" w:rsidRDefault="00000000">
            <w:r>
              <w:t>Discapacidad mental</w:t>
            </w:r>
          </w:p>
        </w:tc>
        <w:tc>
          <w:tcPr>
            <w:tcW w:w="602" w:type="pct"/>
          </w:tcPr>
          <w:p w:rsidR="00000000" w:rsidRDefault="00000000">
            <w:pPr>
              <w:ind w:right="416"/>
              <w:jc w:val="right"/>
              <w:rPr>
                <w:lang w:val="es-ES_tradnl"/>
              </w:rPr>
            </w:pPr>
            <w:r>
              <w:rPr>
                <w:lang w:val="es-ES_tradnl"/>
              </w:rPr>
              <w:t>1</w:t>
            </w:r>
          </w:p>
        </w:tc>
        <w:tc>
          <w:tcPr>
            <w:tcW w:w="488" w:type="pct"/>
          </w:tcPr>
          <w:p w:rsidR="00000000" w:rsidRDefault="00000000">
            <w:pPr>
              <w:jc w:val="center"/>
              <w:rPr>
                <w:lang w:val="es-ES_tradnl"/>
              </w:rPr>
            </w:pPr>
          </w:p>
        </w:tc>
        <w:tc>
          <w:tcPr>
            <w:tcW w:w="516" w:type="pct"/>
          </w:tcPr>
          <w:p w:rsidR="00000000" w:rsidRDefault="00000000">
            <w:pPr>
              <w:jc w:val="center"/>
              <w:rPr>
                <w:lang w:val="es-ES_tradnl"/>
              </w:rPr>
            </w:pPr>
            <w:r>
              <w:rPr>
                <w:lang w:val="es-ES_tradnl"/>
              </w:rPr>
              <w:t>1</w:t>
            </w:r>
          </w:p>
        </w:tc>
        <w:tc>
          <w:tcPr>
            <w:tcW w:w="507" w:type="pct"/>
          </w:tcPr>
          <w:p w:rsidR="00000000" w:rsidRDefault="00000000">
            <w:pPr>
              <w:jc w:val="center"/>
              <w:rPr>
                <w:lang w:val="es-ES_tradnl"/>
              </w:rPr>
            </w:pPr>
            <w:r>
              <w:rPr>
                <w:lang w:val="es-ES_tradnl"/>
              </w:rPr>
              <w:t>1</w:t>
            </w:r>
          </w:p>
        </w:tc>
        <w:tc>
          <w:tcPr>
            <w:tcW w:w="439" w:type="pct"/>
          </w:tcPr>
          <w:p w:rsidR="00000000" w:rsidRDefault="00000000">
            <w:pPr>
              <w:ind w:right="242"/>
              <w:jc w:val="right"/>
              <w:rPr>
                <w:lang w:val="es-ES_tradnl"/>
              </w:rPr>
            </w:pPr>
            <w:r>
              <w:rPr>
                <w:lang w:val="es-ES_tradnl"/>
              </w:rPr>
              <w:t>3</w:t>
            </w:r>
          </w:p>
        </w:tc>
      </w:tr>
      <w:tr w:rsidR="00000000">
        <w:tblPrEx>
          <w:tblCellMar>
            <w:top w:w="0" w:type="dxa"/>
            <w:bottom w:w="0" w:type="dxa"/>
          </w:tblCellMar>
        </w:tblPrEx>
        <w:tc>
          <w:tcPr>
            <w:tcW w:w="2448" w:type="pct"/>
          </w:tcPr>
          <w:p w:rsidR="00000000" w:rsidRDefault="00000000">
            <w:r>
              <w:t>Discapacidad auditiva</w:t>
            </w:r>
          </w:p>
        </w:tc>
        <w:tc>
          <w:tcPr>
            <w:tcW w:w="602" w:type="pct"/>
          </w:tcPr>
          <w:p w:rsidR="00000000" w:rsidRDefault="00000000">
            <w:pPr>
              <w:ind w:right="416"/>
              <w:jc w:val="right"/>
              <w:rPr>
                <w:lang w:val="es-ES_tradnl"/>
              </w:rPr>
            </w:pPr>
            <w:r>
              <w:rPr>
                <w:lang w:val="es-ES_tradnl"/>
              </w:rPr>
              <w:t>1</w:t>
            </w:r>
          </w:p>
        </w:tc>
        <w:tc>
          <w:tcPr>
            <w:tcW w:w="488" w:type="pct"/>
          </w:tcPr>
          <w:p w:rsidR="00000000" w:rsidRDefault="00000000">
            <w:pPr>
              <w:jc w:val="center"/>
              <w:rPr>
                <w:lang w:val="es-ES_tradnl"/>
              </w:rPr>
            </w:pPr>
            <w:r>
              <w:rPr>
                <w:lang w:val="es-ES_tradnl"/>
              </w:rPr>
              <w:t>1</w:t>
            </w:r>
          </w:p>
        </w:tc>
        <w:tc>
          <w:tcPr>
            <w:tcW w:w="516" w:type="pct"/>
          </w:tcPr>
          <w:p w:rsidR="00000000" w:rsidRDefault="00000000">
            <w:pPr>
              <w:jc w:val="center"/>
              <w:rPr>
                <w:lang w:val="es-ES_tradnl"/>
              </w:rPr>
            </w:pPr>
            <w:r>
              <w:rPr>
                <w:lang w:val="es-ES_tradnl"/>
              </w:rPr>
              <w:t>1</w:t>
            </w:r>
          </w:p>
        </w:tc>
        <w:tc>
          <w:tcPr>
            <w:tcW w:w="507" w:type="pct"/>
          </w:tcPr>
          <w:p w:rsidR="00000000" w:rsidRDefault="00000000">
            <w:pPr>
              <w:jc w:val="center"/>
              <w:rPr>
                <w:lang w:val="es-ES_tradnl"/>
              </w:rPr>
            </w:pPr>
          </w:p>
        </w:tc>
        <w:tc>
          <w:tcPr>
            <w:tcW w:w="439" w:type="pct"/>
          </w:tcPr>
          <w:p w:rsidR="00000000" w:rsidRDefault="00000000">
            <w:pPr>
              <w:ind w:right="242"/>
              <w:jc w:val="right"/>
              <w:rPr>
                <w:lang w:val="es-ES_tradnl"/>
              </w:rPr>
            </w:pPr>
            <w:r>
              <w:rPr>
                <w:lang w:val="es-ES_tradnl"/>
              </w:rPr>
              <w:t>3</w:t>
            </w:r>
          </w:p>
        </w:tc>
      </w:tr>
      <w:tr w:rsidR="00000000">
        <w:tblPrEx>
          <w:tblCellMar>
            <w:top w:w="0" w:type="dxa"/>
            <w:bottom w:w="0" w:type="dxa"/>
          </w:tblCellMar>
        </w:tblPrEx>
        <w:tc>
          <w:tcPr>
            <w:tcW w:w="2448" w:type="pct"/>
          </w:tcPr>
          <w:p w:rsidR="00000000" w:rsidRDefault="00000000">
            <w:r>
              <w:t>Discapacidad del habla</w:t>
            </w:r>
          </w:p>
        </w:tc>
        <w:tc>
          <w:tcPr>
            <w:tcW w:w="602" w:type="pct"/>
          </w:tcPr>
          <w:p w:rsidR="00000000" w:rsidRDefault="00000000">
            <w:pPr>
              <w:ind w:right="416"/>
              <w:jc w:val="right"/>
              <w:rPr>
                <w:lang w:val="es-ES_tradnl"/>
              </w:rPr>
            </w:pPr>
            <w:r>
              <w:rPr>
                <w:lang w:val="es-ES_tradnl"/>
              </w:rPr>
              <w:t>4</w:t>
            </w:r>
          </w:p>
        </w:tc>
        <w:tc>
          <w:tcPr>
            <w:tcW w:w="488" w:type="pct"/>
          </w:tcPr>
          <w:p w:rsidR="00000000" w:rsidRDefault="00000000">
            <w:pPr>
              <w:jc w:val="center"/>
              <w:rPr>
                <w:lang w:val="es-ES_tradnl"/>
              </w:rPr>
            </w:pPr>
          </w:p>
        </w:tc>
        <w:tc>
          <w:tcPr>
            <w:tcW w:w="516" w:type="pct"/>
          </w:tcPr>
          <w:p w:rsidR="00000000" w:rsidRDefault="00000000">
            <w:pPr>
              <w:jc w:val="center"/>
              <w:rPr>
                <w:lang w:val="es-ES_tradnl"/>
              </w:rPr>
            </w:pPr>
          </w:p>
        </w:tc>
        <w:tc>
          <w:tcPr>
            <w:tcW w:w="507" w:type="pct"/>
          </w:tcPr>
          <w:p w:rsidR="00000000" w:rsidRDefault="00000000">
            <w:pPr>
              <w:jc w:val="center"/>
              <w:rPr>
                <w:lang w:val="es-ES_tradnl"/>
              </w:rPr>
            </w:pPr>
          </w:p>
        </w:tc>
        <w:tc>
          <w:tcPr>
            <w:tcW w:w="439" w:type="pct"/>
          </w:tcPr>
          <w:p w:rsidR="00000000" w:rsidRDefault="00000000">
            <w:pPr>
              <w:ind w:right="242"/>
              <w:jc w:val="right"/>
              <w:rPr>
                <w:lang w:val="es-ES_tradnl"/>
              </w:rPr>
            </w:pPr>
            <w:r>
              <w:rPr>
                <w:lang w:val="es-ES_tradnl"/>
              </w:rPr>
              <w:t>4</w:t>
            </w:r>
          </w:p>
        </w:tc>
      </w:tr>
      <w:tr w:rsidR="00000000">
        <w:tblPrEx>
          <w:tblCellMar>
            <w:top w:w="0" w:type="dxa"/>
            <w:bottom w:w="0" w:type="dxa"/>
          </w:tblCellMar>
        </w:tblPrEx>
        <w:tc>
          <w:tcPr>
            <w:tcW w:w="2448" w:type="pct"/>
          </w:tcPr>
          <w:p w:rsidR="00000000" w:rsidRDefault="00000000">
            <w:r>
              <w:t>Discapacidades múltiples</w:t>
            </w:r>
          </w:p>
        </w:tc>
        <w:tc>
          <w:tcPr>
            <w:tcW w:w="602" w:type="pct"/>
          </w:tcPr>
          <w:p w:rsidR="00000000" w:rsidRDefault="00000000">
            <w:pPr>
              <w:ind w:right="416"/>
              <w:jc w:val="right"/>
              <w:rPr>
                <w:lang w:val="es-ES_tradnl"/>
              </w:rPr>
            </w:pPr>
            <w:r>
              <w:rPr>
                <w:lang w:val="es-ES_tradnl"/>
              </w:rPr>
              <w:t>2</w:t>
            </w:r>
          </w:p>
        </w:tc>
        <w:tc>
          <w:tcPr>
            <w:tcW w:w="488" w:type="pct"/>
          </w:tcPr>
          <w:p w:rsidR="00000000" w:rsidRDefault="00000000">
            <w:pPr>
              <w:jc w:val="center"/>
              <w:rPr>
                <w:lang w:val="es-ES_tradnl"/>
              </w:rPr>
            </w:pPr>
          </w:p>
        </w:tc>
        <w:tc>
          <w:tcPr>
            <w:tcW w:w="516" w:type="pct"/>
          </w:tcPr>
          <w:p w:rsidR="00000000" w:rsidRDefault="00000000">
            <w:pPr>
              <w:jc w:val="center"/>
              <w:rPr>
                <w:lang w:val="es-ES_tradnl"/>
              </w:rPr>
            </w:pPr>
          </w:p>
        </w:tc>
        <w:tc>
          <w:tcPr>
            <w:tcW w:w="507" w:type="pct"/>
          </w:tcPr>
          <w:p w:rsidR="00000000" w:rsidRDefault="00000000">
            <w:pPr>
              <w:jc w:val="center"/>
              <w:rPr>
                <w:lang w:val="es-ES_tradnl"/>
              </w:rPr>
            </w:pPr>
            <w:r>
              <w:rPr>
                <w:lang w:val="es-ES_tradnl"/>
              </w:rPr>
              <w:t>1</w:t>
            </w:r>
          </w:p>
        </w:tc>
        <w:tc>
          <w:tcPr>
            <w:tcW w:w="439" w:type="pct"/>
          </w:tcPr>
          <w:p w:rsidR="00000000" w:rsidRDefault="00000000">
            <w:pPr>
              <w:ind w:right="242"/>
              <w:jc w:val="right"/>
              <w:rPr>
                <w:lang w:val="es-ES_tradnl"/>
              </w:rPr>
            </w:pPr>
            <w:r>
              <w:rPr>
                <w:lang w:val="es-ES_tradnl"/>
              </w:rPr>
              <w:t>3</w:t>
            </w:r>
          </w:p>
        </w:tc>
      </w:tr>
      <w:tr w:rsidR="00000000">
        <w:tblPrEx>
          <w:tblCellMar>
            <w:top w:w="0" w:type="dxa"/>
            <w:bottom w:w="0" w:type="dxa"/>
          </w:tblCellMar>
        </w:tblPrEx>
        <w:tc>
          <w:tcPr>
            <w:tcW w:w="2448" w:type="pct"/>
          </w:tcPr>
          <w:p w:rsidR="00000000" w:rsidRDefault="00000000">
            <w:r>
              <w:tab/>
              <w:t>Total</w:t>
            </w:r>
          </w:p>
        </w:tc>
        <w:tc>
          <w:tcPr>
            <w:tcW w:w="602" w:type="pct"/>
          </w:tcPr>
          <w:p w:rsidR="00000000" w:rsidRDefault="00000000">
            <w:pPr>
              <w:ind w:right="416"/>
              <w:jc w:val="right"/>
            </w:pPr>
            <w:r>
              <w:t>14</w:t>
            </w:r>
          </w:p>
        </w:tc>
        <w:tc>
          <w:tcPr>
            <w:tcW w:w="488" w:type="pct"/>
          </w:tcPr>
          <w:p w:rsidR="00000000" w:rsidRDefault="00000000">
            <w:pPr>
              <w:jc w:val="center"/>
            </w:pPr>
            <w:r>
              <w:t>3</w:t>
            </w:r>
          </w:p>
        </w:tc>
        <w:tc>
          <w:tcPr>
            <w:tcW w:w="516" w:type="pct"/>
          </w:tcPr>
          <w:p w:rsidR="00000000" w:rsidRDefault="00000000">
            <w:pPr>
              <w:jc w:val="center"/>
            </w:pPr>
            <w:r>
              <w:t>2</w:t>
            </w:r>
          </w:p>
        </w:tc>
        <w:tc>
          <w:tcPr>
            <w:tcW w:w="507" w:type="pct"/>
          </w:tcPr>
          <w:p w:rsidR="00000000" w:rsidRDefault="00000000">
            <w:pPr>
              <w:jc w:val="center"/>
            </w:pPr>
            <w:r>
              <w:t>2</w:t>
            </w:r>
          </w:p>
        </w:tc>
        <w:tc>
          <w:tcPr>
            <w:tcW w:w="439" w:type="pct"/>
          </w:tcPr>
          <w:p w:rsidR="00000000" w:rsidRDefault="00000000">
            <w:pPr>
              <w:ind w:right="242"/>
              <w:jc w:val="right"/>
            </w:pPr>
            <w:r>
              <w:t>21</w:t>
            </w:r>
          </w:p>
        </w:tc>
      </w:tr>
    </w:tbl>
    <w:p w:rsidR="00000000" w:rsidRDefault="00000000">
      <w:pPr>
        <w:spacing w:before="480" w:after="240"/>
        <w:rPr>
          <w:b/>
          <w:bCs/>
        </w:rPr>
      </w:pPr>
      <w:r>
        <w:rPr>
          <w:b/>
          <w:bCs/>
        </w:rPr>
        <w:t>3b)</w:t>
      </w:r>
      <w:r>
        <w:rPr>
          <w:b/>
          <w:bCs/>
        </w:rPr>
        <w:tab/>
        <w:t>Colocados en hogares de guarda</w:t>
      </w:r>
    </w:p>
    <w:p w:rsidR="00000000" w:rsidRDefault="00000000">
      <w:pPr>
        <w:spacing w:after="240"/>
      </w:pPr>
      <w:r>
        <w:tab/>
        <w:t>En 2004, un total de 11 niños y adolescentes fueron colocados en familias de guarda en Liechtenstein, de los que 6 eran varones y 5 mujeres.  El promedio de edad fue de 14,5 años.</w:t>
      </w:r>
    </w:p>
    <w:p w:rsidR="00000000" w:rsidRDefault="00000000">
      <w:pPr>
        <w:spacing w:after="240"/>
        <w:rPr>
          <w:b/>
          <w:bCs/>
        </w:rPr>
      </w:pPr>
      <w:r>
        <w:rPr>
          <w:b/>
          <w:bCs/>
        </w:rPr>
        <w:t>3d)</w:t>
      </w:r>
      <w:r>
        <w:rPr>
          <w:b/>
          <w:bCs/>
        </w:rPr>
        <w:tab/>
        <w:t>Adoptados en el país o en el extranjero</w:t>
      </w:r>
    </w:p>
    <w:p w:rsidR="00000000" w:rsidRDefault="00000000">
      <w:pPr>
        <w:spacing w:after="240"/>
      </w:pPr>
      <w:r>
        <w:tab/>
        <w:t>En 2003 se adoptó a un menor, de nacionalidad colombiana.</w:t>
      </w:r>
    </w:p>
    <w:p w:rsidR="00000000" w:rsidRDefault="00000000">
      <w:pPr>
        <w:spacing w:after="240"/>
      </w:pPr>
      <w:r>
        <w:tab/>
        <w:t>En 2004 se adoptaron cinco menores, que eran de Austria, Rusia, Alemania, Liechtenstein y Sudáfrica.</w:t>
      </w:r>
    </w:p>
    <w:p w:rsidR="00000000" w:rsidRDefault="00000000">
      <w:pPr>
        <w:spacing w:after="240"/>
      </w:pPr>
      <w:r>
        <w:tab/>
        <w:t>En 2005 (al 10 de noviembre de 2005), se había adoptado a un menor y de ciudadanía austríaca.</w:t>
      </w:r>
    </w:p>
    <w:p w:rsidR="00000000" w:rsidRDefault="00000000">
      <w:pPr>
        <w:spacing w:after="240"/>
      </w:pPr>
      <w:r>
        <w:tab/>
        <w:t>Está pendiente o en proceso de adopción de un menor de nacionalidad filipina.</w:t>
      </w:r>
    </w:p>
    <w:p w:rsidR="00000000" w:rsidRDefault="00000000">
      <w:pPr>
        <w:spacing w:after="240"/>
        <w:rPr>
          <w:b/>
          <w:bCs/>
        </w:rPr>
      </w:pPr>
      <w:r>
        <w:rPr>
          <w:b/>
          <w:bCs/>
        </w:rPr>
        <w:t>3e)</w:t>
      </w:r>
      <w:r>
        <w:rPr>
          <w:b/>
          <w:bCs/>
        </w:rPr>
        <w:tab/>
        <w:t>Menores migrantes no acompañados</w:t>
      </w:r>
    </w:p>
    <w:p w:rsidR="00000000" w:rsidRDefault="00000000">
      <w:pPr>
        <w:spacing w:after="240"/>
      </w:pPr>
      <w:r>
        <w:tab/>
        <w:t>En 2004 se detectó a tres adolescentes varones no acompañados.  En lo que va de 2005, no se ha registrado ningún menor no acompañado.</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1403"/>
        <w:gridCol w:w="956"/>
        <w:gridCol w:w="1403"/>
      </w:tblGrid>
      <w:tr w:rsidR="00000000">
        <w:trPr>
          <w:trHeight w:val="429"/>
          <w:jc w:val="center"/>
        </w:trPr>
        <w:tc>
          <w:tcPr>
            <w:tcW w:w="0" w:type="auto"/>
            <w:gridSpan w:val="4"/>
            <w:vAlign w:val="center"/>
          </w:tcPr>
          <w:p w:rsidR="00000000" w:rsidRDefault="00000000">
            <w:pPr>
              <w:jc w:val="center"/>
              <w:rPr>
                <w:bCs/>
                <w:szCs w:val="20"/>
                <w:lang w:eastAsia="fr-FR"/>
              </w:rPr>
            </w:pPr>
            <w:r>
              <w:rPr>
                <w:bCs/>
              </w:rPr>
              <w:t>Menores no acompañados - 2004</w:t>
            </w:r>
          </w:p>
        </w:tc>
      </w:tr>
      <w:tr w:rsidR="00000000">
        <w:trPr>
          <w:jc w:val="center"/>
        </w:trPr>
        <w:tc>
          <w:tcPr>
            <w:tcW w:w="0" w:type="auto"/>
          </w:tcPr>
          <w:p w:rsidR="00000000" w:rsidRDefault="00000000">
            <w:pPr>
              <w:jc w:val="center"/>
              <w:rPr>
                <w:bCs/>
                <w:szCs w:val="20"/>
                <w:lang w:val="es-ES_tradnl" w:eastAsia="fr-FR"/>
              </w:rPr>
            </w:pPr>
            <w:r>
              <w:rPr>
                <w:bCs/>
                <w:lang w:val="es-ES_tradnl"/>
              </w:rPr>
              <w:t>País</w:t>
            </w:r>
          </w:p>
        </w:tc>
        <w:tc>
          <w:tcPr>
            <w:tcW w:w="0" w:type="auto"/>
            <w:vAlign w:val="center"/>
          </w:tcPr>
          <w:p w:rsidR="00000000" w:rsidRDefault="00000000">
            <w:pPr>
              <w:jc w:val="center"/>
              <w:rPr>
                <w:bCs/>
                <w:szCs w:val="20"/>
                <w:lang w:eastAsia="fr-FR"/>
              </w:rPr>
            </w:pPr>
            <w:r>
              <w:rPr>
                <w:bCs/>
              </w:rPr>
              <w:t>Tayikistán</w:t>
            </w:r>
          </w:p>
        </w:tc>
        <w:tc>
          <w:tcPr>
            <w:tcW w:w="0" w:type="auto"/>
            <w:vAlign w:val="center"/>
          </w:tcPr>
          <w:p w:rsidR="00000000" w:rsidRDefault="00000000">
            <w:pPr>
              <w:jc w:val="center"/>
              <w:rPr>
                <w:bCs/>
                <w:szCs w:val="20"/>
                <w:lang w:eastAsia="fr-FR"/>
              </w:rPr>
            </w:pPr>
            <w:r>
              <w:rPr>
                <w:bCs/>
              </w:rPr>
              <w:t>China</w:t>
            </w:r>
          </w:p>
        </w:tc>
        <w:tc>
          <w:tcPr>
            <w:tcW w:w="0" w:type="auto"/>
            <w:vAlign w:val="center"/>
          </w:tcPr>
          <w:p w:rsidR="00000000" w:rsidRDefault="00000000">
            <w:pPr>
              <w:jc w:val="center"/>
              <w:rPr>
                <w:bCs/>
                <w:szCs w:val="20"/>
                <w:lang w:eastAsia="fr-FR"/>
              </w:rPr>
            </w:pPr>
            <w:r>
              <w:rPr>
                <w:bCs/>
                <w:lang w:val="es-ES_tradnl"/>
              </w:rPr>
              <w:t>Kazajstán</w:t>
            </w:r>
          </w:p>
        </w:tc>
      </w:tr>
      <w:tr w:rsidR="00000000">
        <w:trPr>
          <w:jc w:val="center"/>
        </w:trPr>
        <w:tc>
          <w:tcPr>
            <w:tcW w:w="0" w:type="auto"/>
          </w:tcPr>
          <w:p w:rsidR="00000000" w:rsidRDefault="00000000">
            <w:pPr>
              <w:rPr>
                <w:bCs/>
                <w:szCs w:val="20"/>
                <w:lang w:eastAsia="fr-FR"/>
              </w:rPr>
            </w:pPr>
            <w:r>
              <w:rPr>
                <w:bCs/>
              </w:rPr>
              <w:t>Etnia</w:t>
            </w:r>
          </w:p>
        </w:tc>
        <w:tc>
          <w:tcPr>
            <w:tcW w:w="0" w:type="auto"/>
            <w:vAlign w:val="center"/>
          </w:tcPr>
          <w:p w:rsidR="00000000" w:rsidRDefault="00000000">
            <w:pPr>
              <w:rPr>
                <w:bCs/>
                <w:szCs w:val="20"/>
                <w:lang w:eastAsia="fr-FR"/>
              </w:rPr>
            </w:pPr>
            <w:r>
              <w:rPr>
                <w:bCs/>
              </w:rPr>
              <w:t>desconocida</w:t>
            </w:r>
          </w:p>
        </w:tc>
        <w:tc>
          <w:tcPr>
            <w:tcW w:w="0" w:type="auto"/>
            <w:vAlign w:val="center"/>
          </w:tcPr>
          <w:p w:rsidR="00000000" w:rsidRDefault="00000000">
            <w:pPr>
              <w:rPr>
                <w:bCs/>
                <w:szCs w:val="20"/>
                <w:lang w:eastAsia="fr-FR"/>
              </w:rPr>
            </w:pPr>
            <w:r>
              <w:rPr>
                <w:bCs/>
              </w:rPr>
              <w:t>igur</w:t>
            </w:r>
          </w:p>
        </w:tc>
        <w:tc>
          <w:tcPr>
            <w:tcW w:w="0" w:type="auto"/>
            <w:vAlign w:val="center"/>
          </w:tcPr>
          <w:p w:rsidR="00000000" w:rsidRDefault="00000000">
            <w:pPr>
              <w:rPr>
                <w:bCs/>
                <w:szCs w:val="20"/>
                <w:lang w:val="es-ES_tradnl" w:eastAsia="fr-FR"/>
              </w:rPr>
            </w:pPr>
            <w:r>
              <w:rPr>
                <w:bCs/>
                <w:lang w:val="es-ES_tradnl"/>
              </w:rPr>
              <w:t>desconocida</w:t>
            </w:r>
          </w:p>
        </w:tc>
      </w:tr>
      <w:tr w:rsidR="00000000">
        <w:trPr>
          <w:jc w:val="center"/>
        </w:trPr>
        <w:tc>
          <w:tcPr>
            <w:tcW w:w="0" w:type="auto"/>
          </w:tcPr>
          <w:p w:rsidR="00000000" w:rsidRDefault="00000000">
            <w:pPr>
              <w:rPr>
                <w:bCs/>
                <w:szCs w:val="20"/>
                <w:lang w:eastAsia="fr-FR"/>
              </w:rPr>
            </w:pPr>
            <w:r>
              <w:rPr>
                <w:bCs/>
              </w:rPr>
              <w:t>Sexo</w:t>
            </w:r>
          </w:p>
        </w:tc>
        <w:tc>
          <w:tcPr>
            <w:tcW w:w="0" w:type="auto"/>
            <w:vAlign w:val="center"/>
          </w:tcPr>
          <w:p w:rsidR="00000000" w:rsidRDefault="00000000">
            <w:pPr>
              <w:rPr>
                <w:bCs/>
                <w:szCs w:val="20"/>
                <w:lang w:eastAsia="fr-FR"/>
              </w:rPr>
            </w:pPr>
            <w:r>
              <w:rPr>
                <w:bCs/>
              </w:rPr>
              <w:t>varón</w:t>
            </w:r>
          </w:p>
        </w:tc>
        <w:tc>
          <w:tcPr>
            <w:tcW w:w="0" w:type="auto"/>
            <w:vAlign w:val="center"/>
          </w:tcPr>
          <w:p w:rsidR="00000000" w:rsidRDefault="00000000">
            <w:pPr>
              <w:rPr>
                <w:bCs/>
                <w:szCs w:val="20"/>
                <w:lang w:eastAsia="fr-FR"/>
              </w:rPr>
            </w:pPr>
            <w:r>
              <w:rPr>
                <w:bCs/>
              </w:rPr>
              <w:t>varón</w:t>
            </w:r>
          </w:p>
        </w:tc>
        <w:tc>
          <w:tcPr>
            <w:tcW w:w="0" w:type="auto"/>
            <w:vAlign w:val="center"/>
          </w:tcPr>
          <w:p w:rsidR="00000000" w:rsidRDefault="00000000">
            <w:pPr>
              <w:rPr>
                <w:bCs/>
                <w:szCs w:val="20"/>
                <w:lang w:val="es-ES_tradnl" w:eastAsia="fr-FR"/>
              </w:rPr>
            </w:pPr>
            <w:r>
              <w:rPr>
                <w:bCs/>
                <w:lang w:val="es-ES_tradnl"/>
              </w:rPr>
              <w:t>varón</w:t>
            </w:r>
          </w:p>
        </w:tc>
      </w:tr>
      <w:tr w:rsidR="00000000">
        <w:trPr>
          <w:jc w:val="center"/>
        </w:trPr>
        <w:tc>
          <w:tcPr>
            <w:tcW w:w="0" w:type="auto"/>
          </w:tcPr>
          <w:p w:rsidR="00000000" w:rsidRDefault="00000000">
            <w:pPr>
              <w:rPr>
                <w:bCs/>
                <w:szCs w:val="20"/>
                <w:lang w:eastAsia="fr-FR"/>
              </w:rPr>
            </w:pPr>
            <w:r>
              <w:rPr>
                <w:bCs/>
              </w:rPr>
              <w:t>Edad</w:t>
            </w:r>
          </w:p>
        </w:tc>
        <w:tc>
          <w:tcPr>
            <w:tcW w:w="0" w:type="auto"/>
            <w:vAlign w:val="center"/>
          </w:tcPr>
          <w:p w:rsidR="00000000" w:rsidRDefault="00000000">
            <w:pPr>
              <w:rPr>
                <w:bCs/>
                <w:szCs w:val="20"/>
                <w:lang w:eastAsia="fr-FR"/>
              </w:rPr>
            </w:pPr>
            <w:r>
              <w:rPr>
                <w:bCs/>
              </w:rPr>
              <w:t>16 años</w:t>
            </w:r>
          </w:p>
        </w:tc>
        <w:tc>
          <w:tcPr>
            <w:tcW w:w="0" w:type="auto"/>
            <w:vAlign w:val="center"/>
          </w:tcPr>
          <w:p w:rsidR="00000000" w:rsidRDefault="00000000">
            <w:pPr>
              <w:rPr>
                <w:bCs/>
                <w:szCs w:val="20"/>
                <w:lang w:eastAsia="fr-FR"/>
              </w:rPr>
            </w:pPr>
            <w:r>
              <w:rPr>
                <w:bCs/>
              </w:rPr>
              <w:t>16 años</w:t>
            </w:r>
          </w:p>
        </w:tc>
        <w:tc>
          <w:tcPr>
            <w:tcW w:w="0" w:type="auto"/>
            <w:vAlign w:val="center"/>
          </w:tcPr>
          <w:p w:rsidR="00000000" w:rsidRDefault="00000000">
            <w:pPr>
              <w:rPr>
                <w:bCs/>
                <w:szCs w:val="20"/>
                <w:lang w:val="es-ES_tradnl" w:eastAsia="fr-FR"/>
              </w:rPr>
            </w:pPr>
            <w:r>
              <w:rPr>
                <w:bCs/>
                <w:lang w:val="es-ES_tradnl"/>
              </w:rPr>
              <w:t>17 años</w:t>
            </w:r>
          </w:p>
        </w:tc>
      </w:tr>
      <w:tr w:rsidR="00000000">
        <w:trPr>
          <w:jc w:val="center"/>
        </w:trPr>
        <w:tc>
          <w:tcPr>
            <w:tcW w:w="0" w:type="auto"/>
          </w:tcPr>
          <w:p w:rsidR="00000000" w:rsidRDefault="00000000">
            <w:pPr>
              <w:rPr>
                <w:bCs/>
                <w:szCs w:val="20"/>
                <w:lang w:eastAsia="fr-FR"/>
              </w:rPr>
            </w:pPr>
            <w:r>
              <w:rPr>
                <w:bCs/>
              </w:rPr>
              <w:t>Duración de la permanencia (en días)</w:t>
            </w:r>
          </w:p>
        </w:tc>
        <w:tc>
          <w:tcPr>
            <w:tcW w:w="0" w:type="auto"/>
            <w:vAlign w:val="center"/>
          </w:tcPr>
          <w:p w:rsidR="00000000" w:rsidRDefault="00000000">
            <w:pPr>
              <w:rPr>
                <w:bCs/>
                <w:szCs w:val="20"/>
                <w:lang w:eastAsia="fr-FR"/>
              </w:rPr>
            </w:pPr>
            <w:r>
              <w:rPr>
                <w:bCs/>
              </w:rPr>
              <w:t>302</w:t>
            </w:r>
          </w:p>
        </w:tc>
        <w:tc>
          <w:tcPr>
            <w:tcW w:w="0" w:type="auto"/>
            <w:vAlign w:val="center"/>
          </w:tcPr>
          <w:p w:rsidR="00000000" w:rsidRDefault="00000000">
            <w:pPr>
              <w:rPr>
                <w:bCs/>
                <w:szCs w:val="20"/>
                <w:lang w:eastAsia="fr-FR"/>
              </w:rPr>
            </w:pPr>
            <w:r>
              <w:rPr>
                <w:bCs/>
              </w:rPr>
              <w:t>62</w:t>
            </w:r>
          </w:p>
        </w:tc>
        <w:tc>
          <w:tcPr>
            <w:tcW w:w="0" w:type="auto"/>
            <w:vAlign w:val="center"/>
          </w:tcPr>
          <w:p w:rsidR="00000000" w:rsidRDefault="00000000">
            <w:pPr>
              <w:rPr>
                <w:bCs/>
                <w:szCs w:val="20"/>
                <w:lang w:eastAsia="fr-FR"/>
              </w:rPr>
            </w:pPr>
            <w:r>
              <w:rPr>
                <w:bCs/>
              </w:rPr>
              <w:t>105</w:t>
            </w:r>
          </w:p>
        </w:tc>
      </w:tr>
    </w:tbl>
    <w:p w:rsidR="00000000" w:rsidRDefault="00000000">
      <w:pPr>
        <w:spacing w:before="480" w:after="240"/>
        <w:rPr>
          <w:b/>
          <w:bCs/>
        </w:rPr>
      </w:pPr>
      <w:r>
        <w:rPr>
          <w:b/>
          <w:bCs/>
        </w:rPr>
        <w:t>3f)</w:t>
      </w:r>
      <w:r>
        <w:rPr>
          <w:b/>
          <w:bCs/>
        </w:rPr>
        <w:tab/>
        <w:t>Niños de la calle</w:t>
      </w:r>
    </w:p>
    <w:p w:rsidR="00000000" w:rsidRDefault="00000000">
      <w:pPr>
        <w:spacing w:after="240"/>
      </w:pPr>
      <w:r>
        <w:tab/>
        <w:t>No hay niños adolescentes que vivan en la calle en Liechtenstein.</w:t>
      </w:r>
    </w:p>
    <w:p w:rsidR="00000000" w:rsidRDefault="00000000">
      <w:pPr>
        <w:spacing w:after="240"/>
        <w:rPr>
          <w:b/>
          <w:bCs/>
        </w:rPr>
      </w:pPr>
      <w:r>
        <w:rPr>
          <w:b/>
          <w:bCs/>
        </w:rPr>
        <w:t>3g)</w:t>
      </w:r>
      <w:r>
        <w:rPr>
          <w:b/>
          <w:bCs/>
        </w:rPr>
        <w:tab/>
        <w:t>Desaparecidos</w:t>
      </w:r>
    </w:p>
    <w:p w:rsidR="00000000" w:rsidRDefault="00000000">
      <w:pPr>
        <w:spacing w:after="240"/>
      </w:pPr>
      <w:r>
        <w:rPr>
          <w:b/>
          <w:bCs/>
        </w:rPr>
        <w:tab/>
      </w:r>
      <w:r>
        <w:t>En 2004 y 2005 no se denunció en Liechtenstein la desaparición de ningún niño durante un período prolongado.</w:t>
      </w:r>
    </w:p>
    <w:p w:rsidR="00000000" w:rsidRDefault="00000000">
      <w:pPr>
        <w:spacing w:after="240"/>
        <w:ind w:left="567" w:hanging="567"/>
        <w:rPr>
          <w:b/>
          <w:bCs/>
        </w:rPr>
      </w:pPr>
      <w:r>
        <w:rPr>
          <w:b/>
          <w:bCs/>
        </w:rPr>
        <w:t>4.</w:t>
      </w:r>
      <w:r>
        <w:rPr>
          <w:b/>
          <w:bCs/>
        </w:rPr>
        <w:tab/>
        <w:t>Sírvanse proporcionar datos sobre el número de niños con discapacidad, desglosados por sexo, edad y grupos minoritarios o étnicos, correspondientes a los años 2004 y, en su caso, 2005:</w:t>
      </w:r>
    </w:p>
    <w:p w:rsidR="00000000" w:rsidRDefault="00000000">
      <w:pPr>
        <w:spacing w:after="240"/>
      </w:pPr>
      <w:r>
        <w:tab/>
        <w:t>No hay estadísticas exactas en Liechtenstein sobre el número de niños con discapacidad.  No obstante, se dispone de datos sobre el número de niños y adolescentes que recibieron prestaciones específicas para discapacitados.</w:t>
      </w:r>
    </w:p>
    <w:p w:rsidR="00000000" w:rsidRDefault="00000000">
      <w:pPr>
        <w:spacing w:after="240"/>
        <w:rPr>
          <w:b/>
          <w:bCs/>
        </w:rPr>
      </w:pPr>
      <w:r>
        <w:rPr>
          <w:b/>
          <w:bCs/>
        </w:rPr>
        <w:t>4a)</w:t>
      </w:r>
      <w:r>
        <w:rPr>
          <w:b/>
          <w:bCs/>
        </w:rPr>
        <w:tab/>
        <w:t>Que viven con sus familias</w:t>
      </w:r>
    </w:p>
    <w:p w:rsidR="00000000" w:rsidRDefault="00000000">
      <w:pPr>
        <w:spacing w:after="240"/>
      </w:pPr>
      <w:r>
        <w:tab/>
        <w:t>De los niños inscritos en una escuela especial, en 2004 y 2005, 74 y 78 niños, respectivamente, vivían con sus familias.</w:t>
      </w:r>
    </w:p>
    <w:p w:rsidR="00000000" w:rsidRDefault="00000000">
      <w:pPr>
        <w:spacing w:after="240"/>
        <w:rPr>
          <w:b/>
          <w:bCs/>
        </w:rPr>
      </w:pPr>
      <w:r>
        <w:rPr>
          <w:b/>
          <w:bCs/>
        </w:rPr>
        <w:t>4b)</w:t>
      </w:r>
      <w:r>
        <w:rPr>
          <w:b/>
          <w:bCs/>
        </w:rPr>
        <w:tab/>
        <w:t>Que viven en instituciones</w:t>
      </w:r>
    </w:p>
    <w:p w:rsidR="00000000" w:rsidRDefault="00000000">
      <w:pPr>
        <w:spacing w:after="240"/>
      </w:pPr>
      <w:r>
        <w:tab/>
        <w:t>En 2004, seis niños discapacitados vivían en instituciones.  En el año en curso, nueve niños discapacitados viven en instituciones.</w:t>
      </w:r>
    </w:p>
    <w:p w:rsidR="00000000" w:rsidRDefault="00000000">
      <w:pPr>
        <w:spacing w:after="240"/>
        <w:rPr>
          <w:b/>
          <w:bCs/>
        </w:rPr>
      </w:pPr>
      <w:r>
        <w:rPr>
          <w:b/>
          <w:bCs/>
        </w:rPr>
        <w:t>4c)</w:t>
      </w:r>
      <w:r>
        <w:rPr>
          <w:b/>
          <w:bCs/>
        </w:rPr>
        <w:tab/>
        <w:t>Que asisten a escuelas normales</w:t>
      </w:r>
    </w:p>
    <w:p w:rsidR="00000000" w:rsidRDefault="00000000">
      <w:pPr>
        <w:spacing w:after="240"/>
      </w:pPr>
      <w:r>
        <w:tab/>
        <w:t>En el curso académico 2004-05, 39 niños con discapacidad asistían a centros de enseñanza general (educación de integración).  En el actual curso escolar (2005-06), 46 niños asisten a centros de educación general.</w:t>
      </w:r>
    </w:p>
    <w:p w:rsidR="00000000" w:rsidRDefault="00000000">
      <w:pPr>
        <w:keepNext/>
        <w:keepLines/>
        <w:spacing w:after="240"/>
        <w:rPr>
          <w:b/>
          <w:bCs/>
        </w:rPr>
      </w:pPr>
      <w:r>
        <w:rPr>
          <w:b/>
          <w:bCs/>
        </w:rPr>
        <w:t>4d)</w:t>
      </w:r>
      <w:r>
        <w:rPr>
          <w:b/>
          <w:bCs/>
        </w:rPr>
        <w:tab/>
        <w:t>Que asisten a escuelas especiales</w:t>
      </w:r>
    </w:p>
    <w:p w:rsidR="00000000" w:rsidRDefault="00000000">
      <w:pPr>
        <w:keepNext/>
        <w:keepLines/>
        <w:spacing w:after="240"/>
      </w:pPr>
      <w:r>
        <w:tab/>
        <w:t>En 2004, asistieron a escuelas especiales 85 niños discapacitados.  En 2005, 87 niños con discapacidades asisten a escuelas especiales.</w:t>
      </w:r>
    </w:p>
    <w:p w:rsidR="00000000" w:rsidRDefault="00000000">
      <w:pPr>
        <w:spacing w:after="240"/>
        <w:rPr>
          <w:b/>
          <w:bCs/>
        </w:rPr>
      </w:pPr>
      <w:r>
        <w:rPr>
          <w:b/>
          <w:bCs/>
        </w:rPr>
        <w:t>4e)</w:t>
      </w:r>
      <w:r>
        <w:rPr>
          <w:b/>
          <w:bCs/>
        </w:rPr>
        <w:tab/>
        <w:t>Que no están escolarizados</w:t>
      </w:r>
    </w:p>
    <w:p w:rsidR="00000000" w:rsidRDefault="00000000">
      <w:pPr>
        <w:spacing w:after="240"/>
      </w:pPr>
      <w:r>
        <w:tab/>
        <w:t>En 2004, todos los niños discapacitados asistían a un centro escolar, encuadrados bien en educación de integración bien en educación especial.  En 2005, dos niños no asisten a ninguna escuela.  Con todo, el principio fundamental es la obligatoriedad de la escolarización de todos los niños de Liechtenstein.</w:t>
      </w:r>
    </w:p>
    <w:p w:rsidR="00000000" w:rsidRDefault="00000000">
      <w:pPr>
        <w:spacing w:after="240"/>
        <w:ind w:left="567" w:hanging="567"/>
        <w:rPr>
          <w:b/>
          <w:bCs/>
        </w:rPr>
      </w:pPr>
      <w:r>
        <w:rPr>
          <w:b/>
          <w:bCs/>
        </w:rPr>
        <w:t>5.</w:t>
      </w:r>
      <w:r>
        <w:rPr>
          <w:b/>
          <w:bCs/>
        </w:rPr>
        <w:tab/>
        <w:t>Con referencia a los malos tratos infligidos a los niños, sírvanse proporcionar datos desglosados, (por edad, sexo, grupos minoritarios y  étnicos y tipos de malos tratos denunciados) correspondientes a los años 2004 y, en su caso, 2005, respecto de lo siguiente:</w:t>
      </w:r>
    </w:p>
    <w:p w:rsidR="00000000" w:rsidRDefault="00000000">
      <w:pPr>
        <w:spacing w:after="240"/>
        <w:rPr>
          <w:b/>
          <w:bCs/>
        </w:rPr>
      </w:pPr>
      <w:r>
        <w:rPr>
          <w:b/>
          <w:bCs/>
        </w:rPr>
        <w:t>5a)</w:t>
      </w:r>
      <w:r>
        <w:rPr>
          <w:b/>
          <w:bCs/>
        </w:rPr>
        <w:tab/>
        <w:t>Número de denuncias de particulares recibidas por año en los últimos tres años</w:t>
      </w:r>
    </w:p>
    <w:p w:rsidR="00000000" w:rsidRDefault="00000000">
      <w:pPr>
        <w:spacing w:after="240"/>
      </w:pPr>
      <w:r>
        <w:tab/>
        <w:t>Entre 2003 y 2005 se denunciaron ante la Policía Nacional cuatro casos en total de abusos sexuales, de los que fueron víctimas un total de ocho niños y adolescentes por los supuestos previstos en el artículo 205 (abusos sexuales agravados a niños menores de edad), el artículo 206 (abusos sexuales a niños menores de edad) y el artículo 208 (abusos sexuales de menores de 16 años) del Código Penal (Strafgesetzbuch, StGB).  Los abusos deshonestos contra los menores (como el exhibicionismo) no se prevén en esos tipos penales.  Entre 2003 y 2005, se registraron 25 casos de ese tipo.</w:t>
      </w:r>
    </w:p>
    <w:p w:rsidR="00000000" w:rsidRDefault="00000000">
      <w:pPr>
        <w:spacing w:after="240"/>
      </w:pPr>
      <w:r>
        <w:t>De los cuatro casos mencionados, todos ocurrieron en los años 2003 y 2005.  En 2004, no se denunció ningún caso de abuso sexual ante la Policía Nacional:</w:t>
      </w:r>
    </w:p>
    <w:p w:rsidR="00000000" w:rsidRDefault="00000000">
      <w:pPr>
        <w:spacing w:after="240"/>
        <w:ind w:left="924" w:hanging="357"/>
      </w:pPr>
      <w:r>
        <w:sym w:font="Symbol" w:char="F0B7"/>
      </w:r>
      <w:r>
        <w:tab/>
        <w:t>En 2003, se denunciaron los abusos sexuales de los que fue víctima una adolescente de Liechtenstein de 15 años de edad y los actos sexuales cometidos contra cuatro niños suizos entre 5 y 10 años de edad;</w:t>
      </w:r>
    </w:p>
    <w:p w:rsidR="00000000" w:rsidRDefault="00000000">
      <w:pPr>
        <w:numPr>
          <w:ilvl w:val="0"/>
          <w:numId w:val="1"/>
        </w:numPr>
        <w:tabs>
          <w:tab w:val="clear" w:pos="720"/>
        </w:tabs>
        <w:spacing w:after="240"/>
        <w:ind w:left="924" w:hanging="357"/>
      </w:pPr>
      <w:r>
        <w:t>En 2005, se denunciaron los abusos sexuales en los que fueron víctimas dos muchachas suizas de 14 y 16 años (sin penetración) y un caso de abusos deshonestos con un menor de 10 años de Liechtenstein (sin penetración).</w:t>
      </w:r>
    </w:p>
    <w:p w:rsidR="00000000" w:rsidRDefault="00000000">
      <w:pPr>
        <w:spacing w:after="240"/>
      </w:pPr>
      <w:r>
        <w:tab/>
        <w:t>El Grupo de Expertos contra los Abusos Sexuales a Menores y Adolescentes, un órgano consultivo interdisciplinario nombrado por el Gobierno, también registra los casos que recibe.  El Grupo de Expertos señala que sus estadísticas difieren de las estadísticas penales o del número de condenas anuales.  Ello obedece a diversos motivos:  en primer lugar, el Grupo de Expertos realiza una labor de asesoramiento psicológico que no siempre pueda dar lugar a que la Fiscalía incoe una investigación.  Por ejemplo, el Grupo de Expertos puede ocuparse de comportamientos sospechosos por parte de niños adolescentes en los que la sospecha de que son víctimas de abusos sexuales no llega a materializarse.  En segundo lugar, no todos los procesos judiciales implican necesariamente que el Grupo de Expertos tenga que emitir un dictamen ni que acabe con un fallo condenatorio.  En general, cada caso examinado por el Grupo de Expertos, independientemente del número de víctimas afectadas, se recoge una única vez en las estadísticas.  Si un caso ocupa al Grupo durante varios años naturales, dicho caso se recoge en cada uno de esos años.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6"/>
        <w:gridCol w:w="6289"/>
      </w:tblGrid>
      <w:tr w:rsidR="00000000">
        <w:tblPrEx>
          <w:tblCellMar>
            <w:top w:w="0" w:type="dxa"/>
            <w:bottom w:w="0" w:type="dxa"/>
          </w:tblCellMar>
        </w:tblPrEx>
        <w:trPr>
          <w:cantSplit/>
        </w:trPr>
        <w:tc>
          <w:tcPr>
            <w:tcW w:w="5000" w:type="pct"/>
            <w:gridSpan w:val="2"/>
          </w:tcPr>
          <w:p w:rsidR="00000000" w:rsidRDefault="00000000">
            <w:pPr>
              <w:jc w:val="center"/>
            </w:pPr>
            <w:r>
              <w:t>Grupo de Expertos contra los Abusos Sexuales a Menores y Adolescentes - 2003</w:t>
            </w:r>
          </w:p>
        </w:tc>
      </w:tr>
      <w:tr w:rsidR="00000000">
        <w:tblPrEx>
          <w:tblCellMar>
            <w:top w:w="0" w:type="dxa"/>
            <w:bottom w:w="0" w:type="dxa"/>
          </w:tblCellMar>
        </w:tblPrEx>
        <w:tc>
          <w:tcPr>
            <w:tcW w:w="1688" w:type="pct"/>
          </w:tcPr>
          <w:p w:rsidR="00000000" w:rsidRDefault="00000000">
            <w:r>
              <w:t>Casos</w:t>
            </w:r>
          </w:p>
        </w:tc>
        <w:tc>
          <w:tcPr>
            <w:tcW w:w="3312" w:type="pct"/>
          </w:tcPr>
          <w:p w:rsidR="00000000" w:rsidRDefault="00000000">
            <w:r>
              <w:t>10</w:t>
            </w:r>
          </w:p>
        </w:tc>
      </w:tr>
      <w:tr w:rsidR="00000000">
        <w:tblPrEx>
          <w:tblCellMar>
            <w:top w:w="0" w:type="dxa"/>
            <w:bottom w:w="0" w:type="dxa"/>
          </w:tblCellMar>
        </w:tblPrEx>
        <w:tc>
          <w:tcPr>
            <w:tcW w:w="1688" w:type="pct"/>
          </w:tcPr>
          <w:p w:rsidR="00000000" w:rsidRDefault="00000000">
            <w:r>
              <w:t>Niños y adolescentes afectados</w:t>
            </w:r>
          </w:p>
        </w:tc>
        <w:tc>
          <w:tcPr>
            <w:tcW w:w="3312" w:type="pct"/>
          </w:tcPr>
          <w:p w:rsidR="00000000" w:rsidRDefault="00000000">
            <w:r>
              <w:t>14; también 1 caso de 18 niños y adolescentes hostigados por un exhibicionista</w:t>
            </w:r>
          </w:p>
        </w:tc>
      </w:tr>
      <w:tr w:rsidR="00000000">
        <w:tblPrEx>
          <w:tblCellMar>
            <w:top w:w="0" w:type="dxa"/>
            <w:bottom w:w="0" w:type="dxa"/>
          </w:tblCellMar>
        </w:tblPrEx>
        <w:tc>
          <w:tcPr>
            <w:tcW w:w="1688" w:type="pct"/>
          </w:tcPr>
          <w:p w:rsidR="00000000" w:rsidRDefault="00000000">
            <w:r>
              <w:t>Edad</w:t>
            </w:r>
          </w:p>
        </w:tc>
        <w:tc>
          <w:tcPr>
            <w:tcW w:w="3312" w:type="pct"/>
          </w:tcPr>
          <w:p w:rsidR="00000000" w:rsidRDefault="00000000">
            <w:r>
              <w:t>Entre 5 y 17 años de edad</w:t>
            </w:r>
          </w:p>
        </w:tc>
      </w:tr>
      <w:tr w:rsidR="00000000">
        <w:tblPrEx>
          <w:tblCellMar>
            <w:top w:w="0" w:type="dxa"/>
            <w:bottom w:w="0" w:type="dxa"/>
          </w:tblCellMar>
        </w:tblPrEx>
        <w:tc>
          <w:tcPr>
            <w:tcW w:w="1688" w:type="pct"/>
          </w:tcPr>
          <w:p w:rsidR="00000000" w:rsidRDefault="00000000">
            <w:r>
              <w:t>Género</w:t>
            </w:r>
          </w:p>
        </w:tc>
        <w:tc>
          <w:tcPr>
            <w:tcW w:w="3312" w:type="pct"/>
          </w:tcPr>
          <w:p w:rsidR="00000000" w:rsidRDefault="00000000">
            <w:r>
              <w:t>24 muchachas (15 de ellas en el caso de hostigamiento por un exhibicionista), 8 muchachos (3 de ellos en el caso de hostigamiento por un exhibicionista)</w:t>
            </w:r>
          </w:p>
        </w:tc>
      </w:tr>
    </w:tbl>
    <w:p w:rsidR="00000000" w:rsidRDefault="00000000">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8"/>
        <w:gridCol w:w="6316"/>
      </w:tblGrid>
      <w:tr w:rsidR="00000000">
        <w:tblPrEx>
          <w:tblCellMar>
            <w:top w:w="0" w:type="dxa"/>
            <w:bottom w:w="0" w:type="dxa"/>
          </w:tblCellMar>
        </w:tblPrEx>
        <w:trPr>
          <w:cantSplit/>
        </w:trPr>
        <w:tc>
          <w:tcPr>
            <w:tcW w:w="9494" w:type="dxa"/>
            <w:gridSpan w:val="2"/>
          </w:tcPr>
          <w:p w:rsidR="00000000" w:rsidRDefault="00000000">
            <w:pPr>
              <w:jc w:val="center"/>
            </w:pPr>
            <w:r>
              <w:t>Grupo de Expertos contra los Abusos Sexuales a Menores y Adolescentes - 2004</w:t>
            </w:r>
          </w:p>
        </w:tc>
      </w:tr>
      <w:tr w:rsidR="00000000">
        <w:tblPrEx>
          <w:tblCellMar>
            <w:top w:w="0" w:type="dxa"/>
            <w:bottom w:w="0" w:type="dxa"/>
          </w:tblCellMar>
        </w:tblPrEx>
        <w:tc>
          <w:tcPr>
            <w:tcW w:w="3178" w:type="dxa"/>
          </w:tcPr>
          <w:p w:rsidR="00000000" w:rsidRDefault="00000000">
            <w:r>
              <w:t>Casos</w:t>
            </w:r>
          </w:p>
        </w:tc>
        <w:tc>
          <w:tcPr>
            <w:tcW w:w="6316" w:type="dxa"/>
          </w:tcPr>
          <w:p w:rsidR="00000000" w:rsidRDefault="00000000">
            <w:r>
              <w:t>12</w:t>
            </w:r>
          </w:p>
        </w:tc>
      </w:tr>
      <w:tr w:rsidR="00000000">
        <w:tblPrEx>
          <w:tblCellMar>
            <w:top w:w="0" w:type="dxa"/>
            <w:bottom w:w="0" w:type="dxa"/>
          </w:tblCellMar>
        </w:tblPrEx>
        <w:tc>
          <w:tcPr>
            <w:tcW w:w="3178" w:type="dxa"/>
          </w:tcPr>
          <w:p w:rsidR="00000000" w:rsidRDefault="00000000">
            <w:r>
              <w:t>Niños y adolescentes afectados</w:t>
            </w:r>
          </w:p>
        </w:tc>
        <w:tc>
          <w:tcPr>
            <w:tcW w:w="6316" w:type="dxa"/>
          </w:tcPr>
          <w:p w:rsidR="00000000" w:rsidRDefault="00000000">
            <w:r>
              <w:t>12</w:t>
            </w:r>
          </w:p>
        </w:tc>
      </w:tr>
      <w:tr w:rsidR="00000000">
        <w:tblPrEx>
          <w:tblCellMar>
            <w:top w:w="0" w:type="dxa"/>
            <w:bottom w:w="0" w:type="dxa"/>
          </w:tblCellMar>
        </w:tblPrEx>
        <w:tc>
          <w:tcPr>
            <w:tcW w:w="3178" w:type="dxa"/>
          </w:tcPr>
          <w:p w:rsidR="00000000" w:rsidRDefault="00000000">
            <w:r>
              <w:t>Edad</w:t>
            </w:r>
          </w:p>
        </w:tc>
        <w:tc>
          <w:tcPr>
            <w:tcW w:w="6316" w:type="dxa"/>
          </w:tcPr>
          <w:p w:rsidR="00000000" w:rsidRDefault="00000000">
            <w:r>
              <w:t>Entre 5 y 18 años de edad</w:t>
            </w:r>
          </w:p>
        </w:tc>
      </w:tr>
      <w:tr w:rsidR="00000000">
        <w:tblPrEx>
          <w:tblCellMar>
            <w:top w:w="0" w:type="dxa"/>
            <w:bottom w:w="0" w:type="dxa"/>
          </w:tblCellMar>
        </w:tblPrEx>
        <w:tc>
          <w:tcPr>
            <w:tcW w:w="3178" w:type="dxa"/>
          </w:tcPr>
          <w:p w:rsidR="00000000" w:rsidRDefault="00000000">
            <w:r>
              <w:t>Género</w:t>
            </w:r>
          </w:p>
        </w:tc>
        <w:tc>
          <w:tcPr>
            <w:tcW w:w="6316" w:type="dxa"/>
          </w:tcPr>
          <w:p w:rsidR="00000000" w:rsidRDefault="00000000">
            <w:r>
              <w:t>8 muchachas y 4 muchachos</w:t>
            </w:r>
          </w:p>
        </w:tc>
      </w:tr>
    </w:tbl>
    <w:p w:rsidR="00000000" w:rsidRDefault="00000000">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8"/>
        <w:gridCol w:w="6316"/>
      </w:tblGrid>
      <w:tr w:rsidR="00000000">
        <w:tblPrEx>
          <w:tblCellMar>
            <w:top w:w="0" w:type="dxa"/>
            <w:bottom w:w="0" w:type="dxa"/>
          </w:tblCellMar>
        </w:tblPrEx>
        <w:trPr>
          <w:cantSplit/>
        </w:trPr>
        <w:tc>
          <w:tcPr>
            <w:tcW w:w="9494" w:type="dxa"/>
            <w:gridSpan w:val="2"/>
          </w:tcPr>
          <w:p w:rsidR="00000000" w:rsidRDefault="00000000">
            <w:pPr>
              <w:jc w:val="center"/>
            </w:pPr>
            <w:r>
              <w:t>Grupo de Expertos contra los Abusos Sexuales a Menores y Adolescentes - 2005</w:t>
            </w:r>
          </w:p>
        </w:tc>
      </w:tr>
      <w:tr w:rsidR="00000000">
        <w:tblPrEx>
          <w:tblCellMar>
            <w:top w:w="0" w:type="dxa"/>
            <w:bottom w:w="0" w:type="dxa"/>
          </w:tblCellMar>
        </w:tblPrEx>
        <w:tc>
          <w:tcPr>
            <w:tcW w:w="3178" w:type="dxa"/>
          </w:tcPr>
          <w:p w:rsidR="00000000" w:rsidRDefault="00000000">
            <w:r>
              <w:t>Casos</w:t>
            </w:r>
          </w:p>
        </w:tc>
        <w:tc>
          <w:tcPr>
            <w:tcW w:w="6316" w:type="dxa"/>
          </w:tcPr>
          <w:p w:rsidR="00000000" w:rsidRDefault="00000000">
            <w:r>
              <w:t>8</w:t>
            </w:r>
          </w:p>
        </w:tc>
      </w:tr>
      <w:tr w:rsidR="00000000">
        <w:tblPrEx>
          <w:tblCellMar>
            <w:top w:w="0" w:type="dxa"/>
            <w:bottom w:w="0" w:type="dxa"/>
          </w:tblCellMar>
        </w:tblPrEx>
        <w:tc>
          <w:tcPr>
            <w:tcW w:w="3178" w:type="dxa"/>
          </w:tcPr>
          <w:p w:rsidR="00000000" w:rsidRDefault="00000000">
            <w:r>
              <w:t>Niños y adolescentes afectados</w:t>
            </w:r>
          </w:p>
        </w:tc>
        <w:tc>
          <w:tcPr>
            <w:tcW w:w="6316" w:type="dxa"/>
          </w:tcPr>
          <w:p w:rsidR="00000000" w:rsidRDefault="00000000">
            <w:r>
              <w:t xml:space="preserve">7; más 1 caso en el que se vieron afectados varios niños </w:t>
            </w:r>
          </w:p>
        </w:tc>
      </w:tr>
      <w:tr w:rsidR="00000000">
        <w:tblPrEx>
          <w:tblCellMar>
            <w:top w:w="0" w:type="dxa"/>
            <w:bottom w:w="0" w:type="dxa"/>
          </w:tblCellMar>
        </w:tblPrEx>
        <w:tc>
          <w:tcPr>
            <w:tcW w:w="3178" w:type="dxa"/>
          </w:tcPr>
          <w:p w:rsidR="00000000" w:rsidRDefault="00000000">
            <w:r>
              <w:t>Edad</w:t>
            </w:r>
          </w:p>
        </w:tc>
        <w:tc>
          <w:tcPr>
            <w:tcW w:w="6316" w:type="dxa"/>
          </w:tcPr>
          <w:p w:rsidR="00000000" w:rsidRDefault="00000000">
            <w:r>
              <w:t>Entre 6 y 17 años de edad</w:t>
            </w:r>
          </w:p>
        </w:tc>
      </w:tr>
      <w:tr w:rsidR="00000000">
        <w:tblPrEx>
          <w:tblCellMar>
            <w:top w:w="0" w:type="dxa"/>
            <w:bottom w:w="0" w:type="dxa"/>
          </w:tblCellMar>
        </w:tblPrEx>
        <w:tc>
          <w:tcPr>
            <w:tcW w:w="3178" w:type="dxa"/>
          </w:tcPr>
          <w:p w:rsidR="00000000" w:rsidRDefault="00000000">
            <w:r>
              <w:t>Género</w:t>
            </w:r>
          </w:p>
        </w:tc>
        <w:tc>
          <w:tcPr>
            <w:tcW w:w="6316" w:type="dxa"/>
          </w:tcPr>
          <w:p w:rsidR="00000000" w:rsidRDefault="00000000">
            <w:r>
              <w:t>Únicamente muchachas</w:t>
            </w:r>
          </w:p>
        </w:tc>
      </w:tr>
    </w:tbl>
    <w:p w:rsidR="00000000" w:rsidRDefault="00000000">
      <w:pPr>
        <w:spacing w:before="480" w:after="240"/>
        <w:ind w:left="567" w:hanging="567"/>
        <w:rPr>
          <w:b/>
          <w:bCs/>
        </w:rPr>
      </w:pPr>
      <w:r>
        <w:rPr>
          <w:b/>
          <w:bCs/>
        </w:rPr>
        <w:t>5b)</w:t>
      </w:r>
      <w:r>
        <w:rPr>
          <w:b/>
          <w:bCs/>
        </w:rPr>
        <w:tab/>
        <w:t>Número y porcentaje de denuncias que han dado lugar a una sentencia judicial u otro tipo de medida de seguimiento</w:t>
      </w:r>
    </w:p>
    <w:p w:rsidR="00000000" w:rsidRDefault="00000000">
      <w:pPr>
        <w:spacing w:after="240"/>
        <w:jc w:val="center"/>
        <w:rPr>
          <w:b/>
          <w:bCs/>
          <w:sz w:val="16"/>
        </w:rPr>
      </w:pPr>
      <w:r>
        <w:rPr>
          <w:b/>
          <w:bCs/>
          <w:sz w:val="16"/>
        </w:rPr>
        <w:t>Casos de abusos sexuales de los que fueron víctimas niños y adolescentes menores de 18 años vistos por</w:t>
      </w:r>
      <w:r>
        <w:rPr>
          <w:b/>
          <w:bCs/>
          <w:sz w:val="16"/>
        </w:rPr>
        <w:br/>
        <w:t>el Tribunal de Justicia de Liechtenstein (2004-2005)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8"/>
        <w:gridCol w:w="3005"/>
        <w:gridCol w:w="884"/>
        <w:gridCol w:w="993"/>
        <w:gridCol w:w="766"/>
        <w:gridCol w:w="1066"/>
        <w:gridCol w:w="1051"/>
        <w:gridCol w:w="1258"/>
      </w:tblGrid>
      <w:tr w:rsidR="00000000">
        <w:trPr>
          <w:tblHeader/>
        </w:trPr>
        <w:tc>
          <w:tcPr>
            <w:tcW w:w="286" w:type="pct"/>
            <w:vAlign w:val="center"/>
          </w:tcPr>
          <w:p w:rsidR="00000000" w:rsidRDefault="00000000">
            <w:pPr>
              <w:keepNext/>
              <w:keepLines/>
              <w:jc w:val="center"/>
              <w:rPr>
                <w:sz w:val="15"/>
              </w:rPr>
            </w:pPr>
            <w:r>
              <w:rPr>
                <w:sz w:val="15"/>
              </w:rPr>
              <w:br w:type="page"/>
              <w:t>Año</w:t>
            </w:r>
          </w:p>
        </w:tc>
        <w:tc>
          <w:tcPr>
            <w:tcW w:w="1570" w:type="pct"/>
            <w:vAlign w:val="center"/>
          </w:tcPr>
          <w:p w:rsidR="00000000" w:rsidRDefault="00000000">
            <w:pPr>
              <w:keepNext/>
              <w:keepLines/>
              <w:jc w:val="center"/>
              <w:rPr>
                <w:sz w:val="15"/>
              </w:rPr>
            </w:pPr>
            <w:r>
              <w:rPr>
                <w:sz w:val="15"/>
              </w:rPr>
              <w:t>Delito</w:t>
            </w:r>
          </w:p>
        </w:tc>
        <w:tc>
          <w:tcPr>
            <w:tcW w:w="462" w:type="pct"/>
            <w:vAlign w:val="center"/>
          </w:tcPr>
          <w:p w:rsidR="00000000" w:rsidRDefault="00000000">
            <w:pPr>
              <w:keepNext/>
              <w:keepLines/>
              <w:jc w:val="center"/>
              <w:rPr>
                <w:sz w:val="15"/>
              </w:rPr>
            </w:pPr>
            <w:r>
              <w:rPr>
                <w:sz w:val="15"/>
              </w:rPr>
              <w:t>Número de víctimas</w:t>
            </w:r>
          </w:p>
        </w:tc>
        <w:tc>
          <w:tcPr>
            <w:tcW w:w="519" w:type="pct"/>
            <w:vAlign w:val="center"/>
          </w:tcPr>
          <w:p w:rsidR="00000000" w:rsidRDefault="00000000">
            <w:pPr>
              <w:keepNext/>
              <w:keepLines/>
              <w:jc w:val="center"/>
              <w:rPr>
                <w:sz w:val="15"/>
              </w:rPr>
            </w:pPr>
            <w:r>
              <w:rPr>
                <w:sz w:val="15"/>
              </w:rPr>
              <w:t>Edad de las víctimas</w:t>
            </w:r>
          </w:p>
        </w:tc>
        <w:tc>
          <w:tcPr>
            <w:tcW w:w="400" w:type="pct"/>
            <w:vAlign w:val="center"/>
          </w:tcPr>
          <w:p w:rsidR="00000000" w:rsidRDefault="00000000">
            <w:pPr>
              <w:keepNext/>
              <w:keepLines/>
              <w:jc w:val="center"/>
              <w:rPr>
                <w:sz w:val="15"/>
              </w:rPr>
            </w:pPr>
            <w:r>
              <w:rPr>
                <w:sz w:val="15"/>
              </w:rPr>
              <w:t>Género de las víctimas</w:t>
            </w:r>
          </w:p>
        </w:tc>
        <w:tc>
          <w:tcPr>
            <w:tcW w:w="557" w:type="pct"/>
            <w:vAlign w:val="center"/>
          </w:tcPr>
          <w:p w:rsidR="00000000" w:rsidRDefault="00000000">
            <w:pPr>
              <w:keepNext/>
              <w:keepLines/>
              <w:jc w:val="center"/>
              <w:rPr>
                <w:sz w:val="15"/>
              </w:rPr>
            </w:pPr>
            <w:r>
              <w:rPr>
                <w:sz w:val="15"/>
              </w:rPr>
              <w:t>Nacionalidad de las víctimas</w:t>
            </w:r>
          </w:p>
        </w:tc>
        <w:tc>
          <w:tcPr>
            <w:tcW w:w="549" w:type="pct"/>
            <w:vAlign w:val="center"/>
          </w:tcPr>
          <w:p w:rsidR="00000000" w:rsidRDefault="00000000">
            <w:pPr>
              <w:keepNext/>
              <w:keepLines/>
              <w:jc w:val="center"/>
              <w:rPr>
                <w:sz w:val="15"/>
              </w:rPr>
            </w:pPr>
            <w:r>
              <w:rPr>
                <w:sz w:val="15"/>
              </w:rPr>
              <w:t>Residencia de las víctimas</w:t>
            </w:r>
          </w:p>
        </w:tc>
        <w:tc>
          <w:tcPr>
            <w:tcW w:w="657" w:type="pct"/>
            <w:vAlign w:val="center"/>
          </w:tcPr>
          <w:p w:rsidR="00000000" w:rsidRDefault="00000000">
            <w:pPr>
              <w:keepNext/>
              <w:keepLines/>
              <w:jc w:val="center"/>
              <w:rPr>
                <w:sz w:val="15"/>
              </w:rPr>
            </w:pPr>
            <w:r>
              <w:rPr>
                <w:sz w:val="15"/>
              </w:rPr>
              <w:t>Situación del proceso o resolución judicial</w:t>
            </w:r>
          </w:p>
        </w:tc>
      </w:tr>
      <w:tr w:rsidR="00000000">
        <w:tc>
          <w:tcPr>
            <w:tcW w:w="286" w:type="pct"/>
          </w:tcPr>
          <w:p w:rsidR="00000000" w:rsidRDefault="00000000">
            <w:pPr>
              <w:keepNext/>
              <w:keepLines/>
              <w:jc w:val="center"/>
              <w:rPr>
                <w:sz w:val="15"/>
              </w:rPr>
            </w:pPr>
            <w:r>
              <w:rPr>
                <w:sz w:val="15"/>
              </w:rPr>
              <w:t>2004</w:t>
            </w:r>
          </w:p>
        </w:tc>
        <w:tc>
          <w:tcPr>
            <w:tcW w:w="1570" w:type="pct"/>
          </w:tcPr>
          <w:p w:rsidR="00000000" w:rsidRDefault="00000000">
            <w:pPr>
              <w:keepNext/>
              <w:keepLines/>
              <w:rPr>
                <w:sz w:val="15"/>
              </w:rPr>
            </w:pPr>
            <w:bookmarkStart w:id="0" w:name="OLE_LINK16"/>
            <w:bookmarkStart w:id="1" w:name="OLE_LINK17"/>
            <w:bookmarkStart w:id="2" w:name="OLE_LINK18"/>
            <w:r>
              <w:rPr>
                <w:sz w:val="15"/>
              </w:rPr>
              <w:t xml:space="preserve">Acoso sexual </w:t>
            </w:r>
            <w:bookmarkEnd w:id="0"/>
            <w:bookmarkEnd w:id="1"/>
            <w:bookmarkEnd w:id="2"/>
            <w:r>
              <w:rPr>
                <w:sz w:val="15"/>
              </w:rPr>
              <w:t>(artículo 203 del Código Penal); corrupción de menores (artículo 207 del Código Penal)</w:t>
            </w:r>
          </w:p>
        </w:tc>
        <w:tc>
          <w:tcPr>
            <w:tcW w:w="462" w:type="pct"/>
          </w:tcPr>
          <w:p w:rsidR="00000000" w:rsidRDefault="00000000">
            <w:pPr>
              <w:keepNext/>
              <w:keepLines/>
              <w:jc w:val="center"/>
              <w:rPr>
                <w:sz w:val="15"/>
                <w:lang w:val="en-US"/>
              </w:rPr>
            </w:pPr>
            <w:r>
              <w:rPr>
                <w:sz w:val="15"/>
                <w:lang w:val="en-US"/>
              </w:rPr>
              <w:t>2</w:t>
            </w:r>
          </w:p>
        </w:tc>
        <w:tc>
          <w:tcPr>
            <w:tcW w:w="519" w:type="pct"/>
          </w:tcPr>
          <w:p w:rsidR="00000000" w:rsidRDefault="00000000">
            <w:pPr>
              <w:keepNext/>
              <w:keepLines/>
              <w:jc w:val="center"/>
              <w:rPr>
                <w:sz w:val="15"/>
                <w:lang w:val="en-US"/>
              </w:rPr>
            </w:pPr>
            <w:r>
              <w:rPr>
                <w:sz w:val="15"/>
                <w:lang w:val="en-US"/>
              </w:rPr>
              <w:t>10/15</w:t>
            </w:r>
          </w:p>
        </w:tc>
        <w:tc>
          <w:tcPr>
            <w:tcW w:w="400" w:type="pct"/>
          </w:tcPr>
          <w:p w:rsidR="00000000" w:rsidRDefault="00000000">
            <w:pPr>
              <w:keepNext/>
              <w:keepLines/>
              <w:jc w:val="center"/>
              <w:rPr>
                <w:sz w:val="15"/>
                <w:lang w:val="en-US"/>
              </w:rPr>
            </w:pPr>
            <w:r>
              <w:rPr>
                <w:sz w:val="15"/>
                <w:lang w:val="en-US"/>
              </w:rPr>
              <w:t>Mujer</w:t>
            </w:r>
          </w:p>
        </w:tc>
        <w:tc>
          <w:tcPr>
            <w:tcW w:w="557" w:type="pct"/>
          </w:tcPr>
          <w:p w:rsidR="00000000" w:rsidRDefault="00000000">
            <w:pPr>
              <w:keepNext/>
              <w:keepLines/>
              <w:jc w:val="center"/>
              <w:rPr>
                <w:sz w:val="15"/>
                <w:lang w:val="en-US"/>
              </w:rPr>
            </w:pPr>
            <w:r>
              <w:rPr>
                <w:sz w:val="15"/>
                <w:lang w:val="en-US"/>
              </w:rPr>
              <w:t>Liechtenstein</w:t>
            </w:r>
          </w:p>
        </w:tc>
        <w:tc>
          <w:tcPr>
            <w:tcW w:w="549" w:type="pct"/>
          </w:tcPr>
          <w:p w:rsidR="00000000" w:rsidRDefault="00000000">
            <w:pPr>
              <w:keepNext/>
              <w:keepLines/>
              <w:rPr>
                <w:sz w:val="15"/>
                <w:lang w:val="en-US"/>
              </w:rPr>
            </w:pPr>
            <w:r>
              <w:rPr>
                <w:sz w:val="15"/>
                <w:lang w:val="en-US"/>
              </w:rPr>
              <w:t>Liechtenstein</w:t>
            </w:r>
          </w:p>
        </w:tc>
        <w:tc>
          <w:tcPr>
            <w:tcW w:w="657" w:type="pct"/>
          </w:tcPr>
          <w:p w:rsidR="00000000" w:rsidRDefault="00000000">
            <w:pPr>
              <w:keepNext/>
              <w:keepLines/>
              <w:rPr>
                <w:sz w:val="15"/>
              </w:rPr>
            </w:pPr>
            <w:r>
              <w:rPr>
                <w:sz w:val="15"/>
              </w:rPr>
              <w:t>Proceso sobreseído por ser menor de 14 años</w:t>
            </w:r>
          </w:p>
        </w:tc>
      </w:tr>
      <w:tr w:rsidR="00000000">
        <w:tc>
          <w:tcPr>
            <w:tcW w:w="286" w:type="pct"/>
          </w:tcPr>
          <w:p w:rsidR="00000000" w:rsidRDefault="00000000">
            <w:pPr>
              <w:jc w:val="center"/>
              <w:rPr>
                <w:sz w:val="15"/>
              </w:rPr>
            </w:pPr>
            <w:r>
              <w:rPr>
                <w:sz w:val="15"/>
              </w:rPr>
              <w:t>2004</w:t>
            </w:r>
          </w:p>
        </w:tc>
        <w:tc>
          <w:tcPr>
            <w:tcW w:w="1570" w:type="pct"/>
          </w:tcPr>
          <w:p w:rsidR="00000000" w:rsidRDefault="00000000">
            <w:pPr>
              <w:rPr>
                <w:sz w:val="15"/>
              </w:rPr>
            </w:pPr>
            <w:r>
              <w:rPr>
                <w:sz w:val="15"/>
              </w:rPr>
              <w:t>Corrupción de menores (artículo 207 del Código Penal)</w:t>
            </w:r>
          </w:p>
        </w:tc>
        <w:tc>
          <w:tcPr>
            <w:tcW w:w="462" w:type="pct"/>
          </w:tcPr>
          <w:p w:rsidR="00000000" w:rsidRDefault="00000000">
            <w:pPr>
              <w:jc w:val="center"/>
              <w:rPr>
                <w:sz w:val="15"/>
              </w:rPr>
            </w:pPr>
            <w:r>
              <w:rPr>
                <w:sz w:val="15"/>
              </w:rPr>
              <w:t>1</w:t>
            </w:r>
          </w:p>
        </w:tc>
        <w:tc>
          <w:tcPr>
            <w:tcW w:w="519" w:type="pct"/>
          </w:tcPr>
          <w:p w:rsidR="00000000" w:rsidRDefault="00000000">
            <w:pPr>
              <w:jc w:val="center"/>
              <w:rPr>
                <w:sz w:val="15"/>
              </w:rPr>
            </w:pPr>
            <w:r>
              <w:rPr>
                <w:sz w:val="15"/>
              </w:rPr>
              <w:t>16/17</w:t>
            </w:r>
          </w:p>
        </w:tc>
        <w:tc>
          <w:tcPr>
            <w:tcW w:w="400" w:type="pct"/>
          </w:tcPr>
          <w:p w:rsidR="00000000" w:rsidRDefault="00000000">
            <w:pPr>
              <w:jc w:val="center"/>
              <w:rPr>
                <w:sz w:val="15"/>
              </w:rPr>
            </w:pPr>
            <w:r>
              <w:rPr>
                <w:sz w:val="15"/>
              </w:rPr>
              <w:t>Mujer</w:t>
            </w:r>
          </w:p>
        </w:tc>
        <w:tc>
          <w:tcPr>
            <w:tcW w:w="557" w:type="pct"/>
          </w:tcPr>
          <w:p w:rsidR="00000000" w:rsidRDefault="00000000">
            <w:pPr>
              <w:jc w:val="center"/>
              <w:rPr>
                <w:sz w:val="15"/>
              </w:rPr>
            </w:pPr>
            <w:r>
              <w:rPr>
                <w:sz w:val="15"/>
              </w:rPr>
              <w:t>Sin determinar</w:t>
            </w:r>
          </w:p>
        </w:tc>
        <w:tc>
          <w:tcPr>
            <w:tcW w:w="549" w:type="pct"/>
          </w:tcPr>
          <w:p w:rsidR="00000000" w:rsidRDefault="00000000">
            <w:pPr>
              <w:jc w:val="center"/>
              <w:rPr>
                <w:sz w:val="15"/>
              </w:rPr>
            </w:pPr>
            <w:r>
              <w:rPr>
                <w:sz w:val="15"/>
              </w:rPr>
              <w:t>Liechtenstein</w:t>
            </w:r>
          </w:p>
        </w:tc>
        <w:tc>
          <w:tcPr>
            <w:tcW w:w="657" w:type="pct"/>
          </w:tcPr>
          <w:p w:rsidR="00000000" w:rsidRDefault="00000000">
            <w:pPr>
              <w:rPr>
                <w:sz w:val="15"/>
              </w:rPr>
            </w:pPr>
            <w:r>
              <w:rPr>
                <w:sz w:val="15"/>
              </w:rPr>
              <w:t>Absolución</w:t>
            </w:r>
          </w:p>
        </w:tc>
      </w:tr>
      <w:tr w:rsidR="00000000">
        <w:tc>
          <w:tcPr>
            <w:tcW w:w="286" w:type="pct"/>
          </w:tcPr>
          <w:p w:rsidR="00000000" w:rsidRDefault="00000000">
            <w:pPr>
              <w:jc w:val="center"/>
              <w:rPr>
                <w:sz w:val="15"/>
              </w:rPr>
            </w:pPr>
            <w:r>
              <w:rPr>
                <w:sz w:val="15"/>
              </w:rPr>
              <w:t>2004</w:t>
            </w:r>
          </w:p>
        </w:tc>
        <w:tc>
          <w:tcPr>
            <w:tcW w:w="1570" w:type="pct"/>
          </w:tcPr>
          <w:p w:rsidR="00000000" w:rsidRDefault="00000000">
            <w:pPr>
              <w:rPr>
                <w:sz w:val="15"/>
              </w:rPr>
            </w:pPr>
            <w:r>
              <w:rPr>
                <w:sz w:val="15"/>
              </w:rPr>
              <w:t>Agresiones sexuales graves a menores (artículo 205 del Código Penal)</w:t>
            </w:r>
          </w:p>
        </w:tc>
        <w:tc>
          <w:tcPr>
            <w:tcW w:w="462" w:type="pct"/>
          </w:tcPr>
          <w:p w:rsidR="00000000" w:rsidRDefault="00000000">
            <w:pPr>
              <w:jc w:val="center"/>
              <w:rPr>
                <w:sz w:val="15"/>
              </w:rPr>
            </w:pPr>
            <w:r>
              <w:rPr>
                <w:sz w:val="15"/>
              </w:rPr>
              <w:t>Sin determinar</w:t>
            </w:r>
          </w:p>
        </w:tc>
        <w:tc>
          <w:tcPr>
            <w:tcW w:w="519" w:type="pct"/>
          </w:tcPr>
          <w:p w:rsidR="00000000" w:rsidRDefault="00000000">
            <w:pPr>
              <w:jc w:val="center"/>
              <w:rPr>
                <w:sz w:val="15"/>
              </w:rPr>
            </w:pPr>
            <w:r>
              <w:rPr>
                <w:sz w:val="15"/>
              </w:rPr>
              <w:t>Sin determinar</w:t>
            </w:r>
          </w:p>
        </w:tc>
        <w:tc>
          <w:tcPr>
            <w:tcW w:w="400" w:type="pct"/>
          </w:tcPr>
          <w:p w:rsidR="00000000" w:rsidRDefault="00000000">
            <w:pPr>
              <w:jc w:val="center"/>
              <w:rPr>
                <w:sz w:val="15"/>
              </w:rPr>
            </w:pPr>
            <w:r>
              <w:rPr>
                <w:sz w:val="15"/>
              </w:rPr>
              <w:t>Mujer</w:t>
            </w:r>
          </w:p>
        </w:tc>
        <w:tc>
          <w:tcPr>
            <w:tcW w:w="557" w:type="pct"/>
          </w:tcPr>
          <w:p w:rsidR="00000000" w:rsidRDefault="00000000">
            <w:pPr>
              <w:jc w:val="center"/>
              <w:rPr>
                <w:sz w:val="15"/>
              </w:rPr>
            </w:pPr>
            <w:r>
              <w:rPr>
                <w:sz w:val="15"/>
              </w:rPr>
              <w:t>Sin determinar</w:t>
            </w:r>
          </w:p>
        </w:tc>
        <w:tc>
          <w:tcPr>
            <w:tcW w:w="549" w:type="pct"/>
          </w:tcPr>
          <w:p w:rsidR="00000000" w:rsidRDefault="00000000">
            <w:pPr>
              <w:jc w:val="center"/>
              <w:rPr>
                <w:sz w:val="15"/>
              </w:rPr>
            </w:pPr>
            <w:r>
              <w:rPr>
                <w:sz w:val="15"/>
              </w:rPr>
              <w:t>Sin determinar</w:t>
            </w:r>
          </w:p>
        </w:tc>
        <w:tc>
          <w:tcPr>
            <w:tcW w:w="657" w:type="pct"/>
          </w:tcPr>
          <w:p w:rsidR="00000000" w:rsidRDefault="00000000">
            <w:pPr>
              <w:jc w:val="both"/>
              <w:rPr>
                <w:sz w:val="15"/>
              </w:rPr>
            </w:pPr>
            <w:r>
              <w:rPr>
                <w:sz w:val="15"/>
              </w:rPr>
              <w:t>Proceso sobreseído</w:t>
            </w:r>
          </w:p>
        </w:tc>
      </w:tr>
      <w:tr w:rsidR="00000000">
        <w:tc>
          <w:tcPr>
            <w:tcW w:w="286" w:type="pct"/>
          </w:tcPr>
          <w:p w:rsidR="00000000" w:rsidRDefault="00000000">
            <w:pPr>
              <w:jc w:val="center"/>
              <w:rPr>
                <w:sz w:val="15"/>
              </w:rPr>
            </w:pPr>
            <w:r>
              <w:rPr>
                <w:sz w:val="15"/>
              </w:rPr>
              <w:t>2004</w:t>
            </w:r>
          </w:p>
        </w:tc>
        <w:tc>
          <w:tcPr>
            <w:tcW w:w="1570" w:type="pct"/>
          </w:tcPr>
          <w:p w:rsidR="00000000" w:rsidRDefault="00000000">
            <w:pPr>
              <w:rPr>
                <w:sz w:val="15"/>
              </w:rPr>
            </w:pPr>
            <w:r>
              <w:rPr>
                <w:sz w:val="15"/>
              </w:rPr>
              <w:t>Acoso sexual (artículo 203 del Código Penal</w:t>
            </w:r>
          </w:p>
        </w:tc>
        <w:tc>
          <w:tcPr>
            <w:tcW w:w="462" w:type="pct"/>
          </w:tcPr>
          <w:p w:rsidR="00000000" w:rsidRDefault="00000000">
            <w:pPr>
              <w:jc w:val="center"/>
              <w:rPr>
                <w:sz w:val="15"/>
              </w:rPr>
            </w:pPr>
            <w:r>
              <w:rPr>
                <w:sz w:val="15"/>
              </w:rPr>
              <w:t>Sin determinar</w:t>
            </w:r>
          </w:p>
        </w:tc>
        <w:tc>
          <w:tcPr>
            <w:tcW w:w="519" w:type="pct"/>
          </w:tcPr>
          <w:p w:rsidR="00000000" w:rsidRDefault="00000000">
            <w:pPr>
              <w:jc w:val="center"/>
              <w:rPr>
                <w:sz w:val="15"/>
              </w:rPr>
            </w:pPr>
            <w:r>
              <w:rPr>
                <w:sz w:val="15"/>
              </w:rPr>
              <w:t>Sin determinar</w:t>
            </w:r>
          </w:p>
        </w:tc>
        <w:tc>
          <w:tcPr>
            <w:tcW w:w="400" w:type="pct"/>
          </w:tcPr>
          <w:p w:rsidR="00000000" w:rsidRDefault="00000000">
            <w:pPr>
              <w:jc w:val="center"/>
              <w:rPr>
                <w:sz w:val="15"/>
              </w:rPr>
            </w:pPr>
            <w:r>
              <w:rPr>
                <w:sz w:val="15"/>
              </w:rPr>
              <w:t>Mujer</w:t>
            </w:r>
          </w:p>
        </w:tc>
        <w:tc>
          <w:tcPr>
            <w:tcW w:w="557" w:type="pct"/>
          </w:tcPr>
          <w:p w:rsidR="00000000" w:rsidRDefault="00000000">
            <w:pPr>
              <w:jc w:val="center"/>
              <w:rPr>
                <w:sz w:val="15"/>
              </w:rPr>
            </w:pPr>
            <w:r>
              <w:rPr>
                <w:sz w:val="15"/>
              </w:rPr>
              <w:t>Sin determinar</w:t>
            </w:r>
          </w:p>
        </w:tc>
        <w:tc>
          <w:tcPr>
            <w:tcW w:w="549" w:type="pct"/>
          </w:tcPr>
          <w:p w:rsidR="00000000" w:rsidRDefault="00000000">
            <w:pPr>
              <w:jc w:val="center"/>
              <w:rPr>
                <w:sz w:val="15"/>
              </w:rPr>
            </w:pPr>
            <w:r>
              <w:rPr>
                <w:sz w:val="15"/>
              </w:rPr>
              <w:t>Sin determinar</w:t>
            </w:r>
          </w:p>
        </w:tc>
        <w:tc>
          <w:tcPr>
            <w:tcW w:w="657" w:type="pct"/>
          </w:tcPr>
          <w:p w:rsidR="00000000" w:rsidRDefault="00000000">
            <w:pPr>
              <w:rPr>
                <w:sz w:val="15"/>
              </w:rPr>
            </w:pPr>
            <w:r>
              <w:rPr>
                <w:sz w:val="15"/>
              </w:rPr>
              <w:t>Proceso sobreseído</w:t>
            </w:r>
          </w:p>
        </w:tc>
      </w:tr>
      <w:tr w:rsidR="00000000">
        <w:tc>
          <w:tcPr>
            <w:tcW w:w="286" w:type="pct"/>
          </w:tcPr>
          <w:p w:rsidR="00000000" w:rsidRDefault="00000000">
            <w:pPr>
              <w:jc w:val="center"/>
              <w:rPr>
                <w:sz w:val="15"/>
              </w:rPr>
            </w:pPr>
            <w:r>
              <w:rPr>
                <w:sz w:val="15"/>
              </w:rPr>
              <w:t>2004</w:t>
            </w:r>
          </w:p>
        </w:tc>
        <w:tc>
          <w:tcPr>
            <w:tcW w:w="1570" w:type="pct"/>
          </w:tcPr>
          <w:p w:rsidR="00000000" w:rsidRDefault="00000000">
            <w:pPr>
              <w:rPr>
                <w:sz w:val="15"/>
              </w:rPr>
            </w:pPr>
            <w:r>
              <w:rPr>
                <w:sz w:val="15"/>
              </w:rPr>
              <w:t>Acoso sexual (artículo 203 del Código Penal); corrupción de menores (artículo 207 del Código Penal)</w:t>
            </w:r>
          </w:p>
        </w:tc>
        <w:tc>
          <w:tcPr>
            <w:tcW w:w="462" w:type="pct"/>
          </w:tcPr>
          <w:p w:rsidR="00000000" w:rsidRDefault="00000000">
            <w:pPr>
              <w:jc w:val="center"/>
              <w:rPr>
                <w:sz w:val="15"/>
                <w:lang w:val="en-US"/>
              </w:rPr>
            </w:pPr>
            <w:r>
              <w:rPr>
                <w:sz w:val="15"/>
                <w:lang w:val="en-US"/>
              </w:rPr>
              <w:t>1</w:t>
            </w:r>
          </w:p>
        </w:tc>
        <w:tc>
          <w:tcPr>
            <w:tcW w:w="519" w:type="pct"/>
          </w:tcPr>
          <w:p w:rsidR="00000000" w:rsidRDefault="00000000">
            <w:pPr>
              <w:jc w:val="center"/>
              <w:rPr>
                <w:sz w:val="15"/>
                <w:lang w:val="en-US"/>
              </w:rPr>
            </w:pPr>
            <w:r>
              <w:rPr>
                <w:sz w:val="15"/>
                <w:lang w:val="en-US"/>
              </w:rPr>
              <w:t>17</w:t>
            </w:r>
          </w:p>
        </w:tc>
        <w:tc>
          <w:tcPr>
            <w:tcW w:w="400" w:type="pct"/>
          </w:tcPr>
          <w:p w:rsidR="00000000" w:rsidRDefault="00000000">
            <w:pPr>
              <w:jc w:val="center"/>
              <w:rPr>
                <w:sz w:val="15"/>
                <w:lang w:val="en-US"/>
              </w:rPr>
            </w:pPr>
            <w:r>
              <w:rPr>
                <w:sz w:val="15"/>
                <w:lang w:val="en-US"/>
              </w:rPr>
              <w:t>Mujer</w:t>
            </w:r>
          </w:p>
        </w:tc>
        <w:tc>
          <w:tcPr>
            <w:tcW w:w="557" w:type="pct"/>
          </w:tcPr>
          <w:p w:rsidR="00000000" w:rsidRDefault="00000000">
            <w:pPr>
              <w:jc w:val="center"/>
              <w:rPr>
                <w:sz w:val="15"/>
                <w:lang w:val="en-US"/>
              </w:rPr>
            </w:pPr>
            <w:r>
              <w:rPr>
                <w:sz w:val="15"/>
                <w:lang w:val="en-US"/>
              </w:rPr>
              <w:t>Liechtenstein</w:t>
            </w:r>
          </w:p>
        </w:tc>
        <w:tc>
          <w:tcPr>
            <w:tcW w:w="549" w:type="pct"/>
          </w:tcPr>
          <w:p w:rsidR="00000000" w:rsidRDefault="00000000">
            <w:pPr>
              <w:jc w:val="center"/>
              <w:rPr>
                <w:sz w:val="15"/>
                <w:lang w:val="en-US"/>
              </w:rPr>
            </w:pPr>
            <w:r>
              <w:rPr>
                <w:sz w:val="15"/>
                <w:lang w:val="en-US"/>
              </w:rPr>
              <w:t>Liechtenstein</w:t>
            </w:r>
          </w:p>
        </w:tc>
        <w:tc>
          <w:tcPr>
            <w:tcW w:w="657" w:type="pct"/>
          </w:tcPr>
          <w:p w:rsidR="00000000" w:rsidRDefault="00000000">
            <w:pPr>
              <w:jc w:val="both"/>
              <w:rPr>
                <w:sz w:val="15"/>
              </w:rPr>
            </w:pPr>
            <w:r>
              <w:rPr>
                <w:sz w:val="15"/>
              </w:rPr>
              <w:t>Proceso sobreseído</w:t>
            </w:r>
          </w:p>
        </w:tc>
      </w:tr>
      <w:tr w:rsidR="00000000">
        <w:tc>
          <w:tcPr>
            <w:tcW w:w="286" w:type="pct"/>
          </w:tcPr>
          <w:p w:rsidR="00000000" w:rsidRDefault="00000000">
            <w:pPr>
              <w:jc w:val="center"/>
              <w:rPr>
                <w:sz w:val="15"/>
              </w:rPr>
            </w:pPr>
            <w:r>
              <w:rPr>
                <w:sz w:val="15"/>
              </w:rPr>
              <w:t>2004</w:t>
            </w:r>
          </w:p>
        </w:tc>
        <w:tc>
          <w:tcPr>
            <w:tcW w:w="1570" w:type="pct"/>
          </w:tcPr>
          <w:p w:rsidR="00000000" w:rsidRDefault="00000000">
            <w:pPr>
              <w:rPr>
                <w:sz w:val="15"/>
              </w:rPr>
            </w:pPr>
            <w:r>
              <w:rPr>
                <w:sz w:val="15"/>
              </w:rPr>
              <w:t>Abusos sexuales a menores de 16 años (artículo 208 del Código Penal)</w:t>
            </w:r>
          </w:p>
        </w:tc>
        <w:tc>
          <w:tcPr>
            <w:tcW w:w="462" w:type="pct"/>
          </w:tcPr>
          <w:p w:rsidR="00000000" w:rsidRDefault="00000000">
            <w:pPr>
              <w:jc w:val="center"/>
              <w:rPr>
                <w:sz w:val="15"/>
              </w:rPr>
            </w:pPr>
            <w:r>
              <w:rPr>
                <w:sz w:val="15"/>
              </w:rPr>
              <w:t>Sin determinar</w:t>
            </w:r>
          </w:p>
        </w:tc>
        <w:tc>
          <w:tcPr>
            <w:tcW w:w="519" w:type="pct"/>
          </w:tcPr>
          <w:p w:rsidR="00000000" w:rsidRDefault="00000000">
            <w:pPr>
              <w:jc w:val="center"/>
              <w:rPr>
                <w:sz w:val="15"/>
              </w:rPr>
            </w:pPr>
            <w:r>
              <w:rPr>
                <w:sz w:val="15"/>
              </w:rPr>
              <w:t>14 años aproximada-mente</w:t>
            </w:r>
          </w:p>
        </w:tc>
        <w:tc>
          <w:tcPr>
            <w:tcW w:w="400" w:type="pct"/>
          </w:tcPr>
          <w:p w:rsidR="00000000" w:rsidRDefault="00000000">
            <w:pPr>
              <w:jc w:val="center"/>
              <w:rPr>
                <w:sz w:val="15"/>
              </w:rPr>
            </w:pPr>
            <w:r>
              <w:rPr>
                <w:sz w:val="15"/>
              </w:rPr>
              <w:t>Mujer</w:t>
            </w:r>
          </w:p>
        </w:tc>
        <w:tc>
          <w:tcPr>
            <w:tcW w:w="557" w:type="pct"/>
          </w:tcPr>
          <w:p w:rsidR="00000000" w:rsidRDefault="00000000">
            <w:pPr>
              <w:jc w:val="center"/>
              <w:rPr>
                <w:sz w:val="15"/>
              </w:rPr>
            </w:pPr>
            <w:r>
              <w:rPr>
                <w:sz w:val="15"/>
              </w:rPr>
              <w:t>Sin determinar</w:t>
            </w:r>
          </w:p>
        </w:tc>
        <w:tc>
          <w:tcPr>
            <w:tcW w:w="549" w:type="pct"/>
          </w:tcPr>
          <w:p w:rsidR="00000000" w:rsidRDefault="00000000">
            <w:pPr>
              <w:jc w:val="center"/>
              <w:rPr>
                <w:sz w:val="15"/>
              </w:rPr>
            </w:pPr>
            <w:r>
              <w:rPr>
                <w:sz w:val="15"/>
              </w:rPr>
              <w:t>Sin determinar</w:t>
            </w:r>
          </w:p>
        </w:tc>
        <w:tc>
          <w:tcPr>
            <w:tcW w:w="657" w:type="pct"/>
          </w:tcPr>
          <w:p w:rsidR="00000000" w:rsidRDefault="00000000">
            <w:pPr>
              <w:jc w:val="both"/>
              <w:rPr>
                <w:sz w:val="15"/>
              </w:rPr>
            </w:pPr>
            <w:r>
              <w:rPr>
                <w:sz w:val="15"/>
              </w:rPr>
              <w:t>Proceso sobreseído</w:t>
            </w:r>
          </w:p>
        </w:tc>
      </w:tr>
      <w:tr w:rsidR="00000000">
        <w:tc>
          <w:tcPr>
            <w:tcW w:w="286" w:type="pct"/>
          </w:tcPr>
          <w:p w:rsidR="00000000" w:rsidRDefault="00000000">
            <w:pPr>
              <w:keepNext/>
              <w:keepLines/>
              <w:jc w:val="center"/>
              <w:rPr>
                <w:sz w:val="15"/>
              </w:rPr>
            </w:pPr>
            <w:r>
              <w:rPr>
                <w:sz w:val="15"/>
              </w:rPr>
              <w:t>2005</w:t>
            </w:r>
          </w:p>
        </w:tc>
        <w:tc>
          <w:tcPr>
            <w:tcW w:w="1570" w:type="pct"/>
          </w:tcPr>
          <w:p w:rsidR="00000000" w:rsidRDefault="00000000">
            <w:pPr>
              <w:keepNext/>
              <w:keepLines/>
              <w:rPr>
                <w:sz w:val="15"/>
              </w:rPr>
            </w:pPr>
            <w:r>
              <w:rPr>
                <w:sz w:val="15"/>
              </w:rPr>
              <w:t>Acoso sexual (artículo 203 del Código Penal); corrupción de menores (artículo 207 del Código Penal)</w:t>
            </w:r>
          </w:p>
        </w:tc>
        <w:tc>
          <w:tcPr>
            <w:tcW w:w="462" w:type="pct"/>
          </w:tcPr>
          <w:p w:rsidR="00000000" w:rsidRDefault="00000000">
            <w:pPr>
              <w:keepNext/>
              <w:keepLines/>
              <w:jc w:val="center"/>
              <w:rPr>
                <w:sz w:val="15"/>
                <w:lang w:val="en-US"/>
              </w:rPr>
            </w:pPr>
            <w:r>
              <w:rPr>
                <w:sz w:val="15"/>
                <w:lang w:val="en-US"/>
              </w:rPr>
              <w:t>1</w:t>
            </w:r>
          </w:p>
        </w:tc>
        <w:tc>
          <w:tcPr>
            <w:tcW w:w="519" w:type="pct"/>
          </w:tcPr>
          <w:p w:rsidR="00000000" w:rsidRDefault="00000000">
            <w:pPr>
              <w:keepNext/>
              <w:keepLines/>
              <w:jc w:val="center"/>
              <w:rPr>
                <w:sz w:val="15"/>
                <w:lang w:val="en-US"/>
              </w:rPr>
            </w:pPr>
            <w:r>
              <w:rPr>
                <w:sz w:val="15"/>
                <w:lang w:val="en-US"/>
              </w:rPr>
              <w:t>8</w:t>
            </w:r>
          </w:p>
        </w:tc>
        <w:tc>
          <w:tcPr>
            <w:tcW w:w="400" w:type="pct"/>
          </w:tcPr>
          <w:p w:rsidR="00000000" w:rsidRDefault="00000000">
            <w:pPr>
              <w:keepNext/>
              <w:keepLines/>
              <w:jc w:val="center"/>
              <w:rPr>
                <w:sz w:val="15"/>
                <w:lang w:val="en-US"/>
              </w:rPr>
            </w:pPr>
            <w:r>
              <w:rPr>
                <w:sz w:val="15"/>
                <w:lang w:val="en-US"/>
              </w:rPr>
              <w:t>Mujer</w:t>
            </w:r>
          </w:p>
        </w:tc>
        <w:tc>
          <w:tcPr>
            <w:tcW w:w="557" w:type="pct"/>
          </w:tcPr>
          <w:p w:rsidR="00000000" w:rsidRDefault="00000000">
            <w:pPr>
              <w:keepNext/>
              <w:keepLines/>
              <w:jc w:val="center"/>
              <w:rPr>
                <w:sz w:val="15"/>
                <w:lang w:val="en-US"/>
              </w:rPr>
            </w:pPr>
            <w:r>
              <w:rPr>
                <w:sz w:val="15"/>
                <w:lang w:val="en-US"/>
              </w:rPr>
              <w:t>Liechtenstein</w:t>
            </w:r>
          </w:p>
        </w:tc>
        <w:tc>
          <w:tcPr>
            <w:tcW w:w="549" w:type="pct"/>
          </w:tcPr>
          <w:p w:rsidR="00000000" w:rsidRDefault="00000000">
            <w:pPr>
              <w:keepNext/>
              <w:keepLines/>
              <w:jc w:val="center"/>
              <w:rPr>
                <w:sz w:val="15"/>
                <w:lang w:val="en-US"/>
              </w:rPr>
            </w:pPr>
            <w:r>
              <w:rPr>
                <w:sz w:val="15"/>
                <w:lang w:val="en-US"/>
              </w:rPr>
              <w:t>Liechtenstein</w:t>
            </w:r>
          </w:p>
        </w:tc>
        <w:tc>
          <w:tcPr>
            <w:tcW w:w="657" w:type="pct"/>
          </w:tcPr>
          <w:p w:rsidR="00000000" w:rsidRDefault="00000000">
            <w:pPr>
              <w:keepNext/>
              <w:keepLines/>
              <w:jc w:val="both"/>
              <w:rPr>
                <w:sz w:val="15"/>
              </w:rPr>
            </w:pPr>
            <w:r>
              <w:rPr>
                <w:sz w:val="15"/>
              </w:rPr>
              <w:t>Proceso sobreseído</w:t>
            </w:r>
          </w:p>
        </w:tc>
      </w:tr>
      <w:tr w:rsidR="00000000">
        <w:tc>
          <w:tcPr>
            <w:tcW w:w="286" w:type="pct"/>
          </w:tcPr>
          <w:p w:rsidR="00000000" w:rsidRDefault="00000000">
            <w:pPr>
              <w:keepNext/>
              <w:keepLines/>
              <w:jc w:val="center"/>
              <w:rPr>
                <w:sz w:val="15"/>
              </w:rPr>
            </w:pPr>
            <w:r>
              <w:rPr>
                <w:sz w:val="15"/>
              </w:rPr>
              <w:t>2005</w:t>
            </w:r>
          </w:p>
        </w:tc>
        <w:tc>
          <w:tcPr>
            <w:tcW w:w="1570" w:type="pct"/>
          </w:tcPr>
          <w:p w:rsidR="00000000" w:rsidRDefault="00000000">
            <w:pPr>
              <w:keepNext/>
              <w:keepLines/>
              <w:rPr>
                <w:sz w:val="15"/>
              </w:rPr>
            </w:pPr>
            <w:r>
              <w:rPr>
                <w:sz w:val="15"/>
              </w:rPr>
              <w:t>Acoso sexual (artículo 203 del Código Penal); corrupción de menores (artículo 207 del Código Penal)</w:t>
            </w:r>
          </w:p>
        </w:tc>
        <w:tc>
          <w:tcPr>
            <w:tcW w:w="462" w:type="pct"/>
          </w:tcPr>
          <w:p w:rsidR="00000000" w:rsidRDefault="00000000">
            <w:pPr>
              <w:keepNext/>
              <w:keepLines/>
              <w:jc w:val="center"/>
              <w:rPr>
                <w:sz w:val="15"/>
                <w:lang w:val="en-US"/>
              </w:rPr>
            </w:pPr>
            <w:r>
              <w:rPr>
                <w:sz w:val="15"/>
                <w:lang w:val="en-US"/>
              </w:rPr>
              <w:t>2</w:t>
            </w:r>
          </w:p>
        </w:tc>
        <w:tc>
          <w:tcPr>
            <w:tcW w:w="519" w:type="pct"/>
          </w:tcPr>
          <w:p w:rsidR="00000000" w:rsidRDefault="00000000">
            <w:pPr>
              <w:keepNext/>
              <w:keepLines/>
              <w:jc w:val="center"/>
              <w:rPr>
                <w:sz w:val="15"/>
                <w:lang w:val="en-US"/>
              </w:rPr>
            </w:pPr>
            <w:r>
              <w:rPr>
                <w:sz w:val="15"/>
                <w:lang w:val="en-US"/>
              </w:rPr>
              <w:t>13/14</w:t>
            </w:r>
          </w:p>
        </w:tc>
        <w:tc>
          <w:tcPr>
            <w:tcW w:w="400" w:type="pct"/>
          </w:tcPr>
          <w:p w:rsidR="00000000" w:rsidRDefault="00000000">
            <w:pPr>
              <w:keepNext/>
              <w:keepLines/>
              <w:jc w:val="center"/>
              <w:rPr>
                <w:sz w:val="15"/>
                <w:lang w:val="en-US"/>
              </w:rPr>
            </w:pPr>
            <w:r>
              <w:rPr>
                <w:sz w:val="15"/>
                <w:lang w:val="en-US"/>
              </w:rPr>
              <w:t>Mujer</w:t>
            </w:r>
          </w:p>
        </w:tc>
        <w:tc>
          <w:tcPr>
            <w:tcW w:w="557" w:type="pct"/>
          </w:tcPr>
          <w:p w:rsidR="00000000" w:rsidRDefault="00000000">
            <w:pPr>
              <w:keepNext/>
              <w:keepLines/>
              <w:jc w:val="center"/>
              <w:rPr>
                <w:sz w:val="15"/>
                <w:lang w:val="en-US"/>
              </w:rPr>
            </w:pPr>
            <w:r>
              <w:rPr>
                <w:sz w:val="15"/>
                <w:lang w:val="en-US"/>
              </w:rPr>
              <w:t>Liechtenstein</w:t>
            </w:r>
          </w:p>
        </w:tc>
        <w:tc>
          <w:tcPr>
            <w:tcW w:w="549" w:type="pct"/>
          </w:tcPr>
          <w:p w:rsidR="00000000" w:rsidRDefault="00000000">
            <w:pPr>
              <w:keepNext/>
              <w:keepLines/>
              <w:jc w:val="center"/>
              <w:rPr>
                <w:sz w:val="15"/>
                <w:lang w:val="en-US"/>
              </w:rPr>
            </w:pPr>
            <w:r>
              <w:rPr>
                <w:sz w:val="15"/>
                <w:lang w:val="en-US"/>
              </w:rPr>
              <w:t>Liechtenstein</w:t>
            </w:r>
          </w:p>
        </w:tc>
        <w:tc>
          <w:tcPr>
            <w:tcW w:w="657" w:type="pct"/>
          </w:tcPr>
          <w:p w:rsidR="00000000" w:rsidRDefault="00000000">
            <w:pPr>
              <w:keepNext/>
              <w:keepLines/>
              <w:rPr>
                <w:sz w:val="15"/>
              </w:rPr>
            </w:pPr>
            <w:r>
              <w:rPr>
                <w:sz w:val="15"/>
              </w:rPr>
              <w:t>Proceso sobreseído tras presentación de cargos (debido a una sentencia en el extranjero)</w:t>
            </w:r>
          </w:p>
        </w:tc>
      </w:tr>
      <w:tr w:rsidR="00000000">
        <w:tc>
          <w:tcPr>
            <w:tcW w:w="286" w:type="pct"/>
          </w:tcPr>
          <w:p w:rsidR="00000000" w:rsidRDefault="00000000">
            <w:pPr>
              <w:jc w:val="center"/>
              <w:rPr>
                <w:sz w:val="15"/>
              </w:rPr>
            </w:pPr>
            <w:r>
              <w:rPr>
                <w:sz w:val="15"/>
              </w:rPr>
              <w:t>2005</w:t>
            </w:r>
          </w:p>
        </w:tc>
        <w:tc>
          <w:tcPr>
            <w:tcW w:w="1570" w:type="pct"/>
          </w:tcPr>
          <w:p w:rsidR="00000000" w:rsidRDefault="00000000">
            <w:pPr>
              <w:rPr>
                <w:sz w:val="15"/>
              </w:rPr>
            </w:pPr>
            <w:r>
              <w:rPr>
                <w:sz w:val="15"/>
              </w:rPr>
              <w:t>Corrupción de menores (artículo 207 del Código Penal)</w:t>
            </w:r>
          </w:p>
        </w:tc>
        <w:tc>
          <w:tcPr>
            <w:tcW w:w="462" w:type="pct"/>
          </w:tcPr>
          <w:p w:rsidR="00000000" w:rsidRDefault="00000000">
            <w:pPr>
              <w:jc w:val="center"/>
              <w:rPr>
                <w:sz w:val="15"/>
                <w:lang w:val="en-US"/>
              </w:rPr>
            </w:pPr>
            <w:r>
              <w:rPr>
                <w:sz w:val="15"/>
                <w:lang w:val="en-US"/>
              </w:rPr>
              <w:t>1</w:t>
            </w:r>
          </w:p>
        </w:tc>
        <w:tc>
          <w:tcPr>
            <w:tcW w:w="519" w:type="pct"/>
          </w:tcPr>
          <w:p w:rsidR="00000000" w:rsidRDefault="00000000">
            <w:pPr>
              <w:jc w:val="center"/>
              <w:rPr>
                <w:sz w:val="15"/>
                <w:lang w:val="en-US"/>
              </w:rPr>
            </w:pPr>
            <w:r>
              <w:rPr>
                <w:sz w:val="15"/>
                <w:lang w:val="en-US"/>
              </w:rPr>
              <w:t>14</w:t>
            </w:r>
          </w:p>
        </w:tc>
        <w:tc>
          <w:tcPr>
            <w:tcW w:w="400" w:type="pct"/>
          </w:tcPr>
          <w:p w:rsidR="00000000" w:rsidRDefault="00000000">
            <w:pPr>
              <w:jc w:val="center"/>
              <w:rPr>
                <w:sz w:val="15"/>
                <w:lang w:val="en-US"/>
              </w:rPr>
            </w:pPr>
            <w:r>
              <w:rPr>
                <w:sz w:val="15"/>
                <w:lang w:val="en-US"/>
              </w:rPr>
              <w:t>Mujer</w:t>
            </w:r>
          </w:p>
        </w:tc>
        <w:tc>
          <w:tcPr>
            <w:tcW w:w="557" w:type="pct"/>
          </w:tcPr>
          <w:p w:rsidR="00000000" w:rsidRDefault="00000000">
            <w:pPr>
              <w:jc w:val="center"/>
              <w:rPr>
                <w:sz w:val="15"/>
                <w:lang w:val="en-US"/>
              </w:rPr>
            </w:pPr>
            <w:r>
              <w:rPr>
                <w:sz w:val="15"/>
                <w:lang w:val="en-US"/>
              </w:rPr>
              <w:t>Liechtenstein</w:t>
            </w:r>
          </w:p>
        </w:tc>
        <w:tc>
          <w:tcPr>
            <w:tcW w:w="549" w:type="pct"/>
          </w:tcPr>
          <w:p w:rsidR="00000000" w:rsidRDefault="00000000">
            <w:pPr>
              <w:jc w:val="center"/>
              <w:rPr>
                <w:sz w:val="15"/>
                <w:lang w:val="en-US"/>
              </w:rPr>
            </w:pPr>
            <w:r>
              <w:rPr>
                <w:sz w:val="15"/>
                <w:lang w:val="en-US"/>
              </w:rPr>
              <w:t>Liechtenstein</w:t>
            </w:r>
          </w:p>
        </w:tc>
        <w:tc>
          <w:tcPr>
            <w:tcW w:w="657" w:type="pct"/>
          </w:tcPr>
          <w:p w:rsidR="00000000" w:rsidRDefault="00000000">
            <w:pPr>
              <w:rPr>
                <w:sz w:val="15"/>
              </w:rPr>
            </w:pPr>
            <w:r>
              <w:rPr>
                <w:sz w:val="15"/>
              </w:rPr>
              <w:t>Proceso sobreseído</w:t>
            </w:r>
          </w:p>
        </w:tc>
      </w:tr>
      <w:tr w:rsidR="00000000">
        <w:tc>
          <w:tcPr>
            <w:tcW w:w="286" w:type="pct"/>
          </w:tcPr>
          <w:p w:rsidR="00000000" w:rsidRDefault="00000000">
            <w:pPr>
              <w:jc w:val="center"/>
              <w:rPr>
                <w:sz w:val="15"/>
              </w:rPr>
            </w:pPr>
            <w:r>
              <w:rPr>
                <w:sz w:val="15"/>
              </w:rPr>
              <w:t>2005</w:t>
            </w:r>
          </w:p>
        </w:tc>
        <w:tc>
          <w:tcPr>
            <w:tcW w:w="1570" w:type="pct"/>
          </w:tcPr>
          <w:p w:rsidR="00000000" w:rsidRDefault="00000000">
            <w:pPr>
              <w:rPr>
                <w:sz w:val="15"/>
              </w:rPr>
            </w:pPr>
            <w:r>
              <w:rPr>
                <w:sz w:val="15"/>
              </w:rPr>
              <w:t>Abusos sexuales a menores (artículos 205 y 206 del Código Penal); corrupción de menores (artículo 207 del Código Penal); abusos sexuales a menores de 16 años (artículo 208 del Código Penal)</w:t>
            </w:r>
          </w:p>
        </w:tc>
        <w:tc>
          <w:tcPr>
            <w:tcW w:w="462" w:type="pct"/>
          </w:tcPr>
          <w:p w:rsidR="00000000" w:rsidRDefault="00000000">
            <w:pPr>
              <w:jc w:val="center"/>
              <w:rPr>
                <w:sz w:val="15"/>
              </w:rPr>
            </w:pPr>
            <w:r>
              <w:rPr>
                <w:sz w:val="15"/>
              </w:rPr>
              <w:t>&gt; 10</w:t>
            </w:r>
          </w:p>
        </w:tc>
        <w:tc>
          <w:tcPr>
            <w:tcW w:w="519" w:type="pct"/>
          </w:tcPr>
          <w:p w:rsidR="00000000" w:rsidRDefault="00000000">
            <w:pPr>
              <w:jc w:val="center"/>
              <w:rPr>
                <w:sz w:val="15"/>
              </w:rPr>
            </w:pPr>
            <w:r>
              <w:rPr>
                <w:sz w:val="15"/>
              </w:rPr>
              <w:t>13 a 15</w:t>
            </w:r>
          </w:p>
        </w:tc>
        <w:tc>
          <w:tcPr>
            <w:tcW w:w="400" w:type="pct"/>
          </w:tcPr>
          <w:p w:rsidR="00000000" w:rsidRDefault="00000000">
            <w:pPr>
              <w:jc w:val="center"/>
              <w:rPr>
                <w:sz w:val="15"/>
              </w:rPr>
            </w:pPr>
            <w:r>
              <w:rPr>
                <w:sz w:val="15"/>
              </w:rPr>
              <w:t>Mujer</w:t>
            </w:r>
          </w:p>
        </w:tc>
        <w:tc>
          <w:tcPr>
            <w:tcW w:w="557" w:type="pct"/>
          </w:tcPr>
          <w:p w:rsidR="00000000" w:rsidRDefault="00000000">
            <w:pPr>
              <w:jc w:val="center"/>
              <w:rPr>
                <w:sz w:val="15"/>
              </w:rPr>
            </w:pPr>
            <w:r>
              <w:rPr>
                <w:sz w:val="15"/>
              </w:rPr>
              <w:t>Extranjera</w:t>
            </w:r>
          </w:p>
        </w:tc>
        <w:tc>
          <w:tcPr>
            <w:tcW w:w="549" w:type="pct"/>
          </w:tcPr>
          <w:p w:rsidR="00000000" w:rsidRDefault="00000000">
            <w:pPr>
              <w:jc w:val="center"/>
              <w:rPr>
                <w:sz w:val="15"/>
              </w:rPr>
            </w:pPr>
            <w:r>
              <w:rPr>
                <w:sz w:val="15"/>
              </w:rPr>
              <w:t>Extranjero</w:t>
            </w:r>
          </w:p>
        </w:tc>
        <w:tc>
          <w:tcPr>
            <w:tcW w:w="657" w:type="pct"/>
          </w:tcPr>
          <w:p w:rsidR="00000000" w:rsidRDefault="00000000">
            <w:pPr>
              <w:rPr>
                <w:sz w:val="15"/>
              </w:rPr>
            </w:pPr>
            <w:r>
              <w:rPr>
                <w:sz w:val="15"/>
              </w:rPr>
              <w:t>Proceso en trámite</w:t>
            </w:r>
          </w:p>
        </w:tc>
      </w:tr>
      <w:tr w:rsidR="00000000">
        <w:tc>
          <w:tcPr>
            <w:tcW w:w="286" w:type="pct"/>
          </w:tcPr>
          <w:p w:rsidR="00000000" w:rsidRDefault="00000000">
            <w:pPr>
              <w:jc w:val="center"/>
              <w:rPr>
                <w:sz w:val="15"/>
              </w:rPr>
            </w:pPr>
            <w:r>
              <w:rPr>
                <w:sz w:val="15"/>
              </w:rPr>
              <w:t>2005</w:t>
            </w:r>
          </w:p>
        </w:tc>
        <w:tc>
          <w:tcPr>
            <w:tcW w:w="1570" w:type="pct"/>
          </w:tcPr>
          <w:p w:rsidR="00000000" w:rsidRDefault="00000000">
            <w:pPr>
              <w:rPr>
                <w:sz w:val="15"/>
              </w:rPr>
            </w:pPr>
            <w:r>
              <w:rPr>
                <w:sz w:val="15"/>
              </w:rPr>
              <w:t>Desfloración (artículo 204 del Código Penal); coacción (artículo 105 del Código Penal)</w:t>
            </w:r>
          </w:p>
        </w:tc>
        <w:tc>
          <w:tcPr>
            <w:tcW w:w="462" w:type="pct"/>
          </w:tcPr>
          <w:p w:rsidR="00000000" w:rsidRDefault="00000000">
            <w:pPr>
              <w:jc w:val="center"/>
              <w:rPr>
                <w:sz w:val="15"/>
              </w:rPr>
            </w:pPr>
            <w:r>
              <w:rPr>
                <w:sz w:val="15"/>
              </w:rPr>
              <w:t>1</w:t>
            </w:r>
          </w:p>
        </w:tc>
        <w:tc>
          <w:tcPr>
            <w:tcW w:w="519" w:type="pct"/>
          </w:tcPr>
          <w:p w:rsidR="00000000" w:rsidRDefault="00000000">
            <w:pPr>
              <w:jc w:val="center"/>
              <w:rPr>
                <w:sz w:val="15"/>
              </w:rPr>
            </w:pPr>
            <w:r>
              <w:rPr>
                <w:sz w:val="15"/>
              </w:rPr>
              <w:t>14</w:t>
            </w:r>
          </w:p>
        </w:tc>
        <w:tc>
          <w:tcPr>
            <w:tcW w:w="400" w:type="pct"/>
          </w:tcPr>
          <w:p w:rsidR="00000000" w:rsidRDefault="00000000">
            <w:pPr>
              <w:jc w:val="center"/>
              <w:rPr>
                <w:sz w:val="15"/>
              </w:rPr>
            </w:pPr>
            <w:r>
              <w:rPr>
                <w:sz w:val="15"/>
              </w:rPr>
              <w:t>Mujer</w:t>
            </w:r>
          </w:p>
        </w:tc>
        <w:tc>
          <w:tcPr>
            <w:tcW w:w="557" w:type="pct"/>
          </w:tcPr>
          <w:p w:rsidR="00000000" w:rsidRDefault="00000000">
            <w:pPr>
              <w:jc w:val="center"/>
              <w:rPr>
                <w:sz w:val="15"/>
              </w:rPr>
            </w:pPr>
            <w:r>
              <w:rPr>
                <w:sz w:val="15"/>
              </w:rPr>
              <w:t>Extranjera</w:t>
            </w:r>
          </w:p>
        </w:tc>
        <w:tc>
          <w:tcPr>
            <w:tcW w:w="549" w:type="pct"/>
          </w:tcPr>
          <w:p w:rsidR="00000000" w:rsidRDefault="00000000">
            <w:pPr>
              <w:jc w:val="center"/>
              <w:rPr>
                <w:sz w:val="15"/>
              </w:rPr>
            </w:pPr>
            <w:r>
              <w:rPr>
                <w:sz w:val="15"/>
              </w:rPr>
              <w:t>Liechtenstein</w:t>
            </w:r>
          </w:p>
        </w:tc>
        <w:tc>
          <w:tcPr>
            <w:tcW w:w="657" w:type="pct"/>
          </w:tcPr>
          <w:p w:rsidR="00000000" w:rsidRDefault="00000000">
            <w:pPr>
              <w:rPr>
                <w:sz w:val="15"/>
              </w:rPr>
            </w:pPr>
            <w:r>
              <w:rPr>
                <w:sz w:val="15"/>
              </w:rPr>
              <w:t>Dictado auto de procesamiento</w:t>
            </w:r>
          </w:p>
        </w:tc>
      </w:tr>
      <w:tr w:rsidR="00000000">
        <w:tc>
          <w:tcPr>
            <w:tcW w:w="286" w:type="pct"/>
          </w:tcPr>
          <w:p w:rsidR="00000000" w:rsidRDefault="00000000">
            <w:pPr>
              <w:jc w:val="center"/>
              <w:rPr>
                <w:sz w:val="15"/>
              </w:rPr>
            </w:pPr>
            <w:r>
              <w:rPr>
                <w:sz w:val="15"/>
              </w:rPr>
              <w:t>2005</w:t>
            </w:r>
          </w:p>
        </w:tc>
        <w:tc>
          <w:tcPr>
            <w:tcW w:w="1570" w:type="pct"/>
          </w:tcPr>
          <w:p w:rsidR="00000000" w:rsidRDefault="00000000">
            <w:pPr>
              <w:rPr>
                <w:sz w:val="15"/>
              </w:rPr>
            </w:pPr>
            <w:r>
              <w:rPr>
                <w:sz w:val="15"/>
              </w:rPr>
              <w:t>Estupro (artículo 200 del Código Penal; abusos sexuales con coacción (artículo 201 del Código Penal)</w:t>
            </w:r>
          </w:p>
        </w:tc>
        <w:tc>
          <w:tcPr>
            <w:tcW w:w="462" w:type="pct"/>
          </w:tcPr>
          <w:p w:rsidR="00000000" w:rsidRDefault="00000000">
            <w:pPr>
              <w:jc w:val="center"/>
              <w:rPr>
                <w:sz w:val="15"/>
              </w:rPr>
            </w:pPr>
            <w:r>
              <w:rPr>
                <w:sz w:val="15"/>
              </w:rPr>
              <w:t>1</w:t>
            </w:r>
          </w:p>
        </w:tc>
        <w:tc>
          <w:tcPr>
            <w:tcW w:w="519" w:type="pct"/>
          </w:tcPr>
          <w:p w:rsidR="00000000" w:rsidRDefault="00000000">
            <w:pPr>
              <w:jc w:val="center"/>
              <w:rPr>
                <w:sz w:val="15"/>
              </w:rPr>
            </w:pPr>
            <w:r>
              <w:rPr>
                <w:sz w:val="15"/>
              </w:rPr>
              <w:t>15</w:t>
            </w:r>
          </w:p>
        </w:tc>
        <w:tc>
          <w:tcPr>
            <w:tcW w:w="400" w:type="pct"/>
          </w:tcPr>
          <w:p w:rsidR="00000000" w:rsidRDefault="00000000">
            <w:pPr>
              <w:jc w:val="center"/>
              <w:rPr>
                <w:sz w:val="15"/>
              </w:rPr>
            </w:pPr>
            <w:r>
              <w:rPr>
                <w:sz w:val="15"/>
              </w:rPr>
              <w:t>Mujer</w:t>
            </w:r>
          </w:p>
        </w:tc>
        <w:tc>
          <w:tcPr>
            <w:tcW w:w="557" w:type="pct"/>
          </w:tcPr>
          <w:p w:rsidR="00000000" w:rsidRDefault="00000000">
            <w:pPr>
              <w:jc w:val="center"/>
              <w:rPr>
                <w:sz w:val="15"/>
              </w:rPr>
            </w:pPr>
            <w:r>
              <w:rPr>
                <w:sz w:val="15"/>
              </w:rPr>
              <w:t>Extranjera</w:t>
            </w:r>
          </w:p>
        </w:tc>
        <w:tc>
          <w:tcPr>
            <w:tcW w:w="549" w:type="pct"/>
          </w:tcPr>
          <w:p w:rsidR="00000000" w:rsidRDefault="00000000">
            <w:pPr>
              <w:jc w:val="center"/>
              <w:rPr>
                <w:sz w:val="15"/>
              </w:rPr>
            </w:pPr>
            <w:r>
              <w:rPr>
                <w:sz w:val="15"/>
              </w:rPr>
              <w:t>Extranjero</w:t>
            </w:r>
          </w:p>
        </w:tc>
        <w:tc>
          <w:tcPr>
            <w:tcW w:w="657" w:type="pct"/>
          </w:tcPr>
          <w:p w:rsidR="00000000" w:rsidRDefault="00000000">
            <w:pPr>
              <w:rPr>
                <w:sz w:val="15"/>
              </w:rPr>
            </w:pPr>
            <w:r>
              <w:rPr>
                <w:sz w:val="15"/>
              </w:rPr>
              <w:t>Proceso sobreseído</w:t>
            </w:r>
          </w:p>
        </w:tc>
      </w:tr>
      <w:tr w:rsidR="00000000">
        <w:tc>
          <w:tcPr>
            <w:tcW w:w="286" w:type="pct"/>
          </w:tcPr>
          <w:p w:rsidR="00000000" w:rsidRDefault="00000000">
            <w:pPr>
              <w:jc w:val="center"/>
              <w:rPr>
                <w:sz w:val="15"/>
              </w:rPr>
            </w:pPr>
            <w:r>
              <w:rPr>
                <w:sz w:val="15"/>
              </w:rPr>
              <w:t>2005</w:t>
            </w:r>
          </w:p>
        </w:tc>
        <w:tc>
          <w:tcPr>
            <w:tcW w:w="1570" w:type="pct"/>
          </w:tcPr>
          <w:p w:rsidR="00000000" w:rsidRDefault="00000000">
            <w:pPr>
              <w:rPr>
                <w:sz w:val="15"/>
              </w:rPr>
            </w:pPr>
            <w:r>
              <w:rPr>
                <w:sz w:val="15"/>
              </w:rPr>
              <w:t>Acoso sexual (artículo 203 del Código Penal); abusos sexuales a menores de edad (artículo 206 del Código Penal); corrupción de menores (artículo 207 del Código Penal)</w:t>
            </w:r>
          </w:p>
        </w:tc>
        <w:tc>
          <w:tcPr>
            <w:tcW w:w="462" w:type="pct"/>
          </w:tcPr>
          <w:p w:rsidR="00000000" w:rsidRDefault="00000000">
            <w:pPr>
              <w:jc w:val="center"/>
              <w:rPr>
                <w:sz w:val="15"/>
                <w:lang w:val="en-US"/>
              </w:rPr>
            </w:pPr>
            <w:r>
              <w:rPr>
                <w:sz w:val="15"/>
                <w:lang w:val="en-US"/>
              </w:rPr>
              <w:t>1</w:t>
            </w:r>
          </w:p>
        </w:tc>
        <w:tc>
          <w:tcPr>
            <w:tcW w:w="519" w:type="pct"/>
          </w:tcPr>
          <w:p w:rsidR="00000000" w:rsidRDefault="00000000">
            <w:pPr>
              <w:jc w:val="center"/>
              <w:rPr>
                <w:sz w:val="15"/>
                <w:lang w:val="en-US"/>
              </w:rPr>
            </w:pPr>
            <w:r>
              <w:rPr>
                <w:sz w:val="15"/>
                <w:lang w:val="en-US"/>
              </w:rPr>
              <w:t>10</w:t>
            </w:r>
          </w:p>
        </w:tc>
        <w:tc>
          <w:tcPr>
            <w:tcW w:w="400" w:type="pct"/>
          </w:tcPr>
          <w:p w:rsidR="00000000" w:rsidRDefault="00000000">
            <w:pPr>
              <w:jc w:val="center"/>
              <w:rPr>
                <w:sz w:val="15"/>
                <w:lang w:val="en-US"/>
              </w:rPr>
            </w:pPr>
            <w:r>
              <w:rPr>
                <w:sz w:val="15"/>
                <w:lang w:val="en-US"/>
              </w:rPr>
              <w:t>Mujer</w:t>
            </w:r>
          </w:p>
        </w:tc>
        <w:tc>
          <w:tcPr>
            <w:tcW w:w="557" w:type="pct"/>
          </w:tcPr>
          <w:p w:rsidR="00000000" w:rsidRDefault="00000000">
            <w:pPr>
              <w:jc w:val="center"/>
              <w:rPr>
                <w:sz w:val="15"/>
                <w:lang w:val="en-US"/>
              </w:rPr>
            </w:pPr>
            <w:r>
              <w:rPr>
                <w:sz w:val="15"/>
                <w:lang w:val="en-US"/>
              </w:rPr>
              <w:t>Liechtenstein</w:t>
            </w:r>
          </w:p>
        </w:tc>
        <w:tc>
          <w:tcPr>
            <w:tcW w:w="549" w:type="pct"/>
          </w:tcPr>
          <w:p w:rsidR="00000000" w:rsidRDefault="00000000">
            <w:pPr>
              <w:jc w:val="center"/>
              <w:rPr>
                <w:sz w:val="15"/>
                <w:lang w:val="en-US"/>
              </w:rPr>
            </w:pPr>
            <w:r>
              <w:rPr>
                <w:sz w:val="15"/>
                <w:lang w:val="en-US"/>
              </w:rPr>
              <w:t>Liechtenstein</w:t>
            </w:r>
          </w:p>
        </w:tc>
        <w:tc>
          <w:tcPr>
            <w:tcW w:w="657" w:type="pct"/>
          </w:tcPr>
          <w:p w:rsidR="00000000" w:rsidRDefault="00000000">
            <w:pPr>
              <w:rPr>
                <w:sz w:val="15"/>
              </w:rPr>
            </w:pPr>
            <w:r>
              <w:rPr>
                <w:sz w:val="15"/>
              </w:rPr>
              <w:t>Investigación en curso</w:t>
            </w:r>
          </w:p>
        </w:tc>
      </w:tr>
      <w:tr w:rsidR="00000000">
        <w:tc>
          <w:tcPr>
            <w:tcW w:w="286" w:type="pct"/>
          </w:tcPr>
          <w:p w:rsidR="00000000" w:rsidRDefault="00000000">
            <w:pPr>
              <w:jc w:val="center"/>
              <w:rPr>
                <w:sz w:val="15"/>
              </w:rPr>
            </w:pPr>
            <w:r>
              <w:rPr>
                <w:sz w:val="15"/>
                <w:szCs w:val="16"/>
              </w:rPr>
              <w:t>2005</w:t>
            </w:r>
          </w:p>
        </w:tc>
        <w:tc>
          <w:tcPr>
            <w:tcW w:w="1570" w:type="pct"/>
          </w:tcPr>
          <w:p w:rsidR="00000000" w:rsidRDefault="00000000">
            <w:pPr>
              <w:rPr>
                <w:sz w:val="15"/>
              </w:rPr>
            </w:pPr>
            <w:r>
              <w:rPr>
                <w:sz w:val="15"/>
                <w:szCs w:val="16"/>
              </w:rPr>
              <w:t>Acoso sexual (artículo 203 del Código Penal); corrupción de menores (artículo 207 del Código Penal)</w:t>
            </w:r>
          </w:p>
        </w:tc>
        <w:tc>
          <w:tcPr>
            <w:tcW w:w="462" w:type="pct"/>
          </w:tcPr>
          <w:p w:rsidR="00000000" w:rsidRDefault="00000000">
            <w:pPr>
              <w:jc w:val="center"/>
              <w:rPr>
                <w:sz w:val="15"/>
                <w:lang w:val="en-US"/>
              </w:rPr>
            </w:pPr>
            <w:r>
              <w:rPr>
                <w:sz w:val="15"/>
                <w:szCs w:val="16"/>
                <w:lang w:val="en-US"/>
              </w:rPr>
              <w:t>2</w:t>
            </w:r>
          </w:p>
        </w:tc>
        <w:tc>
          <w:tcPr>
            <w:tcW w:w="519" w:type="pct"/>
          </w:tcPr>
          <w:p w:rsidR="00000000" w:rsidRDefault="00000000">
            <w:pPr>
              <w:jc w:val="center"/>
              <w:rPr>
                <w:sz w:val="15"/>
                <w:lang w:val="en-US"/>
              </w:rPr>
            </w:pPr>
            <w:r>
              <w:rPr>
                <w:sz w:val="15"/>
                <w:szCs w:val="16"/>
                <w:lang w:val="en-US"/>
              </w:rPr>
              <w:t>14/17</w:t>
            </w:r>
          </w:p>
        </w:tc>
        <w:tc>
          <w:tcPr>
            <w:tcW w:w="400" w:type="pct"/>
          </w:tcPr>
          <w:p w:rsidR="00000000" w:rsidRDefault="00000000">
            <w:pPr>
              <w:jc w:val="center"/>
              <w:rPr>
                <w:sz w:val="15"/>
                <w:lang w:val="en-US"/>
              </w:rPr>
            </w:pPr>
            <w:r>
              <w:rPr>
                <w:sz w:val="15"/>
                <w:szCs w:val="16"/>
                <w:lang w:val="en-US"/>
              </w:rPr>
              <w:t>Mujer</w:t>
            </w:r>
          </w:p>
        </w:tc>
        <w:tc>
          <w:tcPr>
            <w:tcW w:w="557" w:type="pct"/>
          </w:tcPr>
          <w:p w:rsidR="00000000" w:rsidRDefault="00000000">
            <w:pPr>
              <w:jc w:val="center"/>
              <w:rPr>
                <w:sz w:val="15"/>
                <w:lang w:val="en-US"/>
              </w:rPr>
            </w:pPr>
            <w:r>
              <w:rPr>
                <w:sz w:val="15"/>
                <w:lang w:val="en-US"/>
              </w:rPr>
              <w:t>Liechtenstein</w:t>
            </w:r>
          </w:p>
        </w:tc>
        <w:tc>
          <w:tcPr>
            <w:tcW w:w="549" w:type="pct"/>
          </w:tcPr>
          <w:p w:rsidR="00000000" w:rsidRDefault="00000000">
            <w:pPr>
              <w:jc w:val="center"/>
              <w:rPr>
                <w:sz w:val="15"/>
                <w:lang w:val="en-US"/>
              </w:rPr>
            </w:pPr>
            <w:r>
              <w:rPr>
                <w:sz w:val="15"/>
                <w:lang w:val="en-US"/>
              </w:rPr>
              <w:t>Liechtenstein</w:t>
            </w:r>
          </w:p>
        </w:tc>
        <w:tc>
          <w:tcPr>
            <w:tcW w:w="657" w:type="pct"/>
          </w:tcPr>
          <w:p w:rsidR="00000000" w:rsidRDefault="00000000">
            <w:pPr>
              <w:rPr>
                <w:sz w:val="15"/>
              </w:rPr>
            </w:pPr>
            <w:r>
              <w:rPr>
                <w:sz w:val="15"/>
              </w:rPr>
              <w:t>Investigación en curso</w:t>
            </w:r>
          </w:p>
        </w:tc>
      </w:tr>
    </w:tbl>
    <w:p w:rsidR="00000000" w:rsidRDefault="00000000">
      <w:pPr>
        <w:spacing w:before="480" w:after="240"/>
        <w:ind w:left="567" w:hanging="567"/>
        <w:rPr>
          <w:b/>
          <w:bCs/>
        </w:rPr>
      </w:pPr>
      <w:r>
        <w:rPr>
          <w:b/>
          <w:bCs/>
        </w:rPr>
        <w:t>5c)</w:t>
      </w:r>
      <w:r>
        <w:rPr>
          <w:b/>
          <w:bCs/>
        </w:rPr>
        <w:tab/>
        <w:t>Número de denuncias de mutilaciones genitales femeninas o asesinatos por cuestiones de honor</w:t>
      </w:r>
    </w:p>
    <w:p w:rsidR="00000000" w:rsidRDefault="00000000">
      <w:pPr>
        <w:spacing w:after="240"/>
      </w:pPr>
      <w:r>
        <w:tab/>
        <w:t>Hasta la fecha no se han denunciado ante la Policía Nacional ningún caso de mutilación genital o asesinato por cuestiones de honor.</w:t>
      </w:r>
    </w:p>
    <w:p w:rsidR="00000000" w:rsidRDefault="00000000">
      <w:pPr>
        <w:spacing w:after="240"/>
        <w:ind w:left="567" w:hanging="567"/>
        <w:rPr>
          <w:b/>
          <w:bCs/>
        </w:rPr>
      </w:pPr>
      <w:r>
        <w:rPr>
          <w:b/>
          <w:bCs/>
        </w:rPr>
        <w:t>6.</w:t>
      </w:r>
      <w:r>
        <w:rPr>
          <w:b/>
          <w:bCs/>
        </w:rPr>
        <w:tab/>
        <w:t>Sírvanse proporcionar datos desglosados (por sexo, edad, grupos minoritarios y étnicos, zonas urbanas y rurales) correspondientes a los años 2004 y, en su caso, 2005, sobre:</w:t>
      </w:r>
    </w:p>
    <w:p w:rsidR="00000000" w:rsidRDefault="00000000">
      <w:pPr>
        <w:spacing w:after="240"/>
        <w:ind w:left="567" w:hanging="567"/>
        <w:rPr>
          <w:b/>
          <w:bCs/>
        </w:rPr>
      </w:pPr>
      <w:r>
        <w:rPr>
          <w:b/>
          <w:bCs/>
        </w:rPr>
        <w:t>6a)</w:t>
      </w:r>
      <w:r>
        <w:rPr>
          <w:b/>
          <w:bCs/>
        </w:rPr>
        <w:tab/>
        <w:t>Las tasas de matriculación y graduación en porcentajes del grupo correspondiente de la enseñanza preescolar, primaria y secundaria</w:t>
      </w:r>
    </w:p>
    <w:p w:rsidR="00000000" w:rsidRDefault="00000000">
      <w:pPr>
        <w:spacing w:after="240"/>
      </w:pPr>
      <w:r>
        <w:tab/>
        <w:t>Fundamentalmente las enseñanzas primarias y secundarias son universales y obligatorias en Liechtenstein.  La enseñanza preescolar, de dos años de duración, es voluntaria.  Sin embargo, el segundo año es obligatorio en caso de los niños, padres cuya lengua materna no sea la del país.  Pese a su carácter voluntario, casi el 100% de los padres inscriben a sus hijos en la enseñanza preescolar.  Todos los niños que cursan estudios de primaria y secundaria están obligados a cursar nueve años de educación obligatoria.</w:t>
      </w:r>
    </w:p>
    <w:p w:rsidR="00000000" w:rsidRDefault="00000000">
      <w:pPr>
        <w:spacing w:after="240"/>
        <w:rPr>
          <w:b/>
          <w:bCs/>
        </w:rPr>
      </w:pPr>
      <w:r>
        <w:rPr>
          <w:b/>
          <w:bCs/>
        </w:rPr>
        <w:t>6b)</w:t>
      </w:r>
      <w:r>
        <w:rPr>
          <w:b/>
          <w:bCs/>
        </w:rPr>
        <w:tab/>
        <w:t>El número y porcentaje de niños que abandonan los estudios y que repiten grado</w:t>
      </w:r>
    </w:p>
    <w:p w:rsidR="00000000" w:rsidRDefault="00000000">
      <w:pPr>
        <w:spacing w:after="240"/>
      </w:pPr>
      <w:r>
        <w:rPr>
          <w:b/>
          <w:bCs/>
        </w:rPr>
        <w:tab/>
      </w:r>
      <w:r>
        <w:t>No se conocen casos de abandono escolar.  Todos los niños cursan los nueve años de la enseñanza obligatoria.  Algunos repiten uno o, a veces, dos cursos durante su escolarización.  En la enseñanza secundaria, que se compone de tres ciclos, es posible quedar relegado al ciclo inmediatamente inferior, además de repetir curso.</w:t>
      </w:r>
    </w:p>
    <w:p w:rsidR="00000000" w:rsidRDefault="00000000">
      <w:pPr>
        <w:spacing w:after="240" w:line="216" w:lineRule="auto"/>
        <w:rPr>
          <w:b/>
          <w:bCs/>
        </w:rPr>
      </w:pPr>
      <w:r>
        <w:rPr>
          <w:b/>
          <w:bCs/>
        </w:rPr>
        <w:t>6c)</w:t>
      </w:r>
      <w:r>
        <w:rPr>
          <w:b/>
          <w:bCs/>
        </w:rPr>
        <w:tab/>
        <w:t>La proporción de niños por maestro</w:t>
      </w:r>
    </w:p>
    <w:p w:rsidR="00000000" w:rsidRDefault="00000000">
      <w:pPr>
        <w:spacing w:after="240" w:line="216" w:lineRule="auto"/>
      </w:pPr>
      <w:r>
        <w:tab/>
        <w:t>El tamaño de aula que se persigue es de 20 alumnos.  Existen muchas disposiciones distintas en el caso de materias especiales y áreas temáticas.  El tamaño medio de aula para las asignaturas normales en inferior a 20, incluso a veces mucho menor.  La relación de estudiantes por maestro es de 9,7.  Este cálculo abarca los modelos de clases pequeñas, la instrucción en asignaturas especiales, las escuelas de educación especial integrada, la educación terapéutico</w:t>
      </w:r>
      <w:r>
        <w:noBreakHyphen/>
        <w:t>pedagógica y las enseñanzas especiales para niños que tienen el alemán como segunda lengua.</w:t>
      </w:r>
    </w:p>
    <w:p w:rsidR="00000000" w:rsidRDefault="00000000">
      <w:pPr>
        <w:spacing w:after="240" w:line="216" w:lineRule="auto"/>
        <w:ind w:left="567" w:hanging="567"/>
        <w:rPr>
          <w:b/>
          <w:bCs/>
        </w:rPr>
      </w:pPr>
      <w:r>
        <w:rPr>
          <w:b/>
          <w:bCs/>
        </w:rPr>
        <w:t>7.</w:t>
      </w:r>
      <w:r>
        <w:rPr>
          <w:b/>
          <w:bCs/>
        </w:rPr>
        <w:tab/>
        <w:t>Sírvanse proporcionar  estadísticas desglosadas (por sexo, edad, grupos minoritarios y étnicos, zonas urbanas y rurales) sobre la mortalidad de lactantes y niños, embarazos precoces, enfermedades de transmisión sexual, suicidios entre los jóvenes y el consumo de drogas, alcohol y tabaco, correspondientes a los años 2004 y, en su caso, 2005.  Sírvanse proporcionar también el número de profesionales de la salud que trabajan en los servicios que se ocupan de los niños</w:t>
      </w:r>
    </w:p>
    <w:p w:rsidR="00000000" w:rsidRDefault="00000000">
      <w:pPr>
        <w:spacing w:after="240" w:line="216" w:lineRule="auto"/>
        <w:rPr>
          <w:b/>
          <w:bCs/>
        </w:rPr>
      </w:pPr>
      <w:r>
        <w:rPr>
          <w:b/>
          <w:bCs/>
        </w:rPr>
        <w:t>Mortalidad de lactantes y niños</w:t>
      </w:r>
    </w:p>
    <w:p w:rsidR="00000000" w:rsidRDefault="00000000">
      <w:pPr>
        <w:spacing w:after="240" w:line="216" w:lineRule="auto"/>
      </w:pPr>
      <w:r>
        <w:tab/>
        <w:t>En 2003 nacieron 347 niños.  Un niño murió al nacer.  Fallecieron tres personas menores de 18 años por causa de enfermedad; una en un accidente de tráfico y otra se suicidó.</w:t>
      </w:r>
    </w:p>
    <w:p w:rsidR="00000000" w:rsidRDefault="00000000">
      <w:pPr>
        <w:spacing w:after="240" w:line="216" w:lineRule="auto"/>
        <w:rPr>
          <w:b/>
          <w:bCs/>
        </w:rPr>
      </w:pPr>
      <w:r>
        <w:rPr>
          <w:b/>
          <w:bCs/>
        </w:rPr>
        <w:t>Consumo de drogas, alcohol y tabaco</w:t>
      </w:r>
    </w:p>
    <w:p w:rsidR="00000000" w:rsidRDefault="00000000">
      <w:pPr>
        <w:spacing w:after="240" w:line="216" w:lineRule="auto"/>
      </w:pPr>
      <w:r>
        <w:tab/>
        <w:t>Desde principios de septiembre a principios de noviembre de 2005 se llevó a cabo el estudio más reciente sobre el consumo de drogas, alcohol y tabaco en Liechtenstein, sobre la base de la encuesta modelo del ESPAD (el proyecto para la realización de estudios sobre el alcohol y otras drogas en los centros escolares europeos.  A continuación se presentan algunos de los resultados del estudio:</w:t>
      </w:r>
    </w:p>
    <w:p w:rsidR="00000000" w:rsidRDefault="00000000">
      <w:pPr>
        <w:spacing w:after="240" w:line="216" w:lineRule="auto"/>
        <w:rPr>
          <w:b/>
          <w:bCs/>
        </w:rPr>
      </w:pPr>
      <w:r>
        <w:rPr>
          <w:b/>
          <w:bCs/>
        </w:rPr>
        <w:t>Drogas ilícitas</w:t>
      </w:r>
    </w:p>
    <w:p w:rsidR="00000000" w:rsidRDefault="00000000">
      <w:pPr>
        <w:spacing w:after="240" w:line="216" w:lineRule="auto"/>
      </w:pPr>
      <w:r>
        <w:tab/>
        <w:t>En comparación con las drogas lícitas, el consumo de drogas ilícitas es un fenómeno secundario.  Alrededor de la mitad de los jóvenes de edades comprendidas entre los 17 y 19 años han consumido cannabis.  No obstante, el porcentaje de fumadores de cannabis habituales es considerablemente inferior.  Aproximadamente el 2% de los jóvenes entre los 16 y 19 años indicaron que habían probado la cocaína.  En el estudio no se mencionaban otras drogas.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589"/>
        <w:gridCol w:w="1589"/>
        <w:gridCol w:w="1589"/>
        <w:gridCol w:w="1589"/>
        <w:gridCol w:w="1589"/>
      </w:tblGrid>
      <w:tr w:rsidR="00000000">
        <w:trPr>
          <w:trHeight w:val="108"/>
        </w:trPr>
        <w:tc>
          <w:tcPr>
            <w:tcW w:w="4766" w:type="dxa"/>
            <w:gridSpan w:val="3"/>
            <w:tcBorders>
              <w:bottom w:val="single" w:sz="4" w:space="0" w:color="auto"/>
            </w:tcBorders>
            <w:noWrap/>
            <w:vAlign w:val="center"/>
          </w:tcPr>
          <w:p w:rsidR="00000000" w:rsidRDefault="00000000">
            <w:pPr>
              <w:spacing w:line="216" w:lineRule="auto"/>
              <w:jc w:val="center"/>
              <w:rPr>
                <w:bCs/>
                <w:szCs w:val="20"/>
                <w:lang w:eastAsia="fr-FR"/>
              </w:rPr>
            </w:pPr>
            <w:r>
              <w:rPr>
                <w:bCs/>
              </w:rPr>
              <w:t>Porcentaje de jóvenes que han consumido marihuana</w:t>
            </w:r>
          </w:p>
        </w:tc>
        <w:tc>
          <w:tcPr>
            <w:tcW w:w="4767" w:type="dxa"/>
            <w:gridSpan w:val="3"/>
            <w:tcBorders>
              <w:bottom w:val="single" w:sz="4" w:space="0" w:color="auto"/>
            </w:tcBorders>
            <w:noWrap/>
            <w:vAlign w:val="center"/>
          </w:tcPr>
          <w:p w:rsidR="00000000" w:rsidRDefault="00000000">
            <w:pPr>
              <w:spacing w:line="216" w:lineRule="auto"/>
              <w:jc w:val="center"/>
              <w:rPr>
                <w:bCs/>
                <w:szCs w:val="20"/>
                <w:lang w:eastAsia="fr-FR"/>
              </w:rPr>
            </w:pPr>
            <w:r>
              <w:rPr>
                <w:bCs/>
              </w:rPr>
              <w:t>Porcentaje de jóvenes que han consumido marihuana en los últimos 30 días</w:t>
            </w:r>
          </w:p>
        </w:tc>
      </w:tr>
      <w:tr w:rsidR="00000000">
        <w:trPr>
          <w:trHeight w:val="108"/>
        </w:trPr>
        <w:tc>
          <w:tcPr>
            <w:tcW w:w="1588" w:type="dxa"/>
            <w:tcBorders>
              <w:bottom w:val="single" w:sz="4" w:space="0" w:color="auto"/>
            </w:tcBorders>
            <w:noWrap/>
            <w:vAlign w:val="center"/>
          </w:tcPr>
          <w:p w:rsidR="00000000" w:rsidRDefault="00000000">
            <w:pPr>
              <w:spacing w:line="216" w:lineRule="auto"/>
              <w:jc w:val="center"/>
              <w:rPr>
                <w:bCs/>
                <w:szCs w:val="20"/>
                <w:lang w:eastAsia="fr-FR"/>
              </w:rPr>
            </w:pPr>
            <w:r>
              <w:rPr>
                <w:bCs/>
              </w:rPr>
              <w:t>Año de nacimiento</w:t>
            </w:r>
          </w:p>
        </w:tc>
        <w:tc>
          <w:tcPr>
            <w:tcW w:w="1589" w:type="dxa"/>
            <w:vAlign w:val="center"/>
          </w:tcPr>
          <w:p w:rsidR="00000000" w:rsidRDefault="00000000">
            <w:pPr>
              <w:spacing w:line="216" w:lineRule="auto"/>
              <w:jc w:val="center"/>
              <w:rPr>
                <w:bCs/>
                <w:szCs w:val="20"/>
                <w:lang w:eastAsia="fr-FR"/>
              </w:rPr>
            </w:pPr>
            <w:r>
              <w:rPr>
                <w:bCs/>
              </w:rPr>
              <w:t>Varón</w:t>
            </w:r>
          </w:p>
        </w:tc>
        <w:tc>
          <w:tcPr>
            <w:tcW w:w="1589" w:type="dxa"/>
            <w:noWrap/>
            <w:vAlign w:val="center"/>
          </w:tcPr>
          <w:p w:rsidR="00000000" w:rsidRDefault="00000000">
            <w:pPr>
              <w:spacing w:line="216" w:lineRule="auto"/>
              <w:jc w:val="center"/>
              <w:rPr>
                <w:bCs/>
                <w:szCs w:val="20"/>
                <w:lang w:eastAsia="fr-FR"/>
              </w:rPr>
            </w:pPr>
            <w:r>
              <w:rPr>
                <w:bCs/>
              </w:rPr>
              <w:t>Mujer</w:t>
            </w:r>
          </w:p>
        </w:tc>
        <w:tc>
          <w:tcPr>
            <w:tcW w:w="1589" w:type="dxa"/>
            <w:tcBorders>
              <w:bottom w:val="single" w:sz="4" w:space="0" w:color="auto"/>
            </w:tcBorders>
            <w:noWrap/>
            <w:vAlign w:val="center"/>
          </w:tcPr>
          <w:p w:rsidR="00000000" w:rsidRDefault="00000000">
            <w:pPr>
              <w:spacing w:line="216" w:lineRule="auto"/>
              <w:jc w:val="center"/>
              <w:rPr>
                <w:bCs/>
                <w:szCs w:val="20"/>
                <w:lang w:eastAsia="fr-FR"/>
              </w:rPr>
            </w:pPr>
            <w:r>
              <w:rPr>
                <w:bCs/>
              </w:rPr>
              <w:t>Año de nacimiento</w:t>
            </w:r>
          </w:p>
        </w:tc>
        <w:tc>
          <w:tcPr>
            <w:tcW w:w="1589" w:type="dxa"/>
            <w:noWrap/>
            <w:vAlign w:val="center"/>
          </w:tcPr>
          <w:p w:rsidR="00000000" w:rsidRDefault="00000000">
            <w:pPr>
              <w:spacing w:line="216" w:lineRule="auto"/>
              <w:jc w:val="center"/>
              <w:rPr>
                <w:bCs/>
                <w:szCs w:val="20"/>
                <w:lang w:eastAsia="fr-FR"/>
              </w:rPr>
            </w:pPr>
            <w:r>
              <w:rPr>
                <w:bCs/>
              </w:rPr>
              <w:t>Varón</w:t>
            </w:r>
          </w:p>
        </w:tc>
        <w:tc>
          <w:tcPr>
            <w:tcW w:w="1589" w:type="dxa"/>
            <w:noWrap/>
            <w:vAlign w:val="center"/>
          </w:tcPr>
          <w:p w:rsidR="00000000" w:rsidRDefault="00000000">
            <w:pPr>
              <w:spacing w:line="216" w:lineRule="auto"/>
              <w:jc w:val="center"/>
              <w:rPr>
                <w:bCs/>
                <w:szCs w:val="20"/>
                <w:lang w:eastAsia="fr-FR"/>
              </w:rPr>
            </w:pPr>
            <w:r>
              <w:rPr>
                <w:bCs/>
              </w:rPr>
              <w:t>Mujer</w:t>
            </w:r>
          </w:p>
        </w:tc>
      </w:tr>
      <w:tr w:rsidR="00000000">
        <w:trPr>
          <w:trHeight w:val="108"/>
        </w:trPr>
        <w:tc>
          <w:tcPr>
            <w:tcW w:w="1588" w:type="dxa"/>
            <w:noWrap/>
          </w:tcPr>
          <w:p w:rsidR="00000000" w:rsidRDefault="00000000">
            <w:pPr>
              <w:spacing w:line="216" w:lineRule="auto"/>
              <w:jc w:val="center"/>
              <w:rPr>
                <w:bCs/>
                <w:szCs w:val="20"/>
                <w:lang w:eastAsia="fr-FR"/>
              </w:rPr>
            </w:pPr>
            <w:r>
              <w:rPr>
                <w:bCs/>
              </w:rPr>
              <w:t>1986</w:t>
            </w:r>
          </w:p>
        </w:tc>
        <w:tc>
          <w:tcPr>
            <w:tcW w:w="1589" w:type="dxa"/>
            <w:vAlign w:val="center"/>
          </w:tcPr>
          <w:p w:rsidR="00000000" w:rsidRDefault="00000000">
            <w:pPr>
              <w:tabs>
                <w:tab w:val="decimal" w:pos="810"/>
              </w:tabs>
              <w:spacing w:line="216" w:lineRule="auto"/>
              <w:ind w:right="115"/>
              <w:rPr>
                <w:szCs w:val="20"/>
                <w:lang w:eastAsia="fr-FR"/>
              </w:rPr>
            </w:pPr>
            <w:r>
              <w:t>53</w:t>
            </w:r>
          </w:p>
        </w:tc>
        <w:tc>
          <w:tcPr>
            <w:tcW w:w="1589" w:type="dxa"/>
            <w:noWrap/>
            <w:vAlign w:val="center"/>
          </w:tcPr>
          <w:p w:rsidR="00000000" w:rsidRDefault="00000000">
            <w:pPr>
              <w:tabs>
                <w:tab w:val="decimal" w:pos="831"/>
              </w:tabs>
              <w:spacing w:line="216" w:lineRule="auto"/>
              <w:ind w:right="115"/>
              <w:rPr>
                <w:szCs w:val="20"/>
                <w:lang w:eastAsia="fr-FR"/>
              </w:rPr>
            </w:pPr>
            <w:r>
              <w:t>50</w:t>
            </w:r>
          </w:p>
        </w:tc>
        <w:tc>
          <w:tcPr>
            <w:tcW w:w="1589" w:type="dxa"/>
            <w:noWrap/>
          </w:tcPr>
          <w:p w:rsidR="00000000" w:rsidRDefault="00000000">
            <w:pPr>
              <w:spacing w:line="216" w:lineRule="auto"/>
              <w:jc w:val="center"/>
              <w:rPr>
                <w:bCs/>
                <w:szCs w:val="20"/>
                <w:lang w:eastAsia="fr-FR"/>
              </w:rPr>
            </w:pPr>
            <w:r>
              <w:rPr>
                <w:bCs/>
              </w:rPr>
              <w:t>1986</w:t>
            </w:r>
          </w:p>
        </w:tc>
        <w:tc>
          <w:tcPr>
            <w:tcW w:w="1589" w:type="dxa"/>
            <w:noWrap/>
            <w:vAlign w:val="center"/>
          </w:tcPr>
          <w:p w:rsidR="00000000" w:rsidRDefault="00000000">
            <w:pPr>
              <w:tabs>
                <w:tab w:val="decimal" w:pos="830"/>
              </w:tabs>
              <w:spacing w:line="216" w:lineRule="auto"/>
              <w:ind w:right="115"/>
              <w:rPr>
                <w:szCs w:val="20"/>
                <w:lang w:eastAsia="fr-FR"/>
              </w:rPr>
            </w:pPr>
            <w:r>
              <w:t>13</w:t>
            </w:r>
          </w:p>
        </w:tc>
        <w:tc>
          <w:tcPr>
            <w:tcW w:w="1589" w:type="dxa"/>
            <w:noWrap/>
            <w:vAlign w:val="center"/>
          </w:tcPr>
          <w:p w:rsidR="00000000" w:rsidRDefault="00000000">
            <w:pPr>
              <w:tabs>
                <w:tab w:val="decimal" w:pos="739"/>
              </w:tabs>
              <w:spacing w:line="216" w:lineRule="auto"/>
              <w:ind w:right="115"/>
              <w:rPr>
                <w:szCs w:val="20"/>
                <w:lang w:eastAsia="fr-FR"/>
              </w:rPr>
            </w:pPr>
            <w:r>
              <w:t>0</w:t>
            </w:r>
          </w:p>
        </w:tc>
      </w:tr>
      <w:tr w:rsidR="00000000">
        <w:trPr>
          <w:trHeight w:val="108"/>
        </w:trPr>
        <w:tc>
          <w:tcPr>
            <w:tcW w:w="1588" w:type="dxa"/>
            <w:noWrap/>
          </w:tcPr>
          <w:p w:rsidR="00000000" w:rsidRDefault="00000000">
            <w:pPr>
              <w:spacing w:line="216" w:lineRule="auto"/>
              <w:jc w:val="center"/>
              <w:rPr>
                <w:bCs/>
                <w:szCs w:val="20"/>
                <w:lang w:eastAsia="fr-FR"/>
              </w:rPr>
            </w:pPr>
            <w:r>
              <w:rPr>
                <w:bCs/>
              </w:rPr>
              <w:t>1987</w:t>
            </w:r>
          </w:p>
        </w:tc>
        <w:tc>
          <w:tcPr>
            <w:tcW w:w="1589" w:type="dxa"/>
            <w:vAlign w:val="center"/>
          </w:tcPr>
          <w:p w:rsidR="00000000" w:rsidRDefault="00000000">
            <w:pPr>
              <w:tabs>
                <w:tab w:val="decimal" w:pos="810"/>
              </w:tabs>
              <w:spacing w:line="216" w:lineRule="auto"/>
              <w:ind w:right="115"/>
              <w:rPr>
                <w:szCs w:val="20"/>
                <w:lang w:eastAsia="fr-FR"/>
              </w:rPr>
            </w:pPr>
            <w:r>
              <w:t>50</w:t>
            </w:r>
          </w:p>
        </w:tc>
        <w:tc>
          <w:tcPr>
            <w:tcW w:w="1589" w:type="dxa"/>
            <w:noWrap/>
            <w:vAlign w:val="center"/>
          </w:tcPr>
          <w:p w:rsidR="00000000" w:rsidRDefault="00000000">
            <w:pPr>
              <w:tabs>
                <w:tab w:val="decimal" w:pos="831"/>
              </w:tabs>
              <w:spacing w:line="216" w:lineRule="auto"/>
              <w:ind w:right="115"/>
              <w:rPr>
                <w:szCs w:val="20"/>
                <w:lang w:eastAsia="fr-FR"/>
              </w:rPr>
            </w:pPr>
            <w:r>
              <w:t>27</w:t>
            </w:r>
          </w:p>
        </w:tc>
        <w:tc>
          <w:tcPr>
            <w:tcW w:w="1589" w:type="dxa"/>
            <w:noWrap/>
          </w:tcPr>
          <w:p w:rsidR="00000000" w:rsidRDefault="00000000">
            <w:pPr>
              <w:spacing w:line="216" w:lineRule="auto"/>
              <w:jc w:val="center"/>
              <w:rPr>
                <w:bCs/>
                <w:szCs w:val="20"/>
                <w:lang w:eastAsia="fr-FR"/>
              </w:rPr>
            </w:pPr>
            <w:r>
              <w:rPr>
                <w:bCs/>
              </w:rPr>
              <w:t>1987</w:t>
            </w:r>
          </w:p>
        </w:tc>
        <w:tc>
          <w:tcPr>
            <w:tcW w:w="1589" w:type="dxa"/>
            <w:noWrap/>
            <w:vAlign w:val="center"/>
          </w:tcPr>
          <w:p w:rsidR="00000000" w:rsidRDefault="00000000">
            <w:pPr>
              <w:tabs>
                <w:tab w:val="decimal" w:pos="830"/>
              </w:tabs>
              <w:spacing w:line="216" w:lineRule="auto"/>
              <w:ind w:right="115"/>
              <w:rPr>
                <w:szCs w:val="20"/>
                <w:lang w:eastAsia="fr-FR"/>
              </w:rPr>
            </w:pPr>
            <w:r>
              <w:t>22</w:t>
            </w:r>
          </w:p>
        </w:tc>
        <w:tc>
          <w:tcPr>
            <w:tcW w:w="1589" w:type="dxa"/>
            <w:noWrap/>
            <w:vAlign w:val="center"/>
          </w:tcPr>
          <w:p w:rsidR="00000000" w:rsidRDefault="00000000">
            <w:pPr>
              <w:tabs>
                <w:tab w:val="decimal" w:pos="739"/>
              </w:tabs>
              <w:spacing w:line="216" w:lineRule="auto"/>
              <w:ind w:right="115"/>
              <w:rPr>
                <w:szCs w:val="20"/>
                <w:lang w:eastAsia="fr-FR"/>
              </w:rPr>
            </w:pPr>
            <w:r>
              <w:t>0</w:t>
            </w:r>
          </w:p>
        </w:tc>
      </w:tr>
      <w:tr w:rsidR="00000000">
        <w:trPr>
          <w:trHeight w:val="108"/>
        </w:trPr>
        <w:tc>
          <w:tcPr>
            <w:tcW w:w="1588" w:type="dxa"/>
            <w:noWrap/>
          </w:tcPr>
          <w:p w:rsidR="00000000" w:rsidRDefault="00000000">
            <w:pPr>
              <w:spacing w:line="216" w:lineRule="auto"/>
              <w:jc w:val="center"/>
              <w:rPr>
                <w:bCs/>
                <w:szCs w:val="20"/>
                <w:lang w:eastAsia="fr-FR"/>
              </w:rPr>
            </w:pPr>
            <w:r>
              <w:rPr>
                <w:bCs/>
              </w:rPr>
              <w:t>1988</w:t>
            </w:r>
          </w:p>
        </w:tc>
        <w:tc>
          <w:tcPr>
            <w:tcW w:w="1589" w:type="dxa"/>
            <w:vAlign w:val="center"/>
          </w:tcPr>
          <w:p w:rsidR="00000000" w:rsidRDefault="00000000">
            <w:pPr>
              <w:tabs>
                <w:tab w:val="decimal" w:pos="810"/>
              </w:tabs>
              <w:spacing w:line="216" w:lineRule="auto"/>
              <w:ind w:right="115"/>
              <w:rPr>
                <w:szCs w:val="20"/>
                <w:lang w:eastAsia="fr-FR"/>
              </w:rPr>
            </w:pPr>
            <w:r>
              <w:t>60</w:t>
            </w:r>
          </w:p>
        </w:tc>
        <w:tc>
          <w:tcPr>
            <w:tcW w:w="1589" w:type="dxa"/>
            <w:noWrap/>
            <w:vAlign w:val="center"/>
          </w:tcPr>
          <w:p w:rsidR="00000000" w:rsidRDefault="00000000">
            <w:pPr>
              <w:tabs>
                <w:tab w:val="decimal" w:pos="831"/>
              </w:tabs>
              <w:spacing w:line="216" w:lineRule="auto"/>
              <w:ind w:right="115"/>
              <w:rPr>
                <w:szCs w:val="20"/>
                <w:lang w:eastAsia="fr-FR"/>
              </w:rPr>
            </w:pPr>
            <w:r>
              <w:t>28</w:t>
            </w:r>
          </w:p>
        </w:tc>
        <w:tc>
          <w:tcPr>
            <w:tcW w:w="1589" w:type="dxa"/>
            <w:noWrap/>
          </w:tcPr>
          <w:p w:rsidR="00000000" w:rsidRDefault="00000000">
            <w:pPr>
              <w:spacing w:line="216" w:lineRule="auto"/>
              <w:jc w:val="center"/>
              <w:rPr>
                <w:bCs/>
                <w:szCs w:val="20"/>
                <w:lang w:eastAsia="fr-FR"/>
              </w:rPr>
            </w:pPr>
            <w:r>
              <w:rPr>
                <w:bCs/>
              </w:rPr>
              <w:t>1988</w:t>
            </w:r>
          </w:p>
        </w:tc>
        <w:tc>
          <w:tcPr>
            <w:tcW w:w="1589" w:type="dxa"/>
            <w:noWrap/>
            <w:vAlign w:val="center"/>
          </w:tcPr>
          <w:p w:rsidR="00000000" w:rsidRDefault="00000000">
            <w:pPr>
              <w:tabs>
                <w:tab w:val="decimal" w:pos="830"/>
              </w:tabs>
              <w:spacing w:line="216" w:lineRule="auto"/>
              <w:ind w:right="115"/>
              <w:rPr>
                <w:szCs w:val="20"/>
                <w:lang w:eastAsia="fr-FR"/>
              </w:rPr>
            </w:pPr>
            <w:r>
              <w:t>48</w:t>
            </w:r>
          </w:p>
        </w:tc>
        <w:tc>
          <w:tcPr>
            <w:tcW w:w="1589" w:type="dxa"/>
            <w:noWrap/>
            <w:vAlign w:val="center"/>
          </w:tcPr>
          <w:p w:rsidR="00000000" w:rsidRDefault="00000000">
            <w:pPr>
              <w:tabs>
                <w:tab w:val="decimal" w:pos="739"/>
              </w:tabs>
              <w:spacing w:line="216" w:lineRule="auto"/>
              <w:ind w:right="115"/>
              <w:rPr>
                <w:szCs w:val="20"/>
                <w:lang w:eastAsia="fr-FR"/>
              </w:rPr>
            </w:pPr>
            <w:r>
              <w:t>7</w:t>
            </w:r>
          </w:p>
        </w:tc>
      </w:tr>
      <w:tr w:rsidR="00000000">
        <w:trPr>
          <w:trHeight w:val="108"/>
        </w:trPr>
        <w:tc>
          <w:tcPr>
            <w:tcW w:w="1588" w:type="dxa"/>
            <w:noWrap/>
          </w:tcPr>
          <w:p w:rsidR="00000000" w:rsidRDefault="00000000">
            <w:pPr>
              <w:spacing w:line="216" w:lineRule="auto"/>
              <w:jc w:val="center"/>
              <w:rPr>
                <w:bCs/>
                <w:szCs w:val="20"/>
                <w:lang w:eastAsia="fr-FR"/>
              </w:rPr>
            </w:pPr>
            <w:r>
              <w:rPr>
                <w:bCs/>
              </w:rPr>
              <w:t>1989</w:t>
            </w:r>
          </w:p>
        </w:tc>
        <w:tc>
          <w:tcPr>
            <w:tcW w:w="1589" w:type="dxa"/>
            <w:vAlign w:val="center"/>
          </w:tcPr>
          <w:p w:rsidR="00000000" w:rsidRDefault="00000000">
            <w:pPr>
              <w:tabs>
                <w:tab w:val="decimal" w:pos="810"/>
              </w:tabs>
              <w:spacing w:line="216" w:lineRule="auto"/>
              <w:ind w:right="115"/>
              <w:rPr>
                <w:szCs w:val="20"/>
                <w:lang w:eastAsia="fr-FR"/>
              </w:rPr>
            </w:pPr>
            <w:r>
              <w:t>34</w:t>
            </w:r>
          </w:p>
        </w:tc>
        <w:tc>
          <w:tcPr>
            <w:tcW w:w="1589" w:type="dxa"/>
            <w:noWrap/>
            <w:vAlign w:val="center"/>
          </w:tcPr>
          <w:p w:rsidR="00000000" w:rsidRDefault="00000000">
            <w:pPr>
              <w:tabs>
                <w:tab w:val="decimal" w:pos="831"/>
              </w:tabs>
              <w:spacing w:line="216" w:lineRule="auto"/>
              <w:ind w:right="115"/>
              <w:rPr>
                <w:szCs w:val="20"/>
                <w:lang w:eastAsia="fr-FR"/>
              </w:rPr>
            </w:pPr>
            <w:r>
              <w:t>35</w:t>
            </w:r>
          </w:p>
        </w:tc>
        <w:tc>
          <w:tcPr>
            <w:tcW w:w="1589" w:type="dxa"/>
            <w:noWrap/>
          </w:tcPr>
          <w:p w:rsidR="00000000" w:rsidRDefault="00000000">
            <w:pPr>
              <w:spacing w:line="216" w:lineRule="auto"/>
              <w:jc w:val="center"/>
              <w:rPr>
                <w:bCs/>
                <w:szCs w:val="20"/>
                <w:lang w:eastAsia="fr-FR"/>
              </w:rPr>
            </w:pPr>
            <w:r>
              <w:rPr>
                <w:bCs/>
              </w:rPr>
              <w:t>1989</w:t>
            </w:r>
          </w:p>
        </w:tc>
        <w:tc>
          <w:tcPr>
            <w:tcW w:w="1589" w:type="dxa"/>
            <w:noWrap/>
            <w:vAlign w:val="center"/>
          </w:tcPr>
          <w:p w:rsidR="00000000" w:rsidRDefault="00000000">
            <w:pPr>
              <w:tabs>
                <w:tab w:val="decimal" w:pos="830"/>
              </w:tabs>
              <w:spacing w:line="216" w:lineRule="auto"/>
              <w:ind w:right="115"/>
              <w:rPr>
                <w:szCs w:val="20"/>
                <w:lang w:eastAsia="fr-FR"/>
              </w:rPr>
            </w:pPr>
            <w:r>
              <w:t>16</w:t>
            </w:r>
          </w:p>
        </w:tc>
        <w:tc>
          <w:tcPr>
            <w:tcW w:w="1589" w:type="dxa"/>
            <w:noWrap/>
            <w:vAlign w:val="center"/>
          </w:tcPr>
          <w:p w:rsidR="00000000" w:rsidRDefault="00000000">
            <w:pPr>
              <w:tabs>
                <w:tab w:val="decimal" w:pos="739"/>
              </w:tabs>
              <w:spacing w:line="216" w:lineRule="auto"/>
              <w:ind w:right="115"/>
              <w:rPr>
                <w:szCs w:val="20"/>
                <w:lang w:eastAsia="fr-FR"/>
              </w:rPr>
            </w:pPr>
            <w:r>
              <w:t>14</w:t>
            </w:r>
          </w:p>
        </w:tc>
      </w:tr>
      <w:tr w:rsidR="00000000">
        <w:trPr>
          <w:trHeight w:val="108"/>
        </w:trPr>
        <w:tc>
          <w:tcPr>
            <w:tcW w:w="1588" w:type="dxa"/>
            <w:noWrap/>
          </w:tcPr>
          <w:p w:rsidR="00000000" w:rsidRDefault="00000000">
            <w:pPr>
              <w:spacing w:line="216" w:lineRule="auto"/>
              <w:jc w:val="center"/>
              <w:rPr>
                <w:bCs/>
                <w:szCs w:val="20"/>
                <w:lang w:eastAsia="fr-FR"/>
              </w:rPr>
            </w:pPr>
            <w:r>
              <w:rPr>
                <w:bCs/>
              </w:rPr>
              <w:t>1990</w:t>
            </w:r>
          </w:p>
        </w:tc>
        <w:tc>
          <w:tcPr>
            <w:tcW w:w="1589" w:type="dxa"/>
            <w:vAlign w:val="center"/>
          </w:tcPr>
          <w:p w:rsidR="00000000" w:rsidRDefault="00000000">
            <w:pPr>
              <w:tabs>
                <w:tab w:val="decimal" w:pos="810"/>
              </w:tabs>
              <w:spacing w:line="216" w:lineRule="auto"/>
              <w:ind w:right="115"/>
              <w:rPr>
                <w:szCs w:val="20"/>
                <w:lang w:eastAsia="fr-FR"/>
              </w:rPr>
            </w:pPr>
            <w:r>
              <w:t>22</w:t>
            </w:r>
          </w:p>
        </w:tc>
        <w:tc>
          <w:tcPr>
            <w:tcW w:w="1589" w:type="dxa"/>
            <w:noWrap/>
            <w:vAlign w:val="center"/>
          </w:tcPr>
          <w:p w:rsidR="00000000" w:rsidRDefault="00000000">
            <w:pPr>
              <w:tabs>
                <w:tab w:val="decimal" w:pos="831"/>
              </w:tabs>
              <w:spacing w:line="216" w:lineRule="auto"/>
              <w:ind w:right="115"/>
              <w:rPr>
                <w:szCs w:val="20"/>
                <w:lang w:eastAsia="fr-FR"/>
              </w:rPr>
            </w:pPr>
            <w:r>
              <w:t>22</w:t>
            </w:r>
          </w:p>
        </w:tc>
        <w:tc>
          <w:tcPr>
            <w:tcW w:w="1589" w:type="dxa"/>
            <w:noWrap/>
          </w:tcPr>
          <w:p w:rsidR="00000000" w:rsidRDefault="00000000">
            <w:pPr>
              <w:spacing w:line="216" w:lineRule="auto"/>
              <w:jc w:val="center"/>
              <w:rPr>
                <w:bCs/>
                <w:szCs w:val="20"/>
                <w:lang w:eastAsia="fr-FR"/>
              </w:rPr>
            </w:pPr>
            <w:r>
              <w:rPr>
                <w:bCs/>
              </w:rPr>
              <w:t>1990</w:t>
            </w:r>
          </w:p>
        </w:tc>
        <w:tc>
          <w:tcPr>
            <w:tcW w:w="1589" w:type="dxa"/>
            <w:noWrap/>
            <w:vAlign w:val="center"/>
          </w:tcPr>
          <w:p w:rsidR="00000000" w:rsidRDefault="00000000">
            <w:pPr>
              <w:tabs>
                <w:tab w:val="decimal" w:pos="830"/>
              </w:tabs>
              <w:spacing w:line="216" w:lineRule="auto"/>
              <w:ind w:right="115"/>
              <w:rPr>
                <w:szCs w:val="20"/>
                <w:lang w:eastAsia="fr-FR"/>
              </w:rPr>
            </w:pPr>
            <w:r>
              <w:t>8</w:t>
            </w:r>
          </w:p>
        </w:tc>
        <w:tc>
          <w:tcPr>
            <w:tcW w:w="1589" w:type="dxa"/>
            <w:noWrap/>
            <w:vAlign w:val="center"/>
          </w:tcPr>
          <w:p w:rsidR="00000000" w:rsidRDefault="00000000">
            <w:pPr>
              <w:tabs>
                <w:tab w:val="decimal" w:pos="739"/>
              </w:tabs>
              <w:spacing w:line="216" w:lineRule="auto"/>
              <w:ind w:right="115"/>
              <w:rPr>
                <w:szCs w:val="20"/>
                <w:lang w:eastAsia="fr-FR"/>
              </w:rPr>
            </w:pPr>
            <w:r>
              <w:t>10</w:t>
            </w:r>
          </w:p>
        </w:tc>
      </w:tr>
      <w:tr w:rsidR="00000000">
        <w:trPr>
          <w:trHeight w:val="108"/>
        </w:trPr>
        <w:tc>
          <w:tcPr>
            <w:tcW w:w="1588" w:type="dxa"/>
            <w:noWrap/>
          </w:tcPr>
          <w:p w:rsidR="00000000" w:rsidRDefault="00000000">
            <w:pPr>
              <w:spacing w:line="216" w:lineRule="auto"/>
              <w:jc w:val="center"/>
              <w:rPr>
                <w:bCs/>
                <w:szCs w:val="20"/>
                <w:lang w:eastAsia="fr-FR"/>
              </w:rPr>
            </w:pPr>
            <w:r>
              <w:rPr>
                <w:bCs/>
              </w:rPr>
              <w:t>1991</w:t>
            </w:r>
          </w:p>
        </w:tc>
        <w:tc>
          <w:tcPr>
            <w:tcW w:w="1589" w:type="dxa"/>
            <w:vAlign w:val="center"/>
          </w:tcPr>
          <w:p w:rsidR="00000000" w:rsidRDefault="00000000">
            <w:pPr>
              <w:tabs>
                <w:tab w:val="decimal" w:pos="810"/>
              </w:tabs>
              <w:spacing w:line="216" w:lineRule="auto"/>
              <w:ind w:right="115"/>
              <w:rPr>
                <w:szCs w:val="20"/>
                <w:lang w:eastAsia="fr-FR"/>
              </w:rPr>
            </w:pPr>
            <w:r>
              <w:t>7</w:t>
            </w:r>
          </w:p>
        </w:tc>
        <w:tc>
          <w:tcPr>
            <w:tcW w:w="1589" w:type="dxa"/>
            <w:noWrap/>
            <w:vAlign w:val="center"/>
          </w:tcPr>
          <w:p w:rsidR="00000000" w:rsidRDefault="00000000">
            <w:pPr>
              <w:tabs>
                <w:tab w:val="decimal" w:pos="831"/>
              </w:tabs>
              <w:spacing w:line="216" w:lineRule="auto"/>
              <w:ind w:right="115"/>
              <w:rPr>
                <w:szCs w:val="20"/>
                <w:lang w:eastAsia="fr-FR"/>
              </w:rPr>
            </w:pPr>
            <w:r>
              <w:t>8</w:t>
            </w:r>
          </w:p>
        </w:tc>
        <w:tc>
          <w:tcPr>
            <w:tcW w:w="1589" w:type="dxa"/>
            <w:noWrap/>
          </w:tcPr>
          <w:p w:rsidR="00000000" w:rsidRDefault="00000000">
            <w:pPr>
              <w:spacing w:line="216" w:lineRule="auto"/>
              <w:jc w:val="center"/>
              <w:rPr>
                <w:bCs/>
                <w:szCs w:val="20"/>
                <w:lang w:eastAsia="fr-FR"/>
              </w:rPr>
            </w:pPr>
            <w:r>
              <w:rPr>
                <w:bCs/>
              </w:rPr>
              <w:t>1991</w:t>
            </w:r>
          </w:p>
        </w:tc>
        <w:tc>
          <w:tcPr>
            <w:tcW w:w="1589" w:type="dxa"/>
            <w:noWrap/>
            <w:vAlign w:val="center"/>
          </w:tcPr>
          <w:p w:rsidR="00000000" w:rsidRDefault="00000000">
            <w:pPr>
              <w:tabs>
                <w:tab w:val="decimal" w:pos="830"/>
              </w:tabs>
              <w:spacing w:line="216" w:lineRule="auto"/>
              <w:ind w:right="115"/>
              <w:rPr>
                <w:szCs w:val="20"/>
                <w:lang w:eastAsia="fr-FR"/>
              </w:rPr>
            </w:pPr>
            <w:r>
              <w:t>4</w:t>
            </w:r>
          </w:p>
        </w:tc>
        <w:tc>
          <w:tcPr>
            <w:tcW w:w="1589" w:type="dxa"/>
            <w:noWrap/>
            <w:vAlign w:val="center"/>
          </w:tcPr>
          <w:p w:rsidR="00000000" w:rsidRDefault="00000000">
            <w:pPr>
              <w:tabs>
                <w:tab w:val="decimal" w:pos="739"/>
              </w:tabs>
              <w:spacing w:line="216" w:lineRule="auto"/>
              <w:ind w:right="115"/>
              <w:rPr>
                <w:szCs w:val="20"/>
                <w:lang w:eastAsia="fr-FR"/>
              </w:rPr>
            </w:pPr>
            <w:r>
              <w:t>4</w:t>
            </w:r>
          </w:p>
        </w:tc>
      </w:tr>
      <w:tr w:rsidR="00000000">
        <w:trPr>
          <w:trHeight w:val="108"/>
        </w:trPr>
        <w:tc>
          <w:tcPr>
            <w:tcW w:w="1588" w:type="dxa"/>
            <w:noWrap/>
          </w:tcPr>
          <w:p w:rsidR="00000000" w:rsidRDefault="00000000">
            <w:pPr>
              <w:spacing w:line="216" w:lineRule="auto"/>
              <w:jc w:val="center"/>
              <w:rPr>
                <w:bCs/>
                <w:szCs w:val="20"/>
                <w:lang w:eastAsia="fr-FR"/>
              </w:rPr>
            </w:pPr>
            <w:r>
              <w:rPr>
                <w:bCs/>
              </w:rPr>
              <w:t>1992</w:t>
            </w:r>
          </w:p>
        </w:tc>
        <w:tc>
          <w:tcPr>
            <w:tcW w:w="1589" w:type="dxa"/>
            <w:vAlign w:val="center"/>
          </w:tcPr>
          <w:p w:rsidR="00000000" w:rsidRDefault="00000000">
            <w:pPr>
              <w:tabs>
                <w:tab w:val="decimal" w:pos="810"/>
              </w:tabs>
              <w:spacing w:line="216" w:lineRule="auto"/>
              <w:ind w:right="115"/>
              <w:rPr>
                <w:szCs w:val="20"/>
                <w:lang w:eastAsia="fr-FR"/>
              </w:rPr>
            </w:pPr>
            <w:r>
              <w:t>3</w:t>
            </w:r>
          </w:p>
        </w:tc>
        <w:tc>
          <w:tcPr>
            <w:tcW w:w="1589" w:type="dxa"/>
            <w:noWrap/>
            <w:vAlign w:val="center"/>
          </w:tcPr>
          <w:p w:rsidR="00000000" w:rsidRDefault="00000000">
            <w:pPr>
              <w:tabs>
                <w:tab w:val="decimal" w:pos="831"/>
              </w:tabs>
              <w:spacing w:line="216" w:lineRule="auto"/>
              <w:ind w:right="115"/>
              <w:rPr>
                <w:szCs w:val="20"/>
                <w:lang w:eastAsia="fr-FR"/>
              </w:rPr>
            </w:pPr>
            <w:r>
              <w:t>4</w:t>
            </w:r>
          </w:p>
        </w:tc>
        <w:tc>
          <w:tcPr>
            <w:tcW w:w="1589" w:type="dxa"/>
            <w:noWrap/>
          </w:tcPr>
          <w:p w:rsidR="00000000" w:rsidRDefault="00000000">
            <w:pPr>
              <w:spacing w:line="216" w:lineRule="auto"/>
              <w:jc w:val="center"/>
              <w:rPr>
                <w:bCs/>
                <w:szCs w:val="20"/>
                <w:lang w:eastAsia="fr-FR"/>
              </w:rPr>
            </w:pPr>
            <w:r>
              <w:rPr>
                <w:bCs/>
              </w:rPr>
              <w:t>1992</w:t>
            </w:r>
          </w:p>
        </w:tc>
        <w:tc>
          <w:tcPr>
            <w:tcW w:w="1589" w:type="dxa"/>
            <w:noWrap/>
            <w:vAlign w:val="center"/>
          </w:tcPr>
          <w:p w:rsidR="00000000" w:rsidRDefault="00000000">
            <w:pPr>
              <w:tabs>
                <w:tab w:val="decimal" w:pos="830"/>
              </w:tabs>
              <w:spacing w:line="216" w:lineRule="auto"/>
              <w:ind w:right="115"/>
              <w:rPr>
                <w:szCs w:val="20"/>
                <w:lang w:eastAsia="fr-FR"/>
              </w:rPr>
            </w:pPr>
            <w:r>
              <w:t>1</w:t>
            </w:r>
          </w:p>
        </w:tc>
        <w:tc>
          <w:tcPr>
            <w:tcW w:w="1589" w:type="dxa"/>
            <w:noWrap/>
            <w:vAlign w:val="center"/>
          </w:tcPr>
          <w:p w:rsidR="00000000" w:rsidRDefault="00000000">
            <w:pPr>
              <w:tabs>
                <w:tab w:val="decimal" w:pos="739"/>
              </w:tabs>
              <w:spacing w:line="216" w:lineRule="auto"/>
              <w:ind w:right="115"/>
              <w:rPr>
                <w:szCs w:val="20"/>
                <w:lang w:eastAsia="fr-FR"/>
              </w:rPr>
            </w:pPr>
            <w:r>
              <w:t>2</w:t>
            </w:r>
          </w:p>
        </w:tc>
      </w:tr>
      <w:tr w:rsidR="00000000">
        <w:trPr>
          <w:trHeight w:val="108"/>
        </w:trPr>
        <w:tc>
          <w:tcPr>
            <w:tcW w:w="1588" w:type="dxa"/>
            <w:noWrap/>
          </w:tcPr>
          <w:p w:rsidR="00000000" w:rsidRDefault="00000000">
            <w:pPr>
              <w:spacing w:line="216" w:lineRule="auto"/>
              <w:jc w:val="center"/>
              <w:rPr>
                <w:bCs/>
                <w:szCs w:val="20"/>
                <w:lang w:eastAsia="fr-FR"/>
              </w:rPr>
            </w:pPr>
            <w:r>
              <w:rPr>
                <w:bCs/>
              </w:rPr>
              <w:t>1993</w:t>
            </w:r>
          </w:p>
        </w:tc>
        <w:tc>
          <w:tcPr>
            <w:tcW w:w="1589" w:type="dxa"/>
            <w:vAlign w:val="center"/>
          </w:tcPr>
          <w:p w:rsidR="00000000" w:rsidRDefault="00000000">
            <w:pPr>
              <w:tabs>
                <w:tab w:val="decimal" w:pos="810"/>
              </w:tabs>
              <w:spacing w:line="216" w:lineRule="auto"/>
              <w:ind w:right="115"/>
              <w:rPr>
                <w:szCs w:val="20"/>
                <w:lang w:eastAsia="fr-FR"/>
              </w:rPr>
            </w:pPr>
            <w:r>
              <w:t>2</w:t>
            </w:r>
          </w:p>
        </w:tc>
        <w:tc>
          <w:tcPr>
            <w:tcW w:w="1589" w:type="dxa"/>
            <w:noWrap/>
            <w:vAlign w:val="center"/>
          </w:tcPr>
          <w:p w:rsidR="00000000" w:rsidRDefault="00000000">
            <w:pPr>
              <w:tabs>
                <w:tab w:val="decimal" w:pos="831"/>
              </w:tabs>
              <w:spacing w:line="216" w:lineRule="auto"/>
              <w:ind w:right="115"/>
              <w:rPr>
                <w:szCs w:val="20"/>
                <w:lang w:eastAsia="fr-FR"/>
              </w:rPr>
            </w:pPr>
            <w:r>
              <w:t>0</w:t>
            </w:r>
          </w:p>
        </w:tc>
        <w:tc>
          <w:tcPr>
            <w:tcW w:w="1589" w:type="dxa"/>
            <w:noWrap/>
          </w:tcPr>
          <w:p w:rsidR="00000000" w:rsidRDefault="00000000">
            <w:pPr>
              <w:spacing w:line="216" w:lineRule="auto"/>
              <w:jc w:val="center"/>
              <w:rPr>
                <w:bCs/>
                <w:szCs w:val="20"/>
                <w:lang w:eastAsia="fr-FR"/>
              </w:rPr>
            </w:pPr>
            <w:r>
              <w:rPr>
                <w:bCs/>
              </w:rPr>
              <w:t>1993</w:t>
            </w:r>
          </w:p>
        </w:tc>
        <w:tc>
          <w:tcPr>
            <w:tcW w:w="1589" w:type="dxa"/>
            <w:noWrap/>
            <w:vAlign w:val="center"/>
          </w:tcPr>
          <w:p w:rsidR="00000000" w:rsidRDefault="00000000">
            <w:pPr>
              <w:tabs>
                <w:tab w:val="decimal" w:pos="830"/>
              </w:tabs>
              <w:spacing w:line="216" w:lineRule="auto"/>
              <w:ind w:right="115"/>
              <w:rPr>
                <w:szCs w:val="20"/>
                <w:lang w:eastAsia="fr-FR"/>
              </w:rPr>
            </w:pPr>
            <w:r>
              <w:t>2</w:t>
            </w:r>
          </w:p>
        </w:tc>
        <w:tc>
          <w:tcPr>
            <w:tcW w:w="1589" w:type="dxa"/>
            <w:noWrap/>
            <w:vAlign w:val="center"/>
          </w:tcPr>
          <w:p w:rsidR="00000000" w:rsidRDefault="00000000">
            <w:pPr>
              <w:tabs>
                <w:tab w:val="decimal" w:pos="739"/>
              </w:tabs>
              <w:spacing w:line="216" w:lineRule="auto"/>
              <w:ind w:right="115"/>
              <w:rPr>
                <w:szCs w:val="20"/>
                <w:lang w:eastAsia="fr-FR"/>
              </w:rPr>
            </w:pPr>
            <w:r>
              <w:t>0</w:t>
            </w:r>
          </w:p>
        </w:tc>
      </w:tr>
      <w:tr w:rsidR="00000000">
        <w:trPr>
          <w:trHeight w:val="108"/>
        </w:trPr>
        <w:tc>
          <w:tcPr>
            <w:tcW w:w="1588" w:type="dxa"/>
            <w:noWrap/>
          </w:tcPr>
          <w:p w:rsidR="00000000" w:rsidRDefault="00000000">
            <w:pPr>
              <w:spacing w:line="216" w:lineRule="auto"/>
              <w:jc w:val="center"/>
              <w:rPr>
                <w:bCs/>
                <w:szCs w:val="20"/>
                <w:lang w:eastAsia="fr-FR"/>
              </w:rPr>
            </w:pPr>
            <w:r>
              <w:rPr>
                <w:bCs/>
              </w:rPr>
              <w:t>1994</w:t>
            </w:r>
          </w:p>
        </w:tc>
        <w:tc>
          <w:tcPr>
            <w:tcW w:w="1589" w:type="dxa"/>
            <w:vAlign w:val="center"/>
          </w:tcPr>
          <w:p w:rsidR="00000000" w:rsidRDefault="00000000">
            <w:pPr>
              <w:tabs>
                <w:tab w:val="decimal" w:pos="810"/>
              </w:tabs>
              <w:spacing w:line="216" w:lineRule="auto"/>
              <w:ind w:right="115"/>
              <w:rPr>
                <w:szCs w:val="20"/>
                <w:lang w:eastAsia="fr-FR"/>
              </w:rPr>
            </w:pPr>
            <w:r>
              <w:t>0</w:t>
            </w:r>
          </w:p>
        </w:tc>
        <w:tc>
          <w:tcPr>
            <w:tcW w:w="1589" w:type="dxa"/>
            <w:noWrap/>
            <w:vAlign w:val="center"/>
          </w:tcPr>
          <w:p w:rsidR="00000000" w:rsidRDefault="00000000">
            <w:pPr>
              <w:tabs>
                <w:tab w:val="decimal" w:pos="831"/>
              </w:tabs>
              <w:spacing w:line="216" w:lineRule="auto"/>
              <w:ind w:right="115"/>
              <w:rPr>
                <w:szCs w:val="20"/>
                <w:lang w:eastAsia="fr-FR"/>
              </w:rPr>
            </w:pPr>
            <w:r>
              <w:t>3</w:t>
            </w:r>
          </w:p>
        </w:tc>
        <w:tc>
          <w:tcPr>
            <w:tcW w:w="1589" w:type="dxa"/>
            <w:noWrap/>
          </w:tcPr>
          <w:p w:rsidR="00000000" w:rsidRDefault="00000000">
            <w:pPr>
              <w:spacing w:line="216" w:lineRule="auto"/>
              <w:jc w:val="center"/>
              <w:rPr>
                <w:bCs/>
                <w:szCs w:val="20"/>
                <w:lang w:eastAsia="fr-FR"/>
              </w:rPr>
            </w:pPr>
            <w:r>
              <w:rPr>
                <w:bCs/>
              </w:rPr>
              <w:t>1994</w:t>
            </w:r>
          </w:p>
        </w:tc>
        <w:tc>
          <w:tcPr>
            <w:tcW w:w="1589" w:type="dxa"/>
            <w:noWrap/>
            <w:vAlign w:val="center"/>
          </w:tcPr>
          <w:p w:rsidR="00000000" w:rsidRDefault="00000000">
            <w:pPr>
              <w:tabs>
                <w:tab w:val="decimal" w:pos="830"/>
              </w:tabs>
              <w:spacing w:line="216" w:lineRule="auto"/>
              <w:ind w:right="115"/>
              <w:rPr>
                <w:szCs w:val="20"/>
                <w:lang w:eastAsia="fr-FR"/>
              </w:rPr>
            </w:pPr>
            <w:r>
              <w:t>0</w:t>
            </w:r>
          </w:p>
        </w:tc>
        <w:tc>
          <w:tcPr>
            <w:tcW w:w="1589" w:type="dxa"/>
            <w:noWrap/>
            <w:vAlign w:val="center"/>
          </w:tcPr>
          <w:p w:rsidR="00000000" w:rsidRDefault="00000000">
            <w:pPr>
              <w:tabs>
                <w:tab w:val="decimal" w:pos="739"/>
              </w:tabs>
              <w:spacing w:line="216" w:lineRule="auto"/>
              <w:ind w:right="115"/>
              <w:rPr>
                <w:szCs w:val="20"/>
                <w:lang w:eastAsia="fr-FR"/>
              </w:rPr>
            </w:pPr>
            <w:r>
              <w:t>3</w:t>
            </w:r>
          </w:p>
        </w:tc>
      </w:tr>
    </w:tbl>
    <w:p w:rsidR="00000000" w:rsidRDefault="00000000">
      <w:pPr>
        <w:spacing w:before="240" w:after="230"/>
        <w:rPr>
          <w:b/>
          <w:bCs/>
        </w:rPr>
      </w:pPr>
      <w:r>
        <w:rPr>
          <w:b/>
          <w:bCs/>
        </w:rPr>
        <w:t>Alcohol</w:t>
      </w:r>
    </w:p>
    <w:p w:rsidR="00000000" w:rsidRDefault="00000000">
      <w:pPr>
        <w:spacing w:after="230"/>
      </w:pPr>
      <w:r>
        <w:tab/>
        <w:t>El umbral mínimo en el caso del consumo habitual de alcohol es de aproximadamente 15 años de edad.  Únicamente un pequeño número de niños menores de esa edad consumen de manera habitual alcohol.  Los jóvenes principalmente beben cerveza.  Las bebidas refrescantes premezcladas, con un bajo contenido de alcohol son un fenómeno relativamente menor.  Las borracheras en grupo es un fenómeno muy extendido entre los jóvenes, especialmente los muchachos.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2208"/>
        <w:gridCol w:w="2291"/>
      </w:tblGrid>
      <w:tr w:rsidR="00000000">
        <w:tblPrEx>
          <w:tblCellMar>
            <w:top w:w="0" w:type="dxa"/>
            <w:bottom w:w="0" w:type="dxa"/>
          </w:tblCellMar>
        </w:tblPrEx>
        <w:trPr>
          <w:jc w:val="center"/>
        </w:trPr>
        <w:tc>
          <w:tcPr>
            <w:tcW w:w="7079" w:type="dxa"/>
            <w:gridSpan w:val="3"/>
          </w:tcPr>
          <w:p w:rsidR="00000000" w:rsidRDefault="00000000">
            <w:pPr>
              <w:jc w:val="center"/>
            </w:pPr>
            <w:r>
              <w:t>Porcentaje de jóvenes que han consumido alcohol en los últimos 30 días</w:t>
            </w:r>
          </w:p>
        </w:tc>
      </w:tr>
      <w:tr w:rsidR="00000000">
        <w:tblPrEx>
          <w:tblCellMar>
            <w:top w:w="0" w:type="dxa"/>
            <w:bottom w:w="0" w:type="dxa"/>
          </w:tblCellMar>
        </w:tblPrEx>
        <w:trPr>
          <w:jc w:val="center"/>
        </w:trPr>
        <w:tc>
          <w:tcPr>
            <w:tcW w:w="2580" w:type="dxa"/>
          </w:tcPr>
          <w:p w:rsidR="00000000" w:rsidRDefault="00000000">
            <w:pPr>
              <w:jc w:val="center"/>
            </w:pPr>
            <w:r>
              <w:t>Año de nacimiento</w:t>
            </w:r>
          </w:p>
        </w:tc>
        <w:tc>
          <w:tcPr>
            <w:tcW w:w="2208" w:type="dxa"/>
          </w:tcPr>
          <w:p w:rsidR="00000000" w:rsidRDefault="00000000">
            <w:pPr>
              <w:jc w:val="center"/>
            </w:pPr>
            <w:r>
              <w:t>Varón</w:t>
            </w:r>
          </w:p>
        </w:tc>
        <w:tc>
          <w:tcPr>
            <w:tcW w:w="2291" w:type="dxa"/>
          </w:tcPr>
          <w:p w:rsidR="00000000" w:rsidRDefault="00000000">
            <w:pPr>
              <w:jc w:val="center"/>
            </w:pPr>
            <w:r>
              <w:t>Mujer</w:t>
            </w:r>
          </w:p>
        </w:tc>
      </w:tr>
      <w:tr w:rsidR="00000000">
        <w:tblPrEx>
          <w:tblCellMar>
            <w:top w:w="0" w:type="dxa"/>
            <w:bottom w:w="0" w:type="dxa"/>
          </w:tblCellMar>
        </w:tblPrEx>
        <w:trPr>
          <w:jc w:val="center"/>
        </w:trPr>
        <w:tc>
          <w:tcPr>
            <w:tcW w:w="2580" w:type="dxa"/>
            <w:vAlign w:val="center"/>
          </w:tcPr>
          <w:p w:rsidR="00000000" w:rsidRDefault="00000000">
            <w:pPr>
              <w:jc w:val="center"/>
              <w:rPr>
                <w:bCs/>
                <w:lang w:val="es-ES_tradnl"/>
              </w:rPr>
            </w:pPr>
            <w:r>
              <w:rPr>
                <w:bCs/>
                <w:lang w:val="es-ES_tradnl"/>
              </w:rPr>
              <w:t>1986</w:t>
            </w:r>
          </w:p>
        </w:tc>
        <w:tc>
          <w:tcPr>
            <w:tcW w:w="2208" w:type="dxa"/>
            <w:vAlign w:val="center"/>
          </w:tcPr>
          <w:p w:rsidR="00000000" w:rsidRDefault="00000000">
            <w:pPr>
              <w:tabs>
                <w:tab w:val="decimal" w:pos="1372"/>
              </w:tabs>
              <w:ind w:right="984"/>
              <w:rPr>
                <w:bCs/>
                <w:lang w:val="es-ES_tradnl"/>
              </w:rPr>
            </w:pPr>
            <w:r>
              <w:rPr>
                <w:bCs/>
                <w:lang w:val="es-ES_tradnl"/>
              </w:rPr>
              <w:t>81</w:t>
            </w:r>
          </w:p>
        </w:tc>
        <w:tc>
          <w:tcPr>
            <w:tcW w:w="2291" w:type="dxa"/>
            <w:vAlign w:val="center"/>
          </w:tcPr>
          <w:p w:rsidR="00000000" w:rsidRDefault="00000000">
            <w:pPr>
              <w:tabs>
                <w:tab w:val="decimal" w:pos="1689"/>
              </w:tabs>
              <w:ind w:right="980"/>
              <w:jc w:val="right"/>
              <w:rPr>
                <w:bCs/>
                <w:lang w:val="es-ES_tradnl"/>
              </w:rPr>
            </w:pPr>
            <w:r>
              <w:rPr>
                <w:bCs/>
                <w:lang w:val="es-ES_tradnl"/>
              </w:rPr>
              <w:t>100</w:t>
            </w:r>
          </w:p>
        </w:tc>
      </w:tr>
      <w:tr w:rsidR="00000000">
        <w:tblPrEx>
          <w:tblCellMar>
            <w:top w:w="0" w:type="dxa"/>
            <w:bottom w:w="0" w:type="dxa"/>
          </w:tblCellMar>
        </w:tblPrEx>
        <w:trPr>
          <w:jc w:val="center"/>
        </w:trPr>
        <w:tc>
          <w:tcPr>
            <w:tcW w:w="2580" w:type="dxa"/>
            <w:vAlign w:val="center"/>
          </w:tcPr>
          <w:p w:rsidR="00000000" w:rsidRDefault="00000000">
            <w:pPr>
              <w:jc w:val="center"/>
              <w:rPr>
                <w:bCs/>
                <w:lang w:val="es-ES_tradnl"/>
              </w:rPr>
            </w:pPr>
            <w:r>
              <w:rPr>
                <w:bCs/>
                <w:lang w:val="es-ES_tradnl"/>
              </w:rPr>
              <w:t>1987</w:t>
            </w:r>
          </w:p>
        </w:tc>
        <w:tc>
          <w:tcPr>
            <w:tcW w:w="2208" w:type="dxa"/>
            <w:vAlign w:val="center"/>
          </w:tcPr>
          <w:p w:rsidR="00000000" w:rsidRDefault="00000000">
            <w:pPr>
              <w:tabs>
                <w:tab w:val="decimal" w:pos="1372"/>
              </w:tabs>
              <w:ind w:right="984"/>
              <w:rPr>
                <w:bCs/>
                <w:lang w:val="es-ES_tradnl"/>
              </w:rPr>
            </w:pPr>
            <w:r>
              <w:rPr>
                <w:bCs/>
                <w:lang w:val="es-ES_tradnl"/>
              </w:rPr>
              <w:t>91</w:t>
            </w:r>
          </w:p>
        </w:tc>
        <w:tc>
          <w:tcPr>
            <w:tcW w:w="2291" w:type="dxa"/>
            <w:vAlign w:val="center"/>
          </w:tcPr>
          <w:p w:rsidR="00000000" w:rsidRDefault="00000000">
            <w:pPr>
              <w:tabs>
                <w:tab w:val="decimal" w:pos="1689"/>
              </w:tabs>
              <w:ind w:right="980"/>
              <w:jc w:val="right"/>
              <w:rPr>
                <w:bCs/>
                <w:lang w:val="es-ES_tradnl"/>
              </w:rPr>
            </w:pPr>
            <w:r>
              <w:rPr>
                <w:bCs/>
                <w:lang w:val="es-ES_tradnl"/>
              </w:rPr>
              <w:t>92</w:t>
            </w:r>
          </w:p>
        </w:tc>
      </w:tr>
      <w:tr w:rsidR="00000000">
        <w:tblPrEx>
          <w:tblCellMar>
            <w:top w:w="0" w:type="dxa"/>
            <w:bottom w:w="0" w:type="dxa"/>
          </w:tblCellMar>
        </w:tblPrEx>
        <w:trPr>
          <w:jc w:val="center"/>
        </w:trPr>
        <w:tc>
          <w:tcPr>
            <w:tcW w:w="2580" w:type="dxa"/>
            <w:vAlign w:val="center"/>
          </w:tcPr>
          <w:p w:rsidR="00000000" w:rsidRDefault="00000000">
            <w:pPr>
              <w:jc w:val="center"/>
              <w:rPr>
                <w:bCs/>
                <w:lang w:val="es-ES_tradnl"/>
              </w:rPr>
            </w:pPr>
            <w:r>
              <w:rPr>
                <w:bCs/>
                <w:lang w:val="es-ES_tradnl"/>
              </w:rPr>
              <w:t>1988</w:t>
            </w:r>
          </w:p>
        </w:tc>
        <w:tc>
          <w:tcPr>
            <w:tcW w:w="2208" w:type="dxa"/>
            <w:vAlign w:val="center"/>
          </w:tcPr>
          <w:p w:rsidR="00000000" w:rsidRDefault="00000000">
            <w:pPr>
              <w:tabs>
                <w:tab w:val="decimal" w:pos="1372"/>
              </w:tabs>
              <w:ind w:right="984"/>
              <w:rPr>
                <w:bCs/>
                <w:lang w:val="es-ES_tradnl"/>
              </w:rPr>
            </w:pPr>
            <w:r>
              <w:rPr>
                <w:bCs/>
                <w:lang w:val="es-ES_tradnl"/>
              </w:rPr>
              <w:t>91</w:t>
            </w:r>
          </w:p>
        </w:tc>
        <w:tc>
          <w:tcPr>
            <w:tcW w:w="2291" w:type="dxa"/>
            <w:vAlign w:val="center"/>
          </w:tcPr>
          <w:p w:rsidR="00000000" w:rsidRDefault="00000000">
            <w:pPr>
              <w:tabs>
                <w:tab w:val="decimal" w:pos="1689"/>
              </w:tabs>
              <w:ind w:right="980"/>
              <w:jc w:val="right"/>
              <w:rPr>
                <w:bCs/>
                <w:lang w:val="es-ES_tradnl"/>
              </w:rPr>
            </w:pPr>
            <w:r>
              <w:rPr>
                <w:bCs/>
                <w:lang w:val="es-ES_tradnl"/>
              </w:rPr>
              <w:t>93</w:t>
            </w:r>
          </w:p>
        </w:tc>
      </w:tr>
      <w:tr w:rsidR="00000000">
        <w:tblPrEx>
          <w:tblCellMar>
            <w:top w:w="0" w:type="dxa"/>
            <w:bottom w:w="0" w:type="dxa"/>
          </w:tblCellMar>
        </w:tblPrEx>
        <w:trPr>
          <w:jc w:val="center"/>
        </w:trPr>
        <w:tc>
          <w:tcPr>
            <w:tcW w:w="2580" w:type="dxa"/>
            <w:vAlign w:val="center"/>
          </w:tcPr>
          <w:p w:rsidR="00000000" w:rsidRDefault="00000000">
            <w:pPr>
              <w:jc w:val="center"/>
              <w:rPr>
                <w:bCs/>
                <w:lang w:val="es-ES_tradnl"/>
              </w:rPr>
            </w:pPr>
            <w:r>
              <w:rPr>
                <w:bCs/>
                <w:lang w:val="es-ES_tradnl"/>
              </w:rPr>
              <w:t>1989</w:t>
            </w:r>
          </w:p>
        </w:tc>
        <w:tc>
          <w:tcPr>
            <w:tcW w:w="2208" w:type="dxa"/>
            <w:vAlign w:val="center"/>
          </w:tcPr>
          <w:p w:rsidR="00000000" w:rsidRDefault="00000000">
            <w:pPr>
              <w:tabs>
                <w:tab w:val="decimal" w:pos="1372"/>
              </w:tabs>
              <w:ind w:right="984"/>
              <w:rPr>
                <w:bCs/>
                <w:lang w:val="es-ES_tradnl"/>
              </w:rPr>
            </w:pPr>
            <w:r>
              <w:rPr>
                <w:bCs/>
                <w:lang w:val="es-ES_tradnl"/>
              </w:rPr>
              <w:t>68</w:t>
            </w:r>
          </w:p>
        </w:tc>
        <w:tc>
          <w:tcPr>
            <w:tcW w:w="2291" w:type="dxa"/>
            <w:vAlign w:val="center"/>
          </w:tcPr>
          <w:p w:rsidR="00000000" w:rsidRDefault="00000000">
            <w:pPr>
              <w:tabs>
                <w:tab w:val="decimal" w:pos="1689"/>
              </w:tabs>
              <w:ind w:right="980"/>
              <w:jc w:val="right"/>
              <w:rPr>
                <w:bCs/>
                <w:lang w:val="es-ES_tradnl"/>
              </w:rPr>
            </w:pPr>
            <w:r>
              <w:rPr>
                <w:bCs/>
                <w:lang w:val="es-ES_tradnl"/>
              </w:rPr>
              <w:t>73</w:t>
            </w:r>
          </w:p>
        </w:tc>
      </w:tr>
      <w:tr w:rsidR="00000000">
        <w:tblPrEx>
          <w:tblCellMar>
            <w:top w:w="0" w:type="dxa"/>
            <w:bottom w:w="0" w:type="dxa"/>
          </w:tblCellMar>
        </w:tblPrEx>
        <w:trPr>
          <w:jc w:val="center"/>
        </w:trPr>
        <w:tc>
          <w:tcPr>
            <w:tcW w:w="2580" w:type="dxa"/>
            <w:vAlign w:val="center"/>
          </w:tcPr>
          <w:p w:rsidR="00000000" w:rsidRDefault="00000000">
            <w:pPr>
              <w:jc w:val="center"/>
              <w:rPr>
                <w:bCs/>
                <w:lang w:val="es-ES_tradnl"/>
              </w:rPr>
            </w:pPr>
            <w:r>
              <w:rPr>
                <w:bCs/>
                <w:lang w:val="es-ES_tradnl"/>
              </w:rPr>
              <w:t>1990</w:t>
            </w:r>
          </w:p>
        </w:tc>
        <w:tc>
          <w:tcPr>
            <w:tcW w:w="2208" w:type="dxa"/>
            <w:vAlign w:val="center"/>
          </w:tcPr>
          <w:p w:rsidR="00000000" w:rsidRDefault="00000000">
            <w:pPr>
              <w:tabs>
                <w:tab w:val="decimal" w:pos="1372"/>
              </w:tabs>
              <w:ind w:right="984"/>
              <w:rPr>
                <w:bCs/>
                <w:lang w:val="es-ES_tradnl"/>
              </w:rPr>
            </w:pPr>
            <w:r>
              <w:rPr>
                <w:bCs/>
                <w:lang w:val="es-ES_tradnl"/>
              </w:rPr>
              <w:t>63</w:t>
            </w:r>
          </w:p>
        </w:tc>
        <w:tc>
          <w:tcPr>
            <w:tcW w:w="2291" w:type="dxa"/>
            <w:vAlign w:val="center"/>
          </w:tcPr>
          <w:p w:rsidR="00000000" w:rsidRDefault="00000000">
            <w:pPr>
              <w:tabs>
                <w:tab w:val="decimal" w:pos="1689"/>
              </w:tabs>
              <w:ind w:right="980"/>
              <w:jc w:val="right"/>
              <w:rPr>
                <w:bCs/>
                <w:lang w:val="es-ES_tradnl"/>
              </w:rPr>
            </w:pPr>
            <w:r>
              <w:rPr>
                <w:bCs/>
                <w:lang w:val="es-ES_tradnl"/>
              </w:rPr>
              <w:t>64</w:t>
            </w:r>
          </w:p>
        </w:tc>
      </w:tr>
      <w:tr w:rsidR="00000000">
        <w:tblPrEx>
          <w:tblCellMar>
            <w:top w:w="0" w:type="dxa"/>
            <w:bottom w:w="0" w:type="dxa"/>
          </w:tblCellMar>
        </w:tblPrEx>
        <w:trPr>
          <w:jc w:val="center"/>
        </w:trPr>
        <w:tc>
          <w:tcPr>
            <w:tcW w:w="2580" w:type="dxa"/>
            <w:vAlign w:val="center"/>
          </w:tcPr>
          <w:p w:rsidR="00000000" w:rsidRDefault="00000000">
            <w:pPr>
              <w:jc w:val="center"/>
              <w:rPr>
                <w:bCs/>
                <w:lang w:val="es-ES_tradnl"/>
              </w:rPr>
            </w:pPr>
            <w:r>
              <w:rPr>
                <w:bCs/>
                <w:lang w:val="es-ES_tradnl"/>
              </w:rPr>
              <w:t>1991</w:t>
            </w:r>
          </w:p>
        </w:tc>
        <w:tc>
          <w:tcPr>
            <w:tcW w:w="2208" w:type="dxa"/>
            <w:vAlign w:val="center"/>
          </w:tcPr>
          <w:p w:rsidR="00000000" w:rsidRDefault="00000000">
            <w:pPr>
              <w:tabs>
                <w:tab w:val="decimal" w:pos="1372"/>
              </w:tabs>
              <w:ind w:right="984"/>
              <w:rPr>
                <w:bCs/>
                <w:lang w:val="es-ES_tradnl"/>
              </w:rPr>
            </w:pPr>
            <w:r>
              <w:rPr>
                <w:bCs/>
                <w:lang w:val="es-ES_tradnl"/>
              </w:rPr>
              <w:t>43</w:t>
            </w:r>
          </w:p>
        </w:tc>
        <w:tc>
          <w:tcPr>
            <w:tcW w:w="2291" w:type="dxa"/>
            <w:vAlign w:val="center"/>
          </w:tcPr>
          <w:p w:rsidR="00000000" w:rsidRDefault="00000000">
            <w:pPr>
              <w:tabs>
                <w:tab w:val="decimal" w:pos="1689"/>
              </w:tabs>
              <w:ind w:right="980"/>
              <w:jc w:val="right"/>
              <w:rPr>
                <w:bCs/>
                <w:lang w:val="es-ES_tradnl"/>
              </w:rPr>
            </w:pPr>
            <w:r>
              <w:rPr>
                <w:bCs/>
                <w:lang w:val="es-ES_tradnl"/>
              </w:rPr>
              <w:t>44</w:t>
            </w:r>
          </w:p>
        </w:tc>
      </w:tr>
      <w:tr w:rsidR="00000000">
        <w:tblPrEx>
          <w:tblCellMar>
            <w:top w:w="0" w:type="dxa"/>
            <w:bottom w:w="0" w:type="dxa"/>
          </w:tblCellMar>
        </w:tblPrEx>
        <w:trPr>
          <w:jc w:val="center"/>
        </w:trPr>
        <w:tc>
          <w:tcPr>
            <w:tcW w:w="2580" w:type="dxa"/>
            <w:vAlign w:val="center"/>
          </w:tcPr>
          <w:p w:rsidR="00000000" w:rsidRDefault="00000000">
            <w:pPr>
              <w:jc w:val="center"/>
              <w:rPr>
                <w:bCs/>
                <w:lang w:val="es-ES_tradnl"/>
              </w:rPr>
            </w:pPr>
            <w:r>
              <w:rPr>
                <w:bCs/>
                <w:lang w:val="es-ES_tradnl"/>
              </w:rPr>
              <w:t>1992</w:t>
            </w:r>
          </w:p>
        </w:tc>
        <w:tc>
          <w:tcPr>
            <w:tcW w:w="2208" w:type="dxa"/>
            <w:vAlign w:val="center"/>
          </w:tcPr>
          <w:p w:rsidR="00000000" w:rsidRDefault="00000000">
            <w:pPr>
              <w:tabs>
                <w:tab w:val="decimal" w:pos="1372"/>
              </w:tabs>
              <w:ind w:right="984"/>
              <w:rPr>
                <w:bCs/>
                <w:lang w:val="es-ES_tradnl"/>
              </w:rPr>
            </w:pPr>
            <w:r>
              <w:rPr>
                <w:bCs/>
                <w:lang w:val="es-ES_tradnl"/>
              </w:rPr>
              <w:t>17</w:t>
            </w:r>
          </w:p>
        </w:tc>
        <w:tc>
          <w:tcPr>
            <w:tcW w:w="2291" w:type="dxa"/>
            <w:vAlign w:val="center"/>
          </w:tcPr>
          <w:p w:rsidR="00000000" w:rsidRDefault="00000000">
            <w:pPr>
              <w:tabs>
                <w:tab w:val="decimal" w:pos="1689"/>
              </w:tabs>
              <w:ind w:right="980"/>
              <w:jc w:val="right"/>
              <w:rPr>
                <w:bCs/>
                <w:lang w:val="es-ES_tradnl"/>
              </w:rPr>
            </w:pPr>
            <w:r>
              <w:rPr>
                <w:bCs/>
                <w:lang w:val="es-ES_tradnl"/>
              </w:rPr>
              <w:t>28</w:t>
            </w:r>
          </w:p>
        </w:tc>
      </w:tr>
      <w:tr w:rsidR="00000000">
        <w:tblPrEx>
          <w:tblCellMar>
            <w:top w:w="0" w:type="dxa"/>
            <w:bottom w:w="0" w:type="dxa"/>
          </w:tblCellMar>
        </w:tblPrEx>
        <w:trPr>
          <w:jc w:val="center"/>
        </w:trPr>
        <w:tc>
          <w:tcPr>
            <w:tcW w:w="2580" w:type="dxa"/>
            <w:vAlign w:val="center"/>
          </w:tcPr>
          <w:p w:rsidR="00000000" w:rsidRDefault="00000000">
            <w:pPr>
              <w:jc w:val="center"/>
              <w:rPr>
                <w:bCs/>
                <w:lang w:val="es-ES_tradnl"/>
              </w:rPr>
            </w:pPr>
            <w:r>
              <w:rPr>
                <w:bCs/>
                <w:lang w:val="es-ES_tradnl"/>
              </w:rPr>
              <w:t>1993</w:t>
            </w:r>
          </w:p>
        </w:tc>
        <w:tc>
          <w:tcPr>
            <w:tcW w:w="2208" w:type="dxa"/>
            <w:vAlign w:val="center"/>
          </w:tcPr>
          <w:p w:rsidR="00000000" w:rsidRDefault="00000000">
            <w:pPr>
              <w:tabs>
                <w:tab w:val="decimal" w:pos="1372"/>
              </w:tabs>
              <w:ind w:right="984"/>
              <w:rPr>
                <w:bCs/>
                <w:lang w:val="es-ES_tradnl"/>
              </w:rPr>
            </w:pPr>
            <w:r>
              <w:rPr>
                <w:bCs/>
                <w:lang w:val="es-ES_tradnl"/>
              </w:rPr>
              <w:t>7</w:t>
            </w:r>
          </w:p>
        </w:tc>
        <w:tc>
          <w:tcPr>
            <w:tcW w:w="2291" w:type="dxa"/>
            <w:vAlign w:val="center"/>
          </w:tcPr>
          <w:p w:rsidR="00000000" w:rsidRDefault="00000000">
            <w:pPr>
              <w:tabs>
                <w:tab w:val="decimal" w:pos="1689"/>
              </w:tabs>
              <w:ind w:right="980"/>
              <w:jc w:val="right"/>
              <w:rPr>
                <w:bCs/>
                <w:lang w:val="es-ES_tradnl"/>
              </w:rPr>
            </w:pPr>
            <w:r>
              <w:rPr>
                <w:bCs/>
                <w:lang w:val="es-ES_tradnl"/>
              </w:rPr>
              <w:t>8</w:t>
            </w:r>
          </w:p>
        </w:tc>
      </w:tr>
      <w:tr w:rsidR="00000000">
        <w:tblPrEx>
          <w:tblCellMar>
            <w:top w:w="0" w:type="dxa"/>
            <w:bottom w:w="0" w:type="dxa"/>
          </w:tblCellMar>
        </w:tblPrEx>
        <w:trPr>
          <w:jc w:val="center"/>
        </w:trPr>
        <w:tc>
          <w:tcPr>
            <w:tcW w:w="2580" w:type="dxa"/>
            <w:vAlign w:val="center"/>
          </w:tcPr>
          <w:p w:rsidR="00000000" w:rsidRDefault="00000000">
            <w:pPr>
              <w:jc w:val="center"/>
              <w:rPr>
                <w:bCs/>
                <w:lang w:val="es-ES_tradnl"/>
              </w:rPr>
            </w:pPr>
            <w:r>
              <w:rPr>
                <w:bCs/>
                <w:lang w:val="es-ES_tradnl"/>
              </w:rPr>
              <w:t>1994</w:t>
            </w:r>
          </w:p>
        </w:tc>
        <w:tc>
          <w:tcPr>
            <w:tcW w:w="2208" w:type="dxa"/>
            <w:vAlign w:val="center"/>
          </w:tcPr>
          <w:p w:rsidR="00000000" w:rsidRDefault="00000000">
            <w:pPr>
              <w:tabs>
                <w:tab w:val="decimal" w:pos="1372"/>
              </w:tabs>
              <w:ind w:right="984"/>
              <w:rPr>
                <w:bCs/>
                <w:lang w:val="es-ES_tradnl"/>
              </w:rPr>
            </w:pPr>
            <w:r>
              <w:rPr>
                <w:bCs/>
                <w:lang w:val="es-ES_tradnl"/>
              </w:rPr>
              <w:t>4</w:t>
            </w:r>
          </w:p>
        </w:tc>
        <w:tc>
          <w:tcPr>
            <w:tcW w:w="2291" w:type="dxa"/>
            <w:vAlign w:val="center"/>
          </w:tcPr>
          <w:p w:rsidR="00000000" w:rsidRDefault="00000000">
            <w:pPr>
              <w:tabs>
                <w:tab w:val="decimal" w:pos="1689"/>
              </w:tabs>
              <w:ind w:right="980"/>
              <w:jc w:val="right"/>
              <w:rPr>
                <w:bCs/>
                <w:lang w:val="es-ES_tradnl"/>
              </w:rPr>
            </w:pPr>
            <w:r>
              <w:rPr>
                <w:bCs/>
                <w:lang w:val="es-ES_tradnl"/>
              </w:rPr>
              <w:t>5</w:t>
            </w:r>
          </w:p>
        </w:tc>
      </w:tr>
    </w:tbl>
    <w:p w:rsidR="00000000" w:rsidRDefault="00000000">
      <w:pPr>
        <w:spacing w:before="480" w:after="230"/>
        <w:rPr>
          <w:b/>
          <w:bCs/>
        </w:rPr>
      </w:pPr>
      <w:r>
        <w:rPr>
          <w:b/>
          <w:bCs/>
        </w:rPr>
        <w:t>Tabaco</w:t>
      </w:r>
    </w:p>
    <w:p w:rsidR="00000000" w:rsidRDefault="00000000">
      <w:pPr>
        <w:spacing w:before="240" w:after="230"/>
      </w:pPr>
      <w:r>
        <w:tab/>
        <w:t>Alrededor del 40% de los jóvenes de 19 años fuman habitualmente cigarrillos.  Las jóvenes suelen fumar más que los muchachos.  Las primeras experiencias con cigarrillos tienen lugar, por lo general, a la edad de los 13 años.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197"/>
        <w:gridCol w:w="2310"/>
      </w:tblGrid>
      <w:tr w:rsidR="00000000">
        <w:tblPrEx>
          <w:tblCellMar>
            <w:top w:w="0" w:type="dxa"/>
            <w:bottom w:w="0" w:type="dxa"/>
          </w:tblCellMar>
        </w:tblPrEx>
        <w:trPr>
          <w:cantSplit/>
        </w:trPr>
        <w:tc>
          <w:tcPr>
            <w:tcW w:w="7097" w:type="dxa"/>
            <w:gridSpan w:val="3"/>
          </w:tcPr>
          <w:p w:rsidR="00000000" w:rsidRDefault="00000000">
            <w:pPr>
              <w:jc w:val="center"/>
            </w:pPr>
            <w:r>
              <w:t>Porcentaje de jóvenes que fuman 6 o más cigarrillos al día</w:t>
            </w:r>
          </w:p>
        </w:tc>
      </w:tr>
      <w:tr w:rsidR="00000000">
        <w:tblPrEx>
          <w:tblCellMar>
            <w:top w:w="0" w:type="dxa"/>
            <w:bottom w:w="0" w:type="dxa"/>
          </w:tblCellMar>
        </w:tblPrEx>
        <w:tc>
          <w:tcPr>
            <w:tcW w:w="2590" w:type="dxa"/>
          </w:tcPr>
          <w:p w:rsidR="00000000" w:rsidRDefault="00000000">
            <w:pPr>
              <w:jc w:val="center"/>
            </w:pPr>
            <w:r>
              <w:t>Año de nacimiento</w:t>
            </w:r>
          </w:p>
        </w:tc>
        <w:tc>
          <w:tcPr>
            <w:tcW w:w="2197" w:type="dxa"/>
          </w:tcPr>
          <w:p w:rsidR="00000000" w:rsidRDefault="00000000">
            <w:pPr>
              <w:jc w:val="center"/>
            </w:pPr>
            <w:r>
              <w:t>Varón</w:t>
            </w:r>
          </w:p>
        </w:tc>
        <w:tc>
          <w:tcPr>
            <w:tcW w:w="2310" w:type="dxa"/>
          </w:tcPr>
          <w:p w:rsidR="00000000" w:rsidRDefault="00000000">
            <w:pPr>
              <w:jc w:val="center"/>
            </w:pPr>
            <w:r>
              <w:t>Mujer</w:t>
            </w:r>
          </w:p>
        </w:tc>
      </w:tr>
      <w:tr w:rsidR="00000000">
        <w:tblPrEx>
          <w:tblCellMar>
            <w:top w:w="0" w:type="dxa"/>
            <w:bottom w:w="0" w:type="dxa"/>
          </w:tblCellMar>
        </w:tblPrEx>
        <w:tc>
          <w:tcPr>
            <w:tcW w:w="2590" w:type="dxa"/>
          </w:tcPr>
          <w:p w:rsidR="00000000" w:rsidRDefault="00000000">
            <w:pPr>
              <w:jc w:val="center"/>
              <w:rPr>
                <w:bCs/>
              </w:rPr>
            </w:pPr>
            <w:r>
              <w:rPr>
                <w:bCs/>
              </w:rPr>
              <w:t>1986</w:t>
            </w:r>
          </w:p>
        </w:tc>
        <w:tc>
          <w:tcPr>
            <w:tcW w:w="2197" w:type="dxa"/>
          </w:tcPr>
          <w:p w:rsidR="00000000" w:rsidRDefault="00000000">
            <w:pPr>
              <w:tabs>
                <w:tab w:val="decimal" w:pos="1372"/>
              </w:tabs>
              <w:ind w:right="984"/>
              <w:rPr>
                <w:bCs/>
              </w:rPr>
            </w:pPr>
            <w:r>
              <w:rPr>
                <w:bCs/>
                <w:lang w:val="es-ES_tradnl"/>
              </w:rPr>
              <w:t>31</w:t>
            </w:r>
          </w:p>
        </w:tc>
        <w:tc>
          <w:tcPr>
            <w:tcW w:w="2310" w:type="dxa"/>
          </w:tcPr>
          <w:p w:rsidR="00000000" w:rsidRDefault="00000000">
            <w:pPr>
              <w:tabs>
                <w:tab w:val="decimal" w:pos="1372"/>
              </w:tabs>
              <w:ind w:right="984"/>
              <w:rPr>
                <w:bCs/>
              </w:rPr>
            </w:pPr>
            <w:r>
              <w:rPr>
                <w:bCs/>
                <w:lang w:val="es-ES_tradnl"/>
              </w:rPr>
              <w:t>50</w:t>
            </w:r>
          </w:p>
        </w:tc>
      </w:tr>
      <w:tr w:rsidR="00000000">
        <w:tblPrEx>
          <w:tblCellMar>
            <w:top w:w="0" w:type="dxa"/>
            <w:bottom w:w="0" w:type="dxa"/>
          </w:tblCellMar>
        </w:tblPrEx>
        <w:tc>
          <w:tcPr>
            <w:tcW w:w="2590" w:type="dxa"/>
          </w:tcPr>
          <w:p w:rsidR="00000000" w:rsidRDefault="00000000">
            <w:pPr>
              <w:jc w:val="center"/>
              <w:rPr>
                <w:bCs/>
              </w:rPr>
            </w:pPr>
            <w:r>
              <w:rPr>
                <w:bCs/>
              </w:rPr>
              <w:t>1987</w:t>
            </w:r>
          </w:p>
        </w:tc>
        <w:tc>
          <w:tcPr>
            <w:tcW w:w="2197" w:type="dxa"/>
          </w:tcPr>
          <w:p w:rsidR="00000000" w:rsidRDefault="00000000">
            <w:pPr>
              <w:tabs>
                <w:tab w:val="decimal" w:pos="1372"/>
              </w:tabs>
              <w:ind w:right="984"/>
              <w:rPr>
                <w:bCs/>
              </w:rPr>
            </w:pPr>
            <w:r>
              <w:rPr>
                <w:bCs/>
              </w:rPr>
              <w:t>39</w:t>
            </w:r>
          </w:p>
        </w:tc>
        <w:tc>
          <w:tcPr>
            <w:tcW w:w="2310" w:type="dxa"/>
          </w:tcPr>
          <w:p w:rsidR="00000000" w:rsidRDefault="00000000">
            <w:pPr>
              <w:tabs>
                <w:tab w:val="decimal" w:pos="1372"/>
              </w:tabs>
              <w:ind w:right="984"/>
              <w:rPr>
                <w:bCs/>
              </w:rPr>
            </w:pPr>
            <w:r>
              <w:rPr>
                <w:bCs/>
              </w:rPr>
              <w:t>39</w:t>
            </w:r>
          </w:p>
        </w:tc>
      </w:tr>
      <w:tr w:rsidR="00000000">
        <w:tblPrEx>
          <w:tblCellMar>
            <w:top w:w="0" w:type="dxa"/>
            <w:bottom w:w="0" w:type="dxa"/>
          </w:tblCellMar>
        </w:tblPrEx>
        <w:tc>
          <w:tcPr>
            <w:tcW w:w="2590" w:type="dxa"/>
          </w:tcPr>
          <w:p w:rsidR="00000000" w:rsidRDefault="00000000">
            <w:pPr>
              <w:jc w:val="center"/>
              <w:rPr>
                <w:bCs/>
              </w:rPr>
            </w:pPr>
            <w:r>
              <w:rPr>
                <w:bCs/>
              </w:rPr>
              <w:t>1988</w:t>
            </w:r>
          </w:p>
        </w:tc>
        <w:tc>
          <w:tcPr>
            <w:tcW w:w="2197" w:type="dxa"/>
          </w:tcPr>
          <w:p w:rsidR="00000000" w:rsidRDefault="00000000">
            <w:pPr>
              <w:tabs>
                <w:tab w:val="decimal" w:pos="1372"/>
              </w:tabs>
              <w:ind w:right="984"/>
              <w:rPr>
                <w:bCs/>
              </w:rPr>
            </w:pPr>
            <w:r>
              <w:rPr>
                <w:bCs/>
              </w:rPr>
              <w:t>48</w:t>
            </w:r>
          </w:p>
        </w:tc>
        <w:tc>
          <w:tcPr>
            <w:tcW w:w="2310" w:type="dxa"/>
          </w:tcPr>
          <w:p w:rsidR="00000000" w:rsidRDefault="00000000">
            <w:pPr>
              <w:tabs>
                <w:tab w:val="decimal" w:pos="1372"/>
              </w:tabs>
              <w:ind w:right="984"/>
              <w:rPr>
                <w:bCs/>
              </w:rPr>
            </w:pPr>
            <w:r>
              <w:rPr>
                <w:bCs/>
              </w:rPr>
              <w:t>45</w:t>
            </w:r>
          </w:p>
        </w:tc>
      </w:tr>
      <w:tr w:rsidR="00000000">
        <w:tblPrEx>
          <w:tblCellMar>
            <w:top w:w="0" w:type="dxa"/>
            <w:bottom w:w="0" w:type="dxa"/>
          </w:tblCellMar>
        </w:tblPrEx>
        <w:tc>
          <w:tcPr>
            <w:tcW w:w="2590" w:type="dxa"/>
          </w:tcPr>
          <w:p w:rsidR="00000000" w:rsidRDefault="00000000">
            <w:pPr>
              <w:jc w:val="center"/>
              <w:rPr>
                <w:bCs/>
              </w:rPr>
            </w:pPr>
            <w:r>
              <w:rPr>
                <w:bCs/>
              </w:rPr>
              <w:t>1989</w:t>
            </w:r>
          </w:p>
        </w:tc>
        <w:tc>
          <w:tcPr>
            <w:tcW w:w="2197" w:type="dxa"/>
          </w:tcPr>
          <w:p w:rsidR="00000000" w:rsidRDefault="00000000">
            <w:pPr>
              <w:tabs>
                <w:tab w:val="decimal" w:pos="1372"/>
              </w:tabs>
              <w:ind w:right="984"/>
              <w:rPr>
                <w:bCs/>
              </w:rPr>
            </w:pPr>
            <w:r>
              <w:rPr>
                <w:bCs/>
              </w:rPr>
              <w:t>29</w:t>
            </w:r>
          </w:p>
        </w:tc>
        <w:tc>
          <w:tcPr>
            <w:tcW w:w="2310" w:type="dxa"/>
          </w:tcPr>
          <w:p w:rsidR="00000000" w:rsidRDefault="00000000">
            <w:pPr>
              <w:tabs>
                <w:tab w:val="decimal" w:pos="1372"/>
              </w:tabs>
              <w:ind w:right="984"/>
              <w:rPr>
                <w:bCs/>
              </w:rPr>
            </w:pPr>
            <w:r>
              <w:rPr>
                <w:bCs/>
              </w:rPr>
              <w:t>27</w:t>
            </w:r>
          </w:p>
        </w:tc>
      </w:tr>
      <w:tr w:rsidR="00000000">
        <w:tblPrEx>
          <w:tblCellMar>
            <w:top w:w="0" w:type="dxa"/>
            <w:bottom w:w="0" w:type="dxa"/>
          </w:tblCellMar>
        </w:tblPrEx>
        <w:tc>
          <w:tcPr>
            <w:tcW w:w="2590" w:type="dxa"/>
          </w:tcPr>
          <w:p w:rsidR="00000000" w:rsidRDefault="00000000">
            <w:pPr>
              <w:jc w:val="center"/>
              <w:rPr>
                <w:bCs/>
              </w:rPr>
            </w:pPr>
            <w:r>
              <w:rPr>
                <w:bCs/>
              </w:rPr>
              <w:t>1990</w:t>
            </w:r>
          </w:p>
        </w:tc>
        <w:tc>
          <w:tcPr>
            <w:tcW w:w="2197" w:type="dxa"/>
          </w:tcPr>
          <w:p w:rsidR="00000000" w:rsidRDefault="00000000">
            <w:pPr>
              <w:tabs>
                <w:tab w:val="decimal" w:pos="1372"/>
              </w:tabs>
              <w:ind w:right="984"/>
              <w:rPr>
                <w:bCs/>
              </w:rPr>
            </w:pPr>
            <w:r>
              <w:rPr>
                <w:bCs/>
              </w:rPr>
              <w:t>15</w:t>
            </w:r>
          </w:p>
        </w:tc>
        <w:tc>
          <w:tcPr>
            <w:tcW w:w="2310" w:type="dxa"/>
          </w:tcPr>
          <w:p w:rsidR="00000000" w:rsidRDefault="00000000">
            <w:pPr>
              <w:tabs>
                <w:tab w:val="decimal" w:pos="1372"/>
              </w:tabs>
              <w:ind w:right="984"/>
              <w:rPr>
                <w:bCs/>
              </w:rPr>
            </w:pPr>
            <w:r>
              <w:rPr>
                <w:bCs/>
              </w:rPr>
              <w:t>20</w:t>
            </w:r>
          </w:p>
        </w:tc>
      </w:tr>
      <w:tr w:rsidR="00000000">
        <w:tblPrEx>
          <w:tblCellMar>
            <w:top w:w="0" w:type="dxa"/>
            <w:bottom w:w="0" w:type="dxa"/>
          </w:tblCellMar>
        </w:tblPrEx>
        <w:tc>
          <w:tcPr>
            <w:tcW w:w="2590" w:type="dxa"/>
          </w:tcPr>
          <w:p w:rsidR="00000000" w:rsidRDefault="00000000">
            <w:pPr>
              <w:jc w:val="center"/>
              <w:rPr>
                <w:bCs/>
              </w:rPr>
            </w:pPr>
            <w:r>
              <w:rPr>
                <w:bCs/>
              </w:rPr>
              <w:t>1991</w:t>
            </w:r>
          </w:p>
        </w:tc>
        <w:tc>
          <w:tcPr>
            <w:tcW w:w="2197" w:type="dxa"/>
          </w:tcPr>
          <w:p w:rsidR="00000000" w:rsidRDefault="00000000">
            <w:pPr>
              <w:tabs>
                <w:tab w:val="decimal" w:pos="1372"/>
              </w:tabs>
              <w:ind w:right="984"/>
              <w:rPr>
                <w:bCs/>
              </w:rPr>
            </w:pPr>
            <w:r>
              <w:rPr>
                <w:bCs/>
              </w:rPr>
              <w:t>6</w:t>
            </w:r>
          </w:p>
        </w:tc>
        <w:tc>
          <w:tcPr>
            <w:tcW w:w="2310" w:type="dxa"/>
          </w:tcPr>
          <w:p w:rsidR="00000000" w:rsidRDefault="00000000">
            <w:pPr>
              <w:tabs>
                <w:tab w:val="decimal" w:pos="1372"/>
              </w:tabs>
              <w:ind w:right="984"/>
              <w:rPr>
                <w:bCs/>
              </w:rPr>
            </w:pPr>
            <w:r>
              <w:rPr>
                <w:bCs/>
              </w:rPr>
              <w:t>9</w:t>
            </w:r>
          </w:p>
        </w:tc>
      </w:tr>
      <w:tr w:rsidR="00000000">
        <w:tblPrEx>
          <w:tblCellMar>
            <w:top w:w="0" w:type="dxa"/>
            <w:bottom w:w="0" w:type="dxa"/>
          </w:tblCellMar>
        </w:tblPrEx>
        <w:tc>
          <w:tcPr>
            <w:tcW w:w="2590" w:type="dxa"/>
          </w:tcPr>
          <w:p w:rsidR="00000000" w:rsidRDefault="00000000">
            <w:pPr>
              <w:jc w:val="center"/>
              <w:rPr>
                <w:bCs/>
              </w:rPr>
            </w:pPr>
            <w:r>
              <w:rPr>
                <w:bCs/>
              </w:rPr>
              <w:t>1992</w:t>
            </w:r>
          </w:p>
        </w:tc>
        <w:tc>
          <w:tcPr>
            <w:tcW w:w="2197" w:type="dxa"/>
          </w:tcPr>
          <w:p w:rsidR="00000000" w:rsidRDefault="00000000">
            <w:pPr>
              <w:tabs>
                <w:tab w:val="decimal" w:pos="1372"/>
              </w:tabs>
              <w:ind w:right="984"/>
              <w:rPr>
                <w:bCs/>
              </w:rPr>
            </w:pPr>
            <w:r>
              <w:rPr>
                <w:bCs/>
              </w:rPr>
              <w:t>1</w:t>
            </w:r>
          </w:p>
        </w:tc>
        <w:tc>
          <w:tcPr>
            <w:tcW w:w="2310" w:type="dxa"/>
          </w:tcPr>
          <w:p w:rsidR="00000000" w:rsidRDefault="00000000">
            <w:pPr>
              <w:tabs>
                <w:tab w:val="decimal" w:pos="1372"/>
              </w:tabs>
              <w:ind w:right="984"/>
              <w:rPr>
                <w:bCs/>
              </w:rPr>
            </w:pPr>
            <w:r>
              <w:rPr>
                <w:bCs/>
              </w:rPr>
              <w:t>5</w:t>
            </w:r>
          </w:p>
        </w:tc>
      </w:tr>
      <w:tr w:rsidR="00000000">
        <w:tblPrEx>
          <w:tblCellMar>
            <w:top w:w="0" w:type="dxa"/>
            <w:bottom w:w="0" w:type="dxa"/>
          </w:tblCellMar>
        </w:tblPrEx>
        <w:tc>
          <w:tcPr>
            <w:tcW w:w="2590" w:type="dxa"/>
          </w:tcPr>
          <w:p w:rsidR="00000000" w:rsidRDefault="00000000">
            <w:pPr>
              <w:jc w:val="center"/>
              <w:rPr>
                <w:bCs/>
              </w:rPr>
            </w:pPr>
            <w:r>
              <w:rPr>
                <w:bCs/>
              </w:rPr>
              <w:t>1993</w:t>
            </w:r>
          </w:p>
        </w:tc>
        <w:tc>
          <w:tcPr>
            <w:tcW w:w="2197" w:type="dxa"/>
          </w:tcPr>
          <w:p w:rsidR="00000000" w:rsidRDefault="00000000">
            <w:pPr>
              <w:tabs>
                <w:tab w:val="decimal" w:pos="1372"/>
              </w:tabs>
              <w:ind w:right="984"/>
              <w:rPr>
                <w:bCs/>
              </w:rPr>
            </w:pPr>
            <w:r>
              <w:rPr>
                <w:bCs/>
              </w:rPr>
              <w:t>0</w:t>
            </w:r>
          </w:p>
        </w:tc>
        <w:tc>
          <w:tcPr>
            <w:tcW w:w="2310" w:type="dxa"/>
          </w:tcPr>
          <w:p w:rsidR="00000000" w:rsidRDefault="00000000">
            <w:pPr>
              <w:tabs>
                <w:tab w:val="decimal" w:pos="1372"/>
              </w:tabs>
              <w:ind w:right="984"/>
              <w:rPr>
                <w:bCs/>
              </w:rPr>
            </w:pPr>
            <w:r>
              <w:rPr>
                <w:bCs/>
              </w:rPr>
              <w:t>0</w:t>
            </w:r>
          </w:p>
        </w:tc>
      </w:tr>
      <w:tr w:rsidR="00000000">
        <w:tblPrEx>
          <w:tblCellMar>
            <w:top w:w="0" w:type="dxa"/>
            <w:bottom w:w="0" w:type="dxa"/>
          </w:tblCellMar>
        </w:tblPrEx>
        <w:tc>
          <w:tcPr>
            <w:tcW w:w="2590" w:type="dxa"/>
          </w:tcPr>
          <w:p w:rsidR="00000000" w:rsidRDefault="00000000">
            <w:pPr>
              <w:jc w:val="center"/>
              <w:rPr>
                <w:bCs/>
              </w:rPr>
            </w:pPr>
            <w:r>
              <w:rPr>
                <w:bCs/>
              </w:rPr>
              <w:t>1994</w:t>
            </w:r>
          </w:p>
        </w:tc>
        <w:tc>
          <w:tcPr>
            <w:tcW w:w="2197" w:type="dxa"/>
          </w:tcPr>
          <w:p w:rsidR="00000000" w:rsidRDefault="00000000">
            <w:pPr>
              <w:tabs>
                <w:tab w:val="decimal" w:pos="1372"/>
              </w:tabs>
              <w:ind w:right="984"/>
              <w:rPr>
                <w:bCs/>
              </w:rPr>
            </w:pPr>
            <w:r>
              <w:rPr>
                <w:bCs/>
              </w:rPr>
              <w:t>0</w:t>
            </w:r>
          </w:p>
        </w:tc>
        <w:tc>
          <w:tcPr>
            <w:tcW w:w="2310" w:type="dxa"/>
          </w:tcPr>
          <w:p w:rsidR="00000000" w:rsidRDefault="00000000">
            <w:pPr>
              <w:tabs>
                <w:tab w:val="decimal" w:pos="1372"/>
              </w:tabs>
              <w:ind w:right="984"/>
              <w:rPr>
                <w:bCs/>
              </w:rPr>
            </w:pPr>
            <w:r>
              <w:rPr>
                <w:bCs/>
              </w:rPr>
              <w:t>0</w:t>
            </w:r>
          </w:p>
        </w:tc>
      </w:tr>
    </w:tbl>
    <w:p w:rsidR="00000000" w:rsidRDefault="00000000">
      <w:pPr>
        <w:spacing w:before="480" w:after="230"/>
        <w:rPr>
          <w:b/>
          <w:bCs/>
        </w:rPr>
      </w:pPr>
      <w:r>
        <w:rPr>
          <w:b/>
          <w:bCs/>
        </w:rPr>
        <w:t>Profesionales de la salud que trabajan en los servicios que se ocupan de los niños</w:t>
      </w:r>
    </w:p>
    <w:p w:rsidR="00000000" w:rsidRDefault="00000000">
      <w:pPr>
        <w:spacing w:before="240" w:after="230"/>
      </w:pPr>
      <w:r>
        <w:tab/>
        <w:t>En Liechtenstein hay 78 facultativos médicos, lo que supone que en la actualidad hay aproximadamente un médico por 435 habitantes.  También hay 27 dentistas, 11 comadronas y 16 enfermeras colegiadas.  De los 78 médicos, 4 son pediatras.  En Liechtenstein la psicoterapia está cubierta por la atención sanitaria primaria.  En la actualidad hay 6 psicoterapistas colegiados.</w:t>
      </w:r>
    </w:p>
    <w:p w:rsidR="00000000" w:rsidRDefault="00000000">
      <w:pPr>
        <w:spacing w:before="240" w:after="240"/>
        <w:ind w:left="567" w:hanging="567"/>
        <w:rPr>
          <w:b/>
          <w:bCs/>
        </w:rPr>
      </w:pPr>
      <w:r>
        <w:rPr>
          <w:b/>
          <w:bCs/>
        </w:rPr>
        <w:t>8.</w:t>
      </w:r>
      <w:r>
        <w:rPr>
          <w:b/>
          <w:bCs/>
        </w:rPr>
        <w:tab/>
        <w:t>Sírvanse proporcionar estadísticas desglosadas (entre otras cosas por género, edad, grupos minoritarios y étnicos, zonas rurales y urbanas) sobre los niños infectados o afectados por el VIH/SIDA, así como información sobre los programas ejecutados para tratar de los problemas de esos niños</w:t>
      </w:r>
    </w:p>
    <w:p w:rsidR="00000000" w:rsidRDefault="00000000">
      <w:pPr>
        <w:spacing w:before="240" w:after="240"/>
      </w:pPr>
      <w:r>
        <w:tab/>
        <w:t>No se dispone de datos dignos de crédito sobre el número de personas con VIH/SIDA en Liechtenstein.  Ni al Director General de Salud Pública ni a la Oficina de Sexología y Prevención del VIH le consta caso alguno de niño o adolescente infectado.  Por ello, no hay ningún programa especial dirigido a los menores.</w:t>
      </w:r>
    </w:p>
    <w:p w:rsidR="00000000" w:rsidRDefault="00000000">
      <w:pPr>
        <w:spacing w:before="240" w:after="240"/>
        <w:ind w:left="567" w:hanging="567"/>
        <w:rPr>
          <w:b/>
          <w:bCs/>
        </w:rPr>
      </w:pPr>
      <w:r>
        <w:rPr>
          <w:b/>
          <w:bCs/>
        </w:rPr>
        <w:t>9.</w:t>
      </w:r>
      <w:r>
        <w:rPr>
          <w:b/>
          <w:bCs/>
        </w:rPr>
        <w:tab/>
        <w:t>Sírvanse proporcionar datos desglosados (por sexo, edad, grupos minoritarios y étnicos y tipo de delito) correspondientes a los años 2004 y, en su caso, 2005, especialmente sobre el número de:</w:t>
      </w:r>
    </w:p>
    <w:p w:rsidR="00000000" w:rsidRDefault="00000000">
      <w:pPr>
        <w:spacing w:before="240" w:after="240"/>
        <w:ind w:left="567" w:hanging="567"/>
        <w:rPr>
          <w:b/>
          <w:bCs/>
        </w:rPr>
      </w:pPr>
      <w:r>
        <w:rPr>
          <w:b/>
          <w:bCs/>
        </w:rPr>
        <w:t>9a)</w:t>
      </w:r>
      <w:r>
        <w:rPr>
          <w:b/>
          <w:bCs/>
        </w:rPr>
        <w:tab/>
        <w:t>Personas menores de 18 años que presuntamente hayan cometido un delito denunciado a la policía</w:t>
      </w:r>
    </w:p>
    <w:p w:rsidR="00000000" w:rsidRDefault="00000000">
      <w:pPr>
        <w:spacing w:before="240" w:after="240"/>
      </w:pPr>
      <w:r>
        <w:tab/>
        <w:t>La mayoría de las infracciones cometidas por los niños y adolescentes son de tráfico.  Mucho menos frecuentes son las infracciones tipificadas en el Código Penal (Strafgesetzbuch, StGB) y en la Ley de estupefacientes (Betäubungsmittelgesetz, BMG).  En los últimos años no se ha cometido ningún delito punible con la máxima pena en el que hayan participado jóvenes.</w:t>
      </w:r>
    </w:p>
    <w:p w:rsidR="00000000" w:rsidRDefault="00000000">
      <w:pPr>
        <w:spacing w:before="240" w:after="240"/>
      </w:pPr>
      <w:r>
        <w:tab/>
        <w:t>Hasta la fecha no se han desglosado por edad, género y nacionalidad las infracciones cometidas por los menores.  Los datos que se proporcionan a continuación proporcionan información sobre el número de infracciones cometidas por menores en 2003 y 2004 (excluidas las infracciones de tráfico):</w:t>
      </w:r>
    </w:p>
    <w:p w:rsidR="00000000" w:rsidRDefault="00000000">
      <w:pPr>
        <w:numPr>
          <w:ilvl w:val="0"/>
          <w:numId w:val="1"/>
        </w:numPr>
        <w:tabs>
          <w:tab w:val="clear" w:pos="720"/>
        </w:tabs>
        <w:spacing w:before="240" w:after="240"/>
        <w:ind w:left="924" w:hanging="357"/>
      </w:pPr>
      <w:r>
        <w:t>En 2003 un total de 114 menores fueron investigados por la Policía Nacional (alrededor del 20% de todos los autores fueron investigados por la Policía Nacional).</w:t>
      </w:r>
    </w:p>
    <w:p w:rsidR="00000000" w:rsidRDefault="00000000">
      <w:pPr>
        <w:numPr>
          <w:ilvl w:val="0"/>
          <w:numId w:val="1"/>
        </w:numPr>
        <w:tabs>
          <w:tab w:val="clear" w:pos="720"/>
        </w:tabs>
        <w:spacing w:before="240" w:after="240"/>
        <w:ind w:left="924" w:hanging="357"/>
      </w:pPr>
      <w:r>
        <w:t>En 2004 un total de 87 menores fueron investigados por la Policía Nacional (alrededor del 15% de todos los autores fueron investigados por la Policía Nacional).</w:t>
      </w:r>
    </w:p>
    <w:p w:rsidR="00000000" w:rsidRDefault="00000000">
      <w:pPr>
        <w:spacing w:after="240"/>
      </w:pPr>
      <w:r>
        <w:tab/>
        <w:t>La distribución media de los infractores menores de edad investigados por categoría de infracción (excluidas las infracciones de tráfico) en Liechtenstein es la siguiente:</w:t>
      </w:r>
    </w:p>
    <w:p w:rsidR="00000000" w:rsidRDefault="00000000">
      <w:pPr>
        <w:numPr>
          <w:ilvl w:val="0"/>
          <w:numId w:val="1"/>
        </w:numPr>
        <w:tabs>
          <w:tab w:val="clear" w:pos="720"/>
        </w:tabs>
        <w:spacing w:before="240" w:after="240"/>
        <w:ind w:left="924" w:hanging="357"/>
      </w:pPr>
      <w:r>
        <w:t>20 a 30% por delitos relacionados con drogas (especialmente consumo y posesión de marihuana);</w:t>
      </w:r>
    </w:p>
    <w:p w:rsidR="00000000" w:rsidRDefault="00000000">
      <w:pPr>
        <w:numPr>
          <w:ilvl w:val="0"/>
          <w:numId w:val="1"/>
        </w:numPr>
        <w:tabs>
          <w:tab w:val="clear" w:pos="720"/>
        </w:tabs>
        <w:spacing w:before="240" w:after="240"/>
        <w:ind w:left="924" w:hanging="357"/>
      </w:pPr>
      <w:r>
        <w:t>40 a 50% por infracciones contra la propiedad (vandalismo y robo);</w:t>
      </w:r>
    </w:p>
    <w:p w:rsidR="00000000" w:rsidRDefault="00000000">
      <w:pPr>
        <w:numPr>
          <w:ilvl w:val="0"/>
          <w:numId w:val="1"/>
        </w:numPr>
        <w:tabs>
          <w:tab w:val="clear" w:pos="720"/>
        </w:tabs>
        <w:spacing w:before="240" w:after="240"/>
        <w:ind w:left="924" w:hanging="357"/>
      </w:pPr>
      <w:r>
        <w:t>15% aproximadamente por lesiones corporales (peleas);</w:t>
      </w:r>
    </w:p>
    <w:p w:rsidR="00000000" w:rsidRDefault="00000000">
      <w:pPr>
        <w:numPr>
          <w:ilvl w:val="0"/>
          <w:numId w:val="1"/>
        </w:numPr>
        <w:tabs>
          <w:tab w:val="clear" w:pos="720"/>
        </w:tabs>
        <w:spacing w:before="240" w:after="240"/>
        <w:ind w:left="924" w:hanging="357"/>
      </w:pPr>
      <w:r>
        <w:t>10 a 20% correspondientes a otras infracciones (amenazas, atentado a las buenas costumbres, infracción de la legislación en materia de armas, etc.);</w:t>
      </w:r>
    </w:p>
    <w:p w:rsidR="00000000" w:rsidRDefault="00000000">
      <w:pPr>
        <w:numPr>
          <w:ilvl w:val="0"/>
          <w:numId w:val="1"/>
        </w:numPr>
        <w:tabs>
          <w:tab w:val="clear" w:pos="720"/>
        </w:tabs>
        <w:spacing w:before="240" w:after="240"/>
        <w:ind w:left="924" w:hanging="357"/>
      </w:pPr>
      <w:r>
        <w:rPr>
          <w:i/>
          <w:iCs/>
        </w:rPr>
        <w:t>Ningún</w:t>
      </w:r>
      <w:r>
        <w:t xml:space="preserve"> delito grave en el que estuviesen involucrados jóvenes (atracos, etc.).</w:t>
      </w:r>
    </w:p>
    <w:p w:rsidR="00000000" w:rsidRDefault="00000000">
      <w:pPr>
        <w:spacing w:after="240"/>
        <w:ind w:left="567" w:hanging="567"/>
        <w:rPr>
          <w:b/>
          <w:bCs/>
        </w:rPr>
      </w:pPr>
      <w:r>
        <w:rPr>
          <w:b/>
          <w:bCs/>
        </w:rPr>
        <w:t>9b)</w:t>
      </w:r>
      <w:r>
        <w:rPr>
          <w:b/>
          <w:bCs/>
        </w:rPr>
        <w:tab/>
        <w:t>Personas menores de 18 años que hayan sido condenadas y el tipo de castigo o sanción que se haya impuesto, en particular la duración de la privación de libertad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4"/>
        <w:gridCol w:w="1947"/>
      </w:tblGrid>
      <w:tr w:rsidR="00000000">
        <w:trPr>
          <w:cantSplit/>
          <w:tblHeader/>
        </w:trPr>
        <w:tc>
          <w:tcPr>
            <w:tcW w:w="3983" w:type="pct"/>
            <w:vAlign w:val="center"/>
          </w:tcPr>
          <w:p w:rsidR="00000000" w:rsidRDefault="00000000">
            <w:pPr>
              <w:jc w:val="center"/>
              <w:rPr>
                <w:bCs/>
              </w:rPr>
            </w:pPr>
            <w:r>
              <w:rPr>
                <w:bCs/>
              </w:rPr>
              <w:t>Informe refundido de asuntos juveniles del Tribunal de Menores</w:t>
            </w:r>
          </w:p>
        </w:tc>
        <w:tc>
          <w:tcPr>
            <w:tcW w:w="1017" w:type="pct"/>
            <w:vAlign w:val="center"/>
          </w:tcPr>
          <w:p w:rsidR="00000000" w:rsidRDefault="00000000">
            <w:pPr>
              <w:jc w:val="center"/>
              <w:rPr>
                <w:bCs/>
              </w:rPr>
            </w:pPr>
            <w:r>
              <w:rPr>
                <w:bCs/>
              </w:rPr>
              <w:t>Año objeto del informe 2003</w:t>
            </w:r>
          </w:p>
        </w:tc>
      </w:tr>
      <w:tr w:rsidR="00000000">
        <w:tc>
          <w:tcPr>
            <w:tcW w:w="3983" w:type="pct"/>
          </w:tcPr>
          <w:p w:rsidR="00000000" w:rsidRDefault="00000000">
            <w:r>
              <w:t>En curso desde el año anterior (2002)</w:t>
            </w:r>
          </w:p>
        </w:tc>
        <w:tc>
          <w:tcPr>
            <w:tcW w:w="1017" w:type="pct"/>
          </w:tcPr>
          <w:p w:rsidR="00000000" w:rsidRDefault="00000000">
            <w:pPr>
              <w:ind w:right="788"/>
              <w:jc w:val="right"/>
              <w:rPr>
                <w:lang w:val="es-ES_tradnl"/>
              </w:rPr>
            </w:pPr>
            <w:r>
              <w:rPr>
                <w:lang w:val="es-ES_tradnl"/>
              </w:rPr>
              <w:t>3</w:t>
            </w:r>
          </w:p>
        </w:tc>
      </w:tr>
      <w:tr w:rsidR="00000000">
        <w:tc>
          <w:tcPr>
            <w:tcW w:w="3983" w:type="pct"/>
          </w:tcPr>
          <w:p w:rsidR="00000000" w:rsidRDefault="00000000">
            <w:r>
              <w:t>Nuevos cargos presentados por el fiscal</w:t>
            </w:r>
          </w:p>
        </w:tc>
        <w:tc>
          <w:tcPr>
            <w:tcW w:w="1017" w:type="pct"/>
          </w:tcPr>
          <w:p w:rsidR="00000000" w:rsidRDefault="00000000">
            <w:pPr>
              <w:ind w:right="788"/>
              <w:jc w:val="right"/>
              <w:rPr>
                <w:lang w:val="es-ES_tradnl"/>
              </w:rPr>
            </w:pPr>
            <w:r>
              <w:rPr>
                <w:lang w:val="es-ES_tradnl"/>
              </w:rPr>
              <w:t>78</w:t>
            </w:r>
          </w:p>
        </w:tc>
      </w:tr>
      <w:tr w:rsidR="00000000">
        <w:tc>
          <w:tcPr>
            <w:tcW w:w="3983" w:type="pct"/>
          </w:tcPr>
          <w:p w:rsidR="00000000" w:rsidRDefault="00000000">
            <w:r>
              <w:t>Nuevos cargos presentados por particulares o por su representante</w:t>
            </w:r>
          </w:p>
        </w:tc>
        <w:tc>
          <w:tcPr>
            <w:tcW w:w="1017" w:type="pct"/>
          </w:tcPr>
          <w:p w:rsidR="00000000" w:rsidRDefault="00000000">
            <w:pPr>
              <w:ind w:right="788"/>
              <w:jc w:val="right"/>
              <w:rPr>
                <w:lang w:val="es-ES_tradnl"/>
              </w:rPr>
            </w:pPr>
            <w:r>
              <w:rPr>
                <w:lang w:val="es-ES_tradnl"/>
              </w:rPr>
              <w:t>0</w:t>
            </w:r>
          </w:p>
        </w:tc>
      </w:tr>
      <w:tr w:rsidR="00000000">
        <w:tc>
          <w:tcPr>
            <w:tcW w:w="3983" w:type="pct"/>
          </w:tcPr>
          <w:p w:rsidR="00000000" w:rsidRDefault="00000000">
            <w:pPr>
              <w:rPr>
                <w:bCs/>
                <w:lang w:val="es-ES_tradnl"/>
              </w:rPr>
            </w:pPr>
            <w:r>
              <w:rPr>
                <w:bCs/>
                <w:lang w:val="es-ES_tradnl"/>
              </w:rPr>
              <w:tab/>
              <w:t>Total</w:t>
            </w:r>
          </w:p>
        </w:tc>
        <w:tc>
          <w:tcPr>
            <w:tcW w:w="1017" w:type="pct"/>
          </w:tcPr>
          <w:p w:rsidR="00000000" w:rsidRDefault="00000000">
            <w:pPr>
              <w:ind w:right="788"/>
              <w:jc w:val="right"/>
              <w:rPr>
                <w:bCs/>
                <w:lang w:val="es-ES_tradnl"/>
              </w:rPr>
            </w:pPr>
            <w:r>
              <w:rPr>
                <w:bCs/>
                <w:lang w:val="es-ES_tradnl"/>
              </w:rPr>
              <w:t>81</w:t>
            </w:r>
          </w:p>
        </w:tc>
      </w:tr>
      <w:tr w:rsidR="00000000">
        <w:trPr>
          <w:trHeight w:val="244"/>
        </w:trPr>
        <w:tc>
          <w:tcPr>
            <w:tcW w:w="3983" w:type="pct"/>
          </w:tcPr>
          <w:p w:rsidR="00000000" w:rsidRDefault="00000000">
            <w:r>
              <w:t>Causas sustanciadas:</w:t>
            </w:r>
          </w:p>
        </w:tc>
        <w:tc>
          <w:tcPr>
            <w:tcW w:w="1017" w:type="pct"/>
          </w:tcPr>
          <w:p w:rsidR="00000000" w:rsidRDefault="00000000">
            <w:pPr>
              <w:ind w:right="788"/>
              <w:jc w:val="right"/>
            </w:pPr>
          </w:p>
        </w:tc>
      </w:tr>
      <w:tr w:rsidR="00000000">
        <w:tc>
          <w:tcPr>
            <w:tcW w:w="3983" w:type="pct"/>
          </w:tcPr>
          <w:p w:rsidR="00000000" w:rsidRDefault="00000000">
            <w:pPr>
              <w:ind w:left="284"/>
            </w:pPr>
            <w:r>
              <w:t>Resoluciones judiciales en materia penal</w:t>
            </w:r>
          </w:p>
        </w:tc>
        <w:tc>
          <w:tcPr>
            <w:tcW w:w="1017" w:type="pct"/>
          </w:tcPr>
          <w:p w:rsidR="00000000" w:rsidRDefault="00000000">
            <w:pPr>
              <w:ind w:right="788"/>
              <w:jc w:val="right"/>
              <w:rPr>
                <w:lang w:val="es-ES_tradnl"/>
              </w:rPr>
            </w:pPr>
            <w:r>
              <w:rPr>
                <w:lang w:val="es-ES_tradnl"/>
              </w:rPr>
              <w:t>42</w:t>
            </w:r>
          </w:p>
        </w:tc>
      </w:tr>
      <w:tr w:rsidR="00000000">
        <w:tc>
          <w:tcPr>
            <w:tcW w:w="3983" w:type="pct"/>
          </w:tcPr>
          <w:p w:rsidR="00000000" w:rsidRDefault="00000000">
            <w:pPr>
              <w:ind w:left="284"/>
            </w:pPr>
            <w:r>
              <w:t>Condenas pronunciadas por un juez</w:t>
            </w:r>
          </w:p>
        </w:tc>
        <w:tc>
          <w:tcPr>
            <w:tcW w:w="1017" w:type="pct"/>
          </w:tcPr>
          <w:p w:rsidR="00000000" w:rsidRDefault="00000000">
            <w:pPr>
              <w:ind w:right="788"/>
              <w:jc w:val="right"/>
              <w:rPr>
                <w:lang w:val="es-ES_tradnl"/>
              </w:rPr>
            </w:pPr>
            <w:r>
              <w:rPr>
                <w:lang w:val="es-ES_tradnl"/>
              </w:rPr>
              <w:t>19</w:t>
            </w:r>
          </w:p>
        </w:tc>
      </w:tr>
      <w:tr w:rsidR="00000000">
        <w:tc>
          <w:tcPr>
            <w:tcW w:w="3983" w:type="pct"/>
          </w:tcPr>
          <w:p w:rsidR="00000000" w:rsidRDefault="00000000">
            <w:pPr>
              <w:ind w:left="284"/>
            </w:pPr>
            <w:r>
              <w:t>Condenas pronunciadas por un tribunal colegiado</w:t>
            </w:r>
          </w:p>
        </w:tc>
        <w:tc>
          <w:tcPr>
            <w:tcW w:w="1017" w:type="pct"/>
          </w:tcPr>
          <w:p w:rsidR="00000000" w:rsidRDefault="00000000">
            <w:pPr>
              <w:ind w:right="788"/>
              <w:jc w:val="right"/>
              <w:rPr>
                <w:lang w:val="es-ES_tradnl"/>
              </w:rPr>
            </w:pPr>
            <w:r>
              <w:rPr>
                <w:lang w:val="es-ES_tradnl"/>
              </w:rPr>
              <w:t>3</w:t>
            </w:r>
          </w:p>
        </w:tc>
      </w:tr>
      <w:tr w:rsidR="00000000">
        <w:tc>
          <w:tcPr>
            <w:tcW w:w="3983" w:type="pct"/>
          </w:tcPr>
          <w:p w:rsidR="00000000" w:rsidRDefault="00000000">
            <w:pPr>
              <w:ind w:left="284"/>
            </w:pPr>
            <w:r>
              <w:t>Suspensiones con arreglo al artículo 22 del Código de Procedimiento Penal (StPO)</w:t>
            </w:r>
          </w:p>
        </w:tc>
        <w:tc>
          <w:tcPr>
            <w:tcW w:w="1017" w:type="pct"/>
            <w:vAlign w:val="bottom"/>
          </w:tcPr>
          <w:p w:rsidR="00000000" w:rsidRDefault="00000000">
            <w:pPr>
              <w:ind w:right="788"/>
              <w:jc w:val="right"/>
              <w:rPr>
                <w:lang w:val="es-ES_tradnl"/>
              </w:rPr>
            </w:pPr>
            <w:r>
              <w:rPr>
                <w:lang w:val="es-ES_tradnl"/>
              </w:rPr>
              <w:t>2</w:t>
            </w:r>
          </w:p>
        </w:tc>
      </w:tr>
      <w:tr w:rsidR="00000000">
        <w:tc>
          <w:tcPr>
            <w:tcW w:w="3983" w:type="pct"/>
          </w:tcPr>
          <w:p w:rsidR="00000000" w:rsidRDefault="00000000">
            <w:pPr>
              <w:ind w:left="284"/>
            </w:pPr>
            <w:r>
              <w:t>Causas archivadas con arreglo a los artículos 283, 294 y 296 del Código de Procedimiento Penal</w:t>
            </w:r>
          </w:p>
        </w:tc>
        <w:tc>
          <w:tcPr>
            <w:tcW w:w="1017" w:type="pct"/>
            <w:vAlign w:val="bottom"/>
          </w:tcPr>
          <w:p w:rsidR="00000000" w:rsidRDefault="00000000">
            <w:pPr>
              <w:ind w:right="788"/>
              <w:jc w:val="right"/>
              <w:rPr>
                <w:lang w:val="es-ES_tradnl"/>
              </w:rPr>
            </w:pPr>
            <w:r>
              <w:rPr>
                <w:lang w:val="es-ES_tradnl"/>
              </w:rPr>
              <w:t>0</w:t>
            </w:r>
          </w:p>
        </w:tc>
      </w:tr>
      <w:tr w:rsidR="00000000">
        <w:tc>
          <w:tcPr>
            <w:tcW w:w="3983" w:type="pct"/>
          </w:tcPr>
          <w:p w:rsidR="00000000" w:rsidRDefault="00000000">
            <w:pPr>
              <w:ind w:left="284"/>
            </w:pPr>
            <w:r>
              <w:t>Otras causas sustanciadas</w:t>
            </w:r>
          </w:p>
        </w:tc>
        <w:tc>
          <w:tcPr>
            <w:tcW w:w="1017" w:type="pct"/>
          </w:tcPr>
          <w:p w:rsidR="00000000" w:rsidRDefault="00000000">
            <w:pPr>
              <w:ind w:right="788"/>
              <w:jc w:val="right"/>
              <w:rPr>
                <w:lang w:val="es-ES_tradnl"/>
              </w:rPr>
            </w:pPr>
            <w:r>
              <w:rPr>
                <w:lang w:val="es-ES_tradnl"/>
              </w:rPr>
              <w:t>8</w:t>
            </w:r>
          </w:p>
        </w:tc>
      </w:tr>
      <w:tr w:rsidR="00000000">
        <w:tc>
          <w:tcPr>
            <w:tcW w:w="3983" w:type="pct"/>
          </w:tcPr>
          <w:p w:rsidR="00000000" w:rsidRDefault="00000000">
            <w:pPr>
              <w:rPr>
                <w:bCs/>
              </w:rPr>
            </w:pPr>
            <w:r>
              <w:rPr>
                <w:bCs/>
              </w:rPr>
              <w:tab/>
              <w:t>Total de causas sustanciadas</w:t>
            </w:r>
          </w:p>
        </w:tc>
        <w:tc>
          <w:tcPr>
            <w:tcW w:w="1017" w:type="pct"/>
          </w:tcPr>
          <w:p w:rsidR="00000000" w:rsidRDefault="00000000">
            <w:pPr>
              <w:ind w:right="788"/>
              <w:jc w:val="right"/>
              <w:rPr>
                <w:bCs/>
                <w:lang w:val="es-ES_tradnl"/>
              </w:rPr>
            </w:pPr>
            <w:r>
              <w:rPr>
                <w:bCs/>
                <w:lang w:val="es-ES_tradnl"/>
              </w:rPr>
              <w:t>74</w:t>
            </w:r>
          </w:p>
        </w:tc>
      </w:tr>
      <w:tr w:rsidR="00000000">
        <w:tc>
          <w:tcPr>
            <w:tcW w:w="3983" w:type="pct"/>
          </w:tcPr>
          <w:p w:rsidR="00000000" w:rsidRDefault="00000000">
            <w:r>
              <w:t>En curso a 31 de diciembre de 2003</w:t>
            </w:r>
          </w:p>
        </w:tc>
        <w:tc>
          <w:tcPr>
            <w:tcW w:w="1017" w:type="pct"/>
          </w:tcPr>
          <w:p w:rsidR="00000000" w:rsidRDefault="00000000">
            <w:pPr>
              <w:ind w:right="788"/>
              <w:jc w:val="right"/>
            </w:pPr>
            <w:r>
              <w:t>7</w:t>
            </w:r>
          </w:p>
        </w:tc>
      </w:tr>
    </w:tbl>
    <w:p w:rsidR="00000000" w:rsidRDefault="00000000">
      <w:pPr>
        <w:spacing w:before="120" w:after="1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4"/>
        <w:gridCol w:w="1947"/>
      </w:tblGrid>
      <w:tr w:rsidR="00000000">
        <w:trPr>
          <w:cantSplit/>
        </w:trPr>
        <w:tc>
          <w:tcPr>
            <w:tcW w:w="3983" w:type="pct"/>
            <w:vAlign w:val="center"/>
          </w:tcPr>
          <w:p w:rsidR="00000000" w:rsidRDefault="00000000">
            <w:pPr>
              <w:jc w:val="center"/>
              <w:rPr>
                <w:bCs/>
              </w:rPr>
            </w:pPr>
            <w:r>
              <w:rPr>
                <w:bCs/>
              </w:rPr>
              <w:t>Informe refundido de asuntos juveniles del Tribunal de Menores</w:t>
            </w:r>
          </w:p>
        </w:tc>
        <w:tc>
          <w:tcPr>
            <w:tcW w:w="1017" w:type="pct"/>
            <w:vAlign w:val="center"/>
          </w:tcPr>
          <w:p w:rsidR="00000000" w:rsidRDefault="00000000">
            <w:pPr>
              <w:jc w:val="center"/>
              <w:rPr>
                <w:bCs/>
              </w:rPr>
            </w:pPr>
            <w:r>
              <w:rPr>
                <w:bCs/>
              </w:rPr>
              <w:t>Año objeto del informe 2004</w:t>
            </w:r>
          </w:p>
        </w:tc>
      </w:tr>
      <w:tr w:rsidR="00000000">
        <w:tc>
          <w:tcPr>
            <w:tcW w:w="3983" w:type="pct"/>
          </w:tcPr>
          <w:p w:rsidR="00000000" w:rsidRDefault="00000000">
            <w:pPr>
              <w:rPr>
                <w:bCs/>
                <w:sz w:val="20"/>
                <w:szCs w:val="20"/>
                <w:lang w:eastAsia="fr-FR"/>
              </w:rPr>
            </w:pPr>
            <w:r>
              <w:rPr>
                <w:bCs/>
              </w:rPr>
              <w:t>En curso desde el año anterior (2003)</w:t>
            </w:r>
          </w:p>
        </w:tc>
        <w:tc>
          <w:tcPr>
            <w:tcW w:w="1017" w:type="pct"/>
          </w:tcPr>
          <w:p w:rsidR="00000000" w:rsidRDefault="00000000">
            <w:pPr>
              <w:ind w:right="816"/>
              <w:jc w:val="right"/>
              <w:rPr>
                <w:bCs/>
                <w:szCs w:val="20"/>
                <w:lang w:eastAsia="fr-FR"/>
              </w:rPr>
            </w:pPr>
            <w:r>
              <w:rPr>
                <w:bCs/>
              </w:rPr>
              <w:t>7</w:t>
            </w:r>
          </w:p>
        </w:tc>
      </w:tr>
      <w:tr w:rsidR="00000000">
        <w:tc>
          <w:tcPr>
            <w:tcW w:w="3983" w:type="pct"/>
          </w:tcPr>
          <w:p w:rsidR="00000000" w:rsidRDefault="00000000">
            <w:pPr>
              <w:rPr>
                <w:bCs/>
              </w:rPr>
            </w:pPr>
            <w:r>
              <w:rPr>
                <w:bCs/>
              </w:rPr>
              <w:t>Nuevos cargos presentados por el fiscal</w:t>
            </w:r>
          </w:p>
        </w:tc>
        <w:tc>
          <w:tcPr>
            <w:tcW w:w="1017" w:type="pct"/>
          </w:tcPr>
          <w:p w:rsidR="00000000" w:rsidRDefault="00000000">
            <w:pPr>
              <w:ind w:right="816"/>
              <w:jc w:val="right"/>
              <w:rPr>
                <w:bCs/>
                <w:szCs w:val="20"/>
                <w:lang w:eastAsia="fr-FR"/>
              </w:rPr>
            </w:pPr>
            <w:r>
              <w:rPr>
                <w:bCs/>
              </w:rPr>
              <w:t>77</w:t>
            </w:r>
          </w:p>
        </w:tc>
      </w:tr>
      <w:tr w:rsidR="00000000">
        <w:tc>
          <w:tcPr>
            <w:tcW w:w="3983" w:type="pct"/>
          </w:tcPr>
          <w:p w:rsidR="00000000" w:rsidRDefault="00000000">
            <w:pPr>
              <w:rPr>
                <w:bCs/>
              </w:rPr>
            </w:pPr>
            <w:r>
              <w:rPr>
                <w:bCs/>
              </w:rPr>
              <w:t>Nuevos cargos presentados por particulares o por su representante</w:t>
            </w:r>
          </w:p>
        </w:tc>
        <w:tc>
          <w:tcPr>
            <w:tcW w:w="1017" w:type="pct"/>
          </w:tcPr>
          <w:p w:rsidR="00000000" w:rsidRDefault="00000000">
            <w:pPr>
              <w:ind w:right="816"/>
              <w:jc w:val="right"/>
              <w:rPr>
                <w:bCs/>
                <w:szCs w:val="20"/>
                <w:lang w:eastAsia="fr-FR"/>
              </w:rPr>
            </w:pPr>
            <w:r>
              <w:rPr>
                <w:bCs/>
              </w:rPr>
              <w:t>0</w:t>
            </w:r>
          </w:p>
        </w:tc>
      </w:tr>
      <w:tr w:rsidR="00000000">
        <w:tc>
          <w:tcPr>
            <w:tcW w:w="3983" w:type="pct"/>
          </w:tcPr>
          <w:p w:rsidR="00000000" w:rsidRDefault="00000000">
            <w:pPr>
              <w:rPr>
                <w:bCs/>
              </w:rPr>
            </w:pPr>
            <w:r>
              <w:rPr>
                <w:bCs/>
              </w:rPr>
              <w:tab/>
              <w:t>Total</w:t>
            </w:r>
          </w:p>
        </w:tc>
        <w:tc>
          <w:tcPr>
            <w:tcW w:w="1017" w:type="pct"/>
          </w:tcPr>
          <w:p w:rsidR="00000000" w:rsidRDefault="00000000">
            <w:pPr>
              <w:ind w:right="816"/>
              <w:jc w:val="right"/>
              <w:rPr>
                <w:bCs/>
                <w:szCs w:val="20"/>
                <w:lang w:eastAsia="fr-FR"/>
              </w:rPr>
            </w:pPr>
            <w:r>
              <w:rPr>
                <w:bCs/>
              </w:rPr>
              <w:t>84</w:t>
            </w:r>
          </w:p>
        </w:tc>
      </w:tr>
      <w:tr w:rsidR="00000000">
        <w:tc>
          <w:tcPr>
            <w:tcW w:w="3983" w:type="pct"/>
          </w:tcPr>
          <w:p w:rsidR="00000000" w:rsidRDefault="00000000">
            <w:pPr>
              <w:rPr>
                <w:bCs/>
              </w:rPr>
            </w:pPr>
            <w:r>
              <w:rPr>
                <w:bCs/>
              </w:rPr>
              <w:t>Causas sustanciadas:</w:t>
            </w:r>
          </w:p>
        </w:tc>
        <w:tc>
          <w:tcPr>
            <w:tcW w:w="1017" w:type="pct"/>
          </w:tcPr>
          <w:p w:rsidR="00000000" w:rsidRDefault="00000000">
            <w:pPr>
              <w:ind w:right="816"/>
              <w:jc w:val="right"/>
              <w:rPr>
                <w:bCs/>
                <w:szCs w:val="20"/>
                <w:lang w:eastAsia="fr-FR"/>
              </w:rPr>
            </w:pPr>
          </w:p>
        </w:tc>
      </w:tr>
      <w:tr w:rsidR="00000000">
        <w:tc>
          <w:tcPr>
            <w:tcW w:w="3983" w:type="pct"/>
          </w:tcPr>
          <w:p w:rsidR="00000000" w:rsidRDefault="00000000">
            <w:pPr>
              <w:ind w:left="284"/>
              <w:rPr>
                <w:bCs/>
              </w:rPr>
            </w:pPr>
            <w:r>
              <w:t>Resoluciones</w:t>
            </w:r>
            <w:r>
              <w:rPr>
                <w:bCs/>
              </w:rPr>
              <w:t xml:space="preserve"> judiciales en materia penal</w:t>
            </w:r>
          </w:p>
        </w:tc>
        <w:tc>
          <w:tcPr>
            <w:tcW w:w="1017" w:type="pct"/>
          </w:tcPr>
          <w:p w:rsidR="00000000" w:rsidRDefault="00000000">
            <w:pPr>
              <w:ind w:right="816"/>
              <w:jc w:val="right"/>
              <w:rPr>
                <w:bCs/>
                <w:szCs w:val="20"/>
                <w:lang w:eastAsia="fr-FR"/>
              </w:rPr>
            </w:pPr>
            <w:r>
              <w:rPr>
                <w:bCs/>
              </w:rPr>
              <w:t>29</w:t>
            </w:r>
          </w:p>
        </w:tc>
      </w:tr>
      <w:tr w:rsidR="00000000">
        <w:tc>
          <w:tcPr>
            <w:tcW w:w="3983" w:type="pct"/>
          </w:tcPr>
          <w:p w:rsidR="00000000" w:rsidRDefault="00000000">
            <w:pPr>
              <w:ind w:left="284"/>
              <w:rPr>
                <w:bCs/>
              </w:rPr>
            </w:pPr>
            <w:r>
              <w:t>Condenas</w:t>
            </w:r>
            <w:r>
              <w:rPr>
                <w:bCs/>
              </w:rPr>
              <w:t xml:space="preserve"> pronunciadas por un juez</w:t>
            </w:r>
          </w:p>
        </w:tc>
        <w:tc>
          <w:tcPr>
            <w:tcW w:w="1017" w:type="pct"/>
          </w:tcPr>
          <w:p w:rsidR="00000000" w:rsidRDefault="00000000">
            <w:pPr>
              <w:ind w:right="816"/>
              <w:jc w:val="right"/>
              <w:rPr>
                <w:bCs/>
                <w:szCs w:val="20"/>
                <w:lang w:eastAsia="fr-FR"/>
              </w:rPr>
            </w:pPr>
            <w:r>
              <w:rPr>
                <w:bCs/>
              </w:rPr>
              <w:t>26</w:t>
            </w:r>
          </w:p>
        </w:tc>
      </w:tr>
      <w:tr w:rsidR="00000000">
        <w:tc>
          <w:tcPr>
            <w:tcW w:w="3983" w:type="pct"/>
          </w:tcPr>
          <w:p w:rsidR="00000000" w:rsidRDefault="00000000">
            <w:pPr>
              <w:ind w:left="284"/>
              <w:rPr>
                <w:bCs/>
              </w:rPr>
            </w:pPr>
            <w:r>
              <w:t>Condenas</w:t>
            </w:r>
            <w:r>
              <w:rPr>
                <w:bCs/>
              </w:rPr>
              <w:t xml:space="preserve"> pronunciadas por un tribunal colegiado</w:t>
            </w:r>
          </w:p>
        </w:tc>
        <w:tc>
          <w:tcPr>
            <w:tcW w:w="1017" w:type="pct"/>
          </w:tcPr>
          <w:p w:rsidR="00000000" w:rsidRDefault="00000000">
            <w:pPr>
              <w:ind w:right="816"/>
              <w:jc w:val="right"/>
              <w:rPr>
                <w:bCs/>
                <w:szCs w:val="20"/>
                <w:lang w:eastAsia="fr-FR"/>
              </w:rPr>
            </w:pPr>
            <w:r>
              <w:rPr>
                <w:bCs/>
              </w:rPr>
              <w:t>2</w:t>
            </w:r>
          </w:p>
        </w:tc>
      </w:tr>
      <w:tr w:rsidR="00000000">
        <w:tc>
          <w:tcPr>
            <w:tcW w:w="3983" w:type="pct"/>
          </w:tcPr>
          <w:p w:rsidR="00000000" w:rsidRDefault="00000000">
            <w:pPr>
              <w:ind w:left="284"/>
              <w:rPr>
                <w:bCs/>
              </w:rPr>
            </w:pPr>
            <w:r>
              <w:t>Suspensiones</w:t>
            </w:r>
            <w:r>
              <w:rPr>
                <w:bCs/>
              </w:rPr>
              <w:t xml:space="preserve"> con arreglo al artículo 22 del Código de Procedimiento Penal (StPO)</w:t>
            </w:r>
          </w:p>
        </w:tc>
        <w:tc>
          <w:tcPr>
            <w:tcW w:w="1017" w:type="pct"/>
            <w:vAlign w:val="bottom"/>
          </w:tcPr>
          <w:p w:rsidR="00000000" w:rsidRDefault="00000000">
            <w:pPr>
              <w:ind w:right="816"/>
              <w:jc w:val="right"/>
              <w:rPr>
                <w:bCs/>
                <w:szCs w:val="20"/>
                <w:lang w:eastAsia="fr-FR"/>
              </w:rPr>
            </w:pPr>
            <w:r>
              <w:rPr>
                <w:bCs/>
              </w:rPr>
              <w:t>4</w:t>
            </w:r>
          </w:p>
        </w:tc>
      </w:tr>
      <w:tr w:rsidR="00000000">
        <w:tc>
          <w:tcPr>
            <w:tcW w:w="3983" w:type="pct"/>
          </w:tcPr>
          <w:p w:rsidR="00000000" w:rsidRDefault="00000000">
            <w:pPr>
              <w:ind w:left="284"/>
              <w:rPr>
                <w:bCs/>
              </w:rPr>
            </w:pPr>
            <w:r>
              <w:rPr>
                <w:bCs/>
              </w:rPr>
              <w:t xml:space="preserve">Causa </w:t>
            </w:r>
            <w:r>
              <w:t>archivadas</w:t>
            </w:r>
            <w:r>
              <w:rPr>
                <w:bCs/>
              </w:rPr>
              <w:t xml:space="preserve"> con arreglo a los artículos 283, 294 y 296 del Código de Procedimiento Penal</w:t>
            </w:r>
          </w:p>
        </w:tc>
        <w:tc>
          <w:tcPr>
            <w:tcW w:w="1017" w:type="pct"/>
            <w:vAlign w:val="bottom"/>
          </w:tcPr>
          <w:p w:rsidR="00000000" w:rsidRDefault="00000000">
            <w:pPr>
              <w:ind w:right="816"/>
              <w:jc w:val="right"/>
              <w:rPr>
                <w:bCs/>
                <w:szCs w:val="20"/>
                <w:lang w:eastAsia="fr-FR"/>
              </w:rPr>
            </w:pPr>
            <w:r>
              <w:rPr>
                <w:bCs/>
              </w:rPr>
              <w:t>2</w:t>
            </w:r>
          </w:p>
        </w:tc>
      </w:tr>
      <w:tr w:rsidR="00000000">
        <w:tc>
          <w:tcPr>
            <w:tcW w:w="3983" w:type="pct"/>
          </w:tcPr>
          <w:p w:rsidR="00000000" w:rsidRDefault="00000000">
            <w:pPr>
              <w:ind w:left="284"/>
              <w:rPr>
                <w:bCs/>
              </w:rPr>
            </w:pPr>
            <w:r>
              <w:rPr>
                <w:bCs/>
              </w:rPr>
              <w:t xml:space="preserve">Otras </w:t>
            </w:r>
            <w:r>
              <w:t>causas</w:t>
            </w:r>
            <w:r>
              <w:rPr>
                <w:bCs/>
              </w:rPr>
              <w:t xml:space="preserve"> sustanciadas</w:t>
            </w:r>
          </w:p>
        </w:tc>
        <w:tc>
          <w:tcPr>
            <w:tcW w:w="1017" w:type="pct"/>
          </w:tcPr>
          <w:p w:rsidR="00000000" w:rsidRDefault="00000000">
            <w:pPr>
              <w:ind w:right="816"/>
              <w:jc w:val="right"/>
              <w:rPr>
                <w:bCs/>
                <w:szCs w:val="20"/>
                <w:lang w:eastAsia="fr-FR"/>
              </w:rPr>
            </w:pPr>
            <w:r>
              <w:rPr>
                <w:bCs/>
              </w:rPr>
              <w:t>14</w:t>
            </w:r>
          </w:p>
        </w:tc>
      </w:tr>
      <w:tr w:rsidR="00000000">
        <w:tc>
          <w:tcPr>
            <w:tcW w:w="3983" w:type="pct"/>
          </w:tcPr>
          <w:p w:rsidR="00000000" w:rsidRDefault="00000000">
            <w:pPr>
              <w:rPr>
                <w:bCs/>
              </w:rPr>
            </w:pPr>
            <w:r>
              <w:rPr>
                <w:bCs/>
              </w:rPr>
              <w:tab/>
              <w:t>Total de causas sustanciadas</w:t>
            </w:r>
          </w:p>
        </w:tc>
        <w:tc>
          <w:tcPr>
            <w:tcW w:w="1017" w:type="pct"/>
          </w:tcPr>
          <w:p w:rsidR="00000000" w:rsidRDefault="00000000">
            <w:pPr>
              <w:ind w:right="816"/>
              <w:jc w:val="right"/>
              <w:rPr>
                <w:bCs/>
                <w:szCs w:val="20"/>
                <w:lang w:eastAsia="fr-FR"/>
              </w:rPr>
            </w:pPr>
            <w:r>
              <w:rPr>
                <w:bCs/>
              </w:rPr>
              <w:t>77</w:t>
            </w:r>
          </w:p>
        </w:tc>
      </w:tr>
      <w:tr w:rsidR="00000000">
        <w:tc>
          <w:tcPr>
            <w:tcW w:w="3983" w:type="pct"/>
          </w:tcPr>
          <w:p w:rsidR="00000000" w:rsidRDefault="00000000">
            <w:pPr>
              <w:rPr>
                <w:bCs/>
                <w:sz w:val="20"/>
                <w:szCs w:val="20"/>
                <w:lang w:eastAsia="fr-FR"/>
              </w:rPr>
            </w:pPr>
            <w:r>
              <w:rPr>
                <w:bCs/>
              </w:rPr>
              <w:t>En curso al 31 de diciembre de 2004</w:t>
            </w:r>
          </w:p>
        </w:tc>
        <w:tc>
          <w:tcPr>
            <w:tcW w:w="1017" w:type="pct"/>
          </w:tcPr>
          <w:p w:rsidR="00000000" w:rsidRDefault="00000000">
            <w:pPr>
              <w:ind w:right="816"/>
              <w:jc w:val="right"/>
              <w:rPr>
                <w:bCs/>
                <w:szCs w:val="20"/>
                <w:lang w:eastAsia="fr-FR"/>
              </w:rPr>
            </w:pPr>
            <w:r>
              <w:rPr>
                <w:bCs/>
              </w:rPr>
              <w:t>7</w:t>
            </w:r>
          </w:p>
        </w:tc>
      </w:tr>
    </w:tbl>
    <w:p w:rsidR="00000000" w:rsidRDefault="00000000">
      <w:pPr>
        <w:spacing w:before="480" w:after="240"/>
        <w:rPr>
          <w:b/>
          <w:bCs/>
        </w:rPr>
      </w:pPr>
      <w:r>
        <w:rPr>
          <w:b/>
          <w:bCs/>
        </w:rPr>
        <w:t>9c)</w:t>
      </w:r>
      <w:r>
        <w:rPr>
          <w:b/>
          <w:bCs/>
        </w:rPr>
        <w:tab/>
        <w:t>Personas menores de 18 años que han sido juzgadas como adultos</w:t>
      </w:r>
    </w:p>
    <w:p w:rsidR="00000000" w:rsidRDefault="00000000">
      <w:pPr>
        <w:spacing w:after="240"/>
      </w:pPr>
      <w:r>
        <w:tab/>
        <w:t>Con arreglo al derecho de Liechtenstein, no se juzga a los menores de 18 años como adultos, sino que reciben un tratamiento distinto de conformidad con la Ley del Tribunal de Menores (LGB1. 1988 Nº 39); además de lo requerido por la justicia penal, deben tenerse en cuenta los aspectos relacionados con el desarrollo del joven, la protección jurídica de los menores y el bienestar de los jóvenes.</w:t>
      </w:r>
    </w:p>
    <w:p w:rsidR="00000000" w:rsidRDefault="00000000">
      <w:pPr>
        <w:spacing w:after="240"/>
        <w:ind w:left="567" w:hanging="567"/>
        <w:rPr>
          <w:b/>
          <w:bCs/>
        </w:rPr>
      </w:pPr>
      <w:r>
        <w:rPr>
          <w:b/>
          <w:bCs/>
        </w:rPr>
        <w:t>9d)</w:t>
      </w:r>
      <w:r>
        <w:rPr>
          <w:b/>
          <w:bCs/>
        </w:rPr>
        <w:tab/>
        <w:t>Personas menores de 18 años detenidas en esas instalaciones y menores detenidos en instalaciones para adultos</w:t>
      </w:r>
    </w:p>
    <w:p w:rsidR="00000000" w:rsidRDefault="00000000">
      <w:pPr>
        <w:spacing w:after="240"/>
      </w:pPr>
      <w:r>
        <w:tab/>
        <w:t>En 2004 y 2005, tres menores permanecieron detenidos por un breve período de tiempo en los calabozos de la policía.  Uno de los detenidos, de 17 años y 9 meses, era un varón de la ex Yugoslavia que se encontraba en situación irregular en Liechtenstein y que permaneció en custodia policial durante dos días en preparación de su devolución a Austria.  Los otros dos detenidos eran ciudadanos de Liechtenstein de 16 y 17 años de edad que pasaron una noche en los calabozos de la policía bajo sospecha de haber cometido un atentado con explosivos.  El Tribunal de Justicia no dictó auto de prisión preventiva contra esos dos jóvenes, por lo que fueron puestos en libertad después de pasar una noche bajo custodia policial.</w:t>
      </w:r>
    </w:p>
    <w:p w:rsidR="00000000" w:rsidRDefault="00000000">
      <w:pPr>
        <w:spacing w:after="240"/>
        <w:ind w:left="567" w:hanging="567"/>
        <w:rPr>
          <w:b/>
          <w:bCs/>
        </w:rPr>
      </w:pPr>
      <w:r>
        <w:rPr>
          <w:b/>
          <w:bCs/>
        </w:rPr>
        <w:t>9e)</w:t>
      </w:r>
      <w:r>
        <w:rPr>
          <w:b/>
          <w:bCs/>
        </w:rPr>
        <w:tab/>
        <w:t>Personas menores de 18 años mantenidas en detención preventiva y duración media de la detención</w:t>
      </w:r>
    </w:p>
    <w:p w:rsidR="00000000" w:rsidRDefault="00000000">
      <w:pPr>
        <w:spacing w:after="240"/>
      </w:pPr>
      <w:r>
        <w:tab/>
        <w:t>En 2004 no había ningún menor ni adolescente en prisión preventiva.</w:t>
      </w:r>
    </w:p>
    <w:p w:rsidR="00000000" w:rsidRDefault="00000000">
      <w:pPr>
        <w:spacing w:after="240"/>
        <w:ind w:left="567" w:hanging="567"/>
        <w:rPr>
          <w:b/>
          <w:bCs/>
        </w:rPr>
      </w:pPr>
      <w:r>
        <w:rPr>
          <w:b/>
          <w:bCs/>
        </w:rPr>
        <w:t>9f)</w:t>
      </w:r>
      <w:r>
        <w:rPr>
          <w:b/>
          <w:bCs/>
        </w:rPr>
        <w:tab/>
        <w:t>Casos denunciados de abuso y malos tratos de personas menores de 18 años durante su detención y encarcelamiento</w:t>
      </w:r>
    </w:p>
    <w:p w:rsidR="00000000" w:rsidRDefault="00000000">
      <w:pPr>
        <w:spacing w:after="240"/>
      </w:pPr>
      <w:r>
        <w:tab/>
        <w:t>La Policía Nacional no tiene constancia de ningún caso de abusos ni de malos tratos de menores de 18 años detenidos en Liechtenstein.</w:t>
      </w:r>
    </w:p>
    <w:p w:rsidR="00000000" w:rsidRDefault="00000000">
      <w:pPr>
        <w:spacing w:after="240"/>
        <w:ind w:left="567" w:hanging="567"/>
        <w:rPr>
          <w:b/>
          <w:bCs/>
        </w:rPr>
      </w:pPr>
      <w:r>
        <w:rPr>
          <w:b/>
          <w:bCs/>
        </w:rPr>
        <w:t>10.</w:t>
      </w:r>
      <w:r>
        <w:rPr>
          <w:b/>
          <w:bCs/>
        </w:rPr>
        <w:tab/>
        <w:t>Con referencia a las medidas especiales de protección, sírvanse proporcionar estadísticas (en particular por sexo, edad, zonas urbanas y rurales) correspondientes a los años 2004 y, en su caso, 2005, sobre:</w:t>
      </w:r>
    </w:p>
    <w:p w:rsidR="00000000" w:rsidRDefault="00000000">
      <w:pPr>
        <w:spacing w:after="240"/>
        <w:ind w:left="567" w:hanging="567"/>
        <w:rPr>
          <w:b/>
          <w:bCs/>
        </w:rPr>
      </w:pPr>
      <w:r>
        <w:rPr>
          <w:b/>
          <w:bCs/>
        </w:rPr>
        <w:t>10a)</w:t>
      </w:r>
      <w:r>
        <w:rPr>
          <w:b/>
          <w:bCs/>
        </w:rPr>
        <w:tab/>
        <w:t>El número de niños afectados por la explotación sexual, en particular la prostitución, la pornografía y la trata</w:t>
      </w:r>
    </w:p>
    <w:p w:rsidR="00000000" w:rsidRDefault="00000000">
      <w:pPr>
        <w:spacing w:after="240"/>
      </w:pPr>
      <w:r>
        <w:tab/>
        <w:t>No se registró en Liechtenstein ningún caso de explotación sexual (con fines comerciales) como la prostitución, la pornografía y la trata.  Se registraron casos de consumo de pornografía infantil en Liechtenstein, pero el material pornográfico había sido producido en el extranjero.</w:t>
      </w:r>
    </w:p>
    <w:p w:rsidR="00000000" w:rsidRDefault="00000000">
      <w:pPr>
        <w:spacing w:after="240"/>
        <w:ind w:left="567" w:hanging="567"/>
        <w:rPr>
          <w:b/>
          <w:bCs/>
        </w:rPr>
      </w:pPr>
      <w:r>
        <w:rPr>
          <w:b/>
          <w:bCs/>
        </w:rPr>
        <w:t>10b)</w:t>
      </w:r>
      <w:r>
        <w:rPr>
          <w:b/>
          <w:bCs/>
        </w:rPr>
        <w:tab/>
        <w:t>El número de niños afectados por la explotación sexual que han recibido ayuda para la recuperación y acompañamiento</w:t>
      </w:r>
    </w:p>
    <w:p w:rsidR="00000000" w:rsidRDefault="00000000">
      <w:pPr>
        <w:spacing w:after="240"/>
      </w:pPr>
      <w:r>
        <w:tab/>
        <w:t>No se ha registrado ningún caso de niño o adolescente afectado en Liechtenstein (véase la cuestión 10a), por lo que no resultó necesario habilitar ninguna medida de rehabilitación especial.</w:t>
      </w:r>
    </w:p>
    <w:p w:rsidR="00000000" w:rsidRDefault="00000000">
      <w:pPr>
        <w:spacing w:after="240"/>
        <w:ind w:left="567" w:hanging="567"/>
        <w:rPr>
          <w:b/>
          <w:bCs/>
        </w:rPr>
      </w:pPr>
      <w:r>
        <w:rPr>
          <w:b/>
          <w:bCs/>
        </w:rPr>
        <w:t>10c)</w:t>
      </w:r>
      <w:r>
        <w:rPr>
          <w:b/>
          <w:bCs/>
        </w:rPr>
        <w:tab/>
        <w:t>El número de menores no acompañados y niños solicitantes de asilo y refugiados, así como el número de niños en espera de ser expulsados</w:t>
      </w:r>
    </w:p>
    <w:p w:rsidR="00000000" w:rsidRDefault="00000000">
      <w:pPr>
        <w:spacing w:after="240"/>
      </w:pPr>
      <w:r>
        <w:tab/>
        <w:t>En 2004 hubo tres casos de menores varones no acompañados.  En lo que se lleva transcurrido de 2005 no se ha registrado ningún caso de menor no acompañado.</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1403"/>
        <w:gridCol w:w="956"/>
        <w:gridCol w:w="1403"/>
      </w:tblGrid>
      <w:tr w:rsidR="00000000">
        <w:trPr>
          <w:trHeight w:val="429"/>
          <w:jc w:val="center"/>
        </w:trPr>
        <w:tc>
          <w:tcPr>
            <w:tcW w:w="0" w:type="auto"/>
            <w:gridSpan w:val="4"/>
            <w:vAlign w:val="center"/>
          </w:tcPr>
          <w:p w:rsidR="00000000" w:rsidRDefault="00000000">
            <w:pPr>
              <w:jc w:val="center"/>
              <w:rPr>
                <w:bCs/>
                <w:szCs w:val="20"/>
                <w:lang w:eastAsia="fr-FR"/>
              </w:rPr>
            </w:pPr>
            <w:r>
              <w:rPr>
                <w:bCs/>
              </w:rPr>
              <w:t>Menores no acompañados - 2004</w:t>
            </w:r>
          </w:p>
        </w:tc>
      </w:tr>
      <w:tr w:rsidR="00000000">
        <w:trPr>
          <w:jc w:val="center"/>
        </w:trPr>
        <w:tc>
          <w:tcPr>
            <w:tcW w:w="0" w:type="auto"/>
          </w:tcPr>
          <w:p w:rsidR="00000000" w:rsidRDefault="00000000">
            <w:pPr>
              <w:jc w:val="center"/>
              <w:rPr>
                <w:bCs/>
                <w:szCs w:val="20"/>
                <w:lang w:val="es-ES_tradnl" w:eastAsia="fr-FR"/>
              </w:rPr>
            </w:pPr>
            <w:r>
              <w:rPr>
                <w:bCs/>
                <w:lang w:val="es-ES_tradnl"/>
              </w:rPr>
              <w:t>País</w:t>
            </w:r>
          </w:p>
        </w:tc>
        <w:tc>
          <w:tcPr>
            <w:tcW w:w="0" w:type="auto"/>
            <w:vAlign w:val="center"/>
          </w:tcPr>
          <w:p w:rsidR="00000000" w:rsidRDefault="00000000">
            <w:pPr>
              <w:jc w:val="center"/>
              <w:rPr>
                <w:bCs/>
                <w:szCs w:val="20"/>
                <w:lang w:eastAsia="fr-FR"/>
              </w:rPr>
            </w:pPr>
            <w:r>
              <w:rPr>
                <w:bCs/>
              </w:rPr>
              <w:t>Tayikistán</w:t>
            </w:r>
          </w:p>
        </w:tc>
        <w:tc>
          <w:tcPr>
            <w:tcW w:w="0" w:type="auto"/>
            <w:vAlign w:val="center"/>
          </w:tcPr>
          <w:p w:rsidR="00000000" w:rsidRDefault="00000000">
            <w:pPr>
              <w:jc w:val="center"/>
              <w:rPr>
                <w:bCs/>
                <w:szCs w:val="20"/>
                <w:lang w:eastAsia="fr-FR"/>
              </w:rPr>
            </w:pPr>
            <w:r>
              <w:rPr>
                <w:bCs/>
              </w:rPr>
              <w:t>China</w:t>
            </w:r>
          </w:p>
        </w:tc>
        <w:tc>
          <w:tcPr>
            <w:tcW w:w="0" w:type="auto"/>
            <w:vAlign w:val="center"/>
          </w:tcPr>
          <w:p w:rsidR="00000000" w:rsidRDefault="00000000">
            <w:pPr>
              <w:jc w:val="center"/>
              <w:rPr>
                <w:bCs/>
                <w:szCs w:val="20"/>
                <w:lang w:eastAsia="fr-FR"/>
              </w:rPr>
            </w:pPr>
            <w:r>
              <w:rPr>
                <w:bCs/>
                <w:lang w:val="es-ES_tradnl"/>
              </w:rPr>
              <w:t>Kazajstán</w:t>
            </w:r>
          </w:p>
        </w:tc>
      </w:tr>
      <w:tr w:rsidR="00000000">
        <w:trPr>
          <w:jc w:val="center"/>
        </w:trPr>
        <w:tc>
          <w:tcPr>
            <w:tcW w:w="0" w:type="auto"/>
          </w:tcPr>
          <w:p w:rsidR="00000000" w:rsidRDefault="00000000">
            <w:pPr>
              <w:rPr>
                <w:bCs/>
                <w:szCs w:val="20"/>
                <w:lang w:eastAsia="fr-FR"/>
              </w:rPr>
            </w:pPr>
            <w:r>
              <w:rPr>
                <w:bCs/>
              </w:rPr>
              <w:t>Etnia</w:t>
            </w:r>
          </w:p>
        </w:tc>
        <w:tc>
          <w:tcPr>
            <w:tcW w:w="0" w:type="auto"/>
            <w:vAlign w:val="center"/>
          </w:tcPr>
          <w:p w:rsidR="00000000" w:rsidRDefault="00000000">
            <w:pPr>
              <w:rPr>
                <w:bCs/>
                <w:szCs w:val="20"/>
                <w:lang w:eastAsia="fr-FR"/>
              </w:rPr>
            </w:pPr>
            <w:r>
              <w:rPr>
                <w:bCs/>
              </w:rPr>
              <w:t>desconocida</w:t>
            </w:r>
          </w:p>
        </w:tc>
        <w:tc>
          <w:tcPr>
            <w:tcW w:w="0" w:type="auto"/>
            <w:vAlign w:val="center"/>
          </w:tcPr>
          <w:p w:rsidR="00000000" w:rsidRDefault="00000000">
            <w:pPr>
              <w:rPr>
                <w:bCs/>
                <w:szCs w:val="20"/>
                <w:lang w:eastAsia="fr-FR"/>
              </w:rPr>
            </w:pPr>
            <w:r>
              <w:rPr>
                <w:bCs/>
              </w:rPr>
              <w:t>igur</w:t>
            </w:r>
          </w:p>
        </w:tc>
        <w:tc>
          <w:tcPr>
            <w:tcW w:w="0" w:type="auto"/>
            <w:vAlign w:val="center"/>
          </w:tcPr>
          <w:p w:rsidR="00000000" w:rsidRDefault="00000000">
            <w:pPr>
              <w:rPr>
                <w:bCs/>
                <w:szCs w:val="20"/>
                <w:lang w:val="es-ES_tradnl" w:eastAsia="fr-FR"/>
              </w:rPr>
            </w:pPr>
            <w:r>
              <w:rPr>
                <w:bCs/>
                <w:lang w:val="es-ES_tradnl"/>
              </w:rPr>
              <w:t>desconocida</w:t>
            </w:r>
          </w:p>
        </w:tc>
      </w:tr>
      <w:tr w:rsidR="00000000">
        <w:trPr>
          <w:jc w:val="center"/>
        </w:trPr>
        <w:tc>
          <w:tcPr>
            <w:tcW w:w="0" w:type="auto"/>
          </w:tcPr>
          <w:p w:rsidR="00000000" w:rsidRDefault="00000000">
            <w:pPr>
              <w:rPr>
                <w:bCs/>
                <w:szCs w:val="20"/>
                <w:lang w:eastAsia="fr-FR"/>
              </w:rPr>
            </w:pPr>
            <w:r>
              <w:rPr>
                <w:bCs/>
              </w:rPr>
              <w:t>Sexo</w:t>
            </w:r>
          </w:p>
        </w:tc>
        <w:tc>
          <w:tcPr>
            <w:tcW w:w="0" w:type="auto"/>
            <w:vAlign w:val="center"/>
          </w:tcPr>
          <w:p w:rsidR="00000000" w:rsidRDefault="00000000">
            <w:pPr>
              <w:rPr>
                <w:bCs/>
                <w:szCs w:val="20"/>
                <w:lang w:eastAsia="fr-FR"/>
              </w:rPr>
            </w:pPr>
            <w:r>
              <w:rPr>
                <w:bCs/>
              </w:rPr>
              <w:t>varón</w:t>
            </w:r>
          </w:p>
        </w:tc>
        <w:tc>
          <w:tcPr>
            <w:tcW w:w="0" w:type="auto"/>
            <w:vAlign w:val="center"/>
          </w:tcPr>
          <w:p w:rsidR="00000000" w:rsidRDefault="00000000">
            <w:pPr>
              <w:rPr>
                <w:bCs/>
                <w:szCs w:val="20"/>
                <w:lang w:eastAsia="fr-FR"/>
              </w:rPr>
            </w:pPr>
            <w:r>
              <w:rPr>
                <w:bCs/>
              </w:rPr>
              <w:t>varón</w:t>
            </w:r>
          </w:p>
        </w:tc>
        <w:tc>
          <w:tcPr>
            <w:tcW w:w="0" w:type="auto"/>
            <w:vAlign w:val="center"/>
          </w:tcPr>
          <w:p w:rsidR="00000000" w:rsidRDefault="00000000">
            <w:pPr>
              <w:rPr>
                <w:bCs/>
                <w:szCs w:val="20"/>
                <w:lang w:val="es-ES_tradnl" w:eastAsia="fr-FR"/>
              </w:rPr>
            </w:pPr>
            <w:r>
              <w:rPr>
                <w:bCs/>
                <w:lang w:val="es-ES_tradnl"/>
              </w:rPr>
              <w:t>varón</w:t>
            </w:r>
          </w:p>
        </w:tc>
      </w:tr>
      <w:tr w:rsidR="00000000">
        <w:trPr>
          <w:jc w:val="center"/>
        </w:trPr>
        <w:tc>
          <w:tcPr>
            <w:tcW w:w="0" w:type="auto"/>
          </w:tcPr>
          <w:p w:rsidR="00000000" w:rsidRDefault="00000000">
            <w:pPr>
              <w:rPr>
                <w:bCs/>
                <w:szCs w:val="20"/>
                <w:lang w:eastAsia="fr-FR"/>
              </w:rPr>
            </w:pPr>
            <w:r>
              <w:rPr>
                <w:bCs/>
              </w:rPr>
              <w:t>Edad</w:t>
            </w:r>
          </w:p>
        </w:tc>
        <w:tc>
          <w:tcPr>
            <w:tcW w:w="0" w:type="auto"/>
            <w:vAlign w:val="center"/>
          </w:tcPr>
          <w:p w:rsidR="00000000" w:rsidRDefault="00000000">
            <w:pPr>
              <w:rPr>
                <w:bCs/>
                <w:szCs w:val="20"/>
                <w:lang w:eastAsia="fr-FR"/>
              </w:rPr>
            </w:pPr>
            <w:r>
              <w:rPr>
                <w:bCs/>
              </w:rPr>
              <w:t>16 años</w:t>
            </w:r>
          </w:p>
        </w:tc>
        <w:tc>
          <w:tcPr>
            <w:tcW w:w="0" w:type="auto"/>
            <w:vAlign w:val="center"/>
          </w:tcPr>
          <w:p w:rsidR="00000000" w:rsidRDefault="00000000">
            <w:pPr>
              <w:rPr>
                <w:bCs/>
                <w:szCs w:val="20"/>
                <w:lang w:eastAsia="fr-FR"/>
              </w:rPr>
            </w:pPr>
            <w:r>
              <w:rPr>
                <w:bCs/>
              </w:rPr>
              <w:t>16 años</w:t>
            </w:r>
          </w:p>
        </w:tc>
        <w:tc>
          <w:tcPr>
            <w:tcW w:w="0" w:type="auto"/>
            <w:vAlign w:val="center"/>
          </w:tcPr>
          <w:p w:rsidR="00000000" w:rsidRDefault="00000000">
            <w:pPr>
              <w:rPr>
                <w:bCs/>
                <w:szCs w:val="20"/>
                <w:lang w:val="es-ES_tradnl" w:eastAsia="fr-FR"/>
              </w:rPr>
            </w:pPr>
            <w:r>
              <w:rPr>
                <w:bCs/>
                <w:lang w:val="es-ES_tradnl"/>
              </w:rPr>
              <w:t>17 años</w:t>
            </w:r>
          </w:p>
        </w:tc>
      </w:tr>
      <w:tr w:rsidR="00000000">
        <w:trPr>
          <w:jc w:val="center"/>
        </w:trPr>
        <w:tc>
          <w:tcPr>
            <w:tcW w:w="0" w:type="auto"/>
          </w:tcPr>
          <w:p w:rsidR="00000000" w:rsidRDefault="00000000">
            <w:pPr>
              <w:rPr>
                <w:bCs/>
                <w:szCs w:val="20"/>
                <w:lang w:eastAsia="fr-FR"/>
              </w:rPr>
            </w:pPr>
            <w:r>
              <w:rPr>
                <w:bCs/>
              </w:rPr>
              <w:t>Duración de la estancia (en días)</w:t>
            </w:r>
          </w:p>
        </w:tc>
        <w:tc>
          <w:tcPr>
            <w:tcW w:w="0" w:type="auto"/>
            <w:vAlign w:val="center"/>
          </w:tcPr>
          <w:p w:rsidR="00000000" w:rsidRDefault="00000000">
            <w:pPr>
              <w:rPr>
                <w:bCs/>
                <w:szCs w:val="20"/>
                <w:lang w:eastAsia="fr-FR"/>
              </w:rPr>
            </w:pPr>
            <w:r>
              <w:rPr>
                <w:bCs/>
              </w:rPr>
              <w:t>302</w:t>
            </w:r>
          </w:p>
        </w:tc>
        <w:tc>
          <w:tcPr>
            <w:tcW w:w="0" w:type="auto"/>
            <w:vAlign w:val="center"/>
          </w:tcPr>
          <w:p w:rsidR="00000000" w:rsidRDefault="00000000">
            <w:pPr>
              <w:rPr>
                <w:bCs/>
                <w:szCs w:val="20"/>
                <w:lang w:eastAsia="fr-FR"/>
              </w:rPr>
            </w:pPr>
            <w:r>
              <w:rPr>
                <w:bCs/>
              </w:rPr>
              <w:t>62</w:t>
            </w:r>
          </w:p>
        </w:tc>
        <w:tc>
          <w:tcPr>
            <w:tcW w:w="0" w:type="auto"/>
            <w:vAlign w:val="center"/>
          </w:tcPr>
          <w:p w:rsidR="00000000" w:rsidRDefault="00000000">
            <w:pPr>
              <w:rPr>
                <w:bCs/>
                <w:szCs w:val="20"/>
                <w:lang w:eastAsia="fr-FR"/>
              </w:rPr>
            </w:pPr>
            <w:r>
              <w:rPr>
                <w:bCs/>
              </w:rPr>
              <w:t>105</w:t>
            </w:r>
          </w:p>
        </w:tc>
      </w:tr>
    </w:tbl>
    <w:p w:rsidR="00000000" w:rsidRDefault="00000000">
      <w:pPr>
        <w:spacing w:before="480" w:after="240"/>
        <w:jc w:val="center"/>
        <w:rPr>
          <w:b/>
          <w:bCs/>
        </w:rPr>
      </w:pPr>
      <w:r>
        <w:rPr>
          <w:b/>
          <w:bCs/>
        </w:rPr>
        <w:t>B.  Medidas generales de aplicación</w:t>
      </w:r>
    </w:p>
    <w:p w:rsidR="00000000" w:rsidRDefault="00000000">
      <w:pPr>
        <w:spacing w:after="240"/>
        <w:ind w:left="567" w:hanging="567"/>
      </w:pPr>
      <w:r>
        <w:rPr>
          <w:b/>
          <w:bCs/>
        </w:rPr>
        <w:t>1.</w:t>
      </w:r>
      <w:r>
        <w:tab/>
      </w:r>
      <w:r>
        <w:rPr>
          <w:b/>
          <w:bCs/>
        </w:rPr>
        <w:t>El Comité desea recibir información acerca de las actividades previstas o planificadas como respuesta a las recomendaciones formuladas por el Comité en las observaciones finales sobre el informe inicial de Liechtenstein (CRC/C/15/Add.143) que aún no se han aplicado, en particular las que se refieren a la recopilación de datos (párr. 15), la participación de la sociedad civil (párr. 17), la reunificación de las familias (párr. 9), la supervisión independiente (párr. 13) y la no discriminación (párr. 21)</w:t>
      </w:r>
    </w:p>
    <w:p w:rsidR="00000000" w:rsidRDefault="00000000">
      <w:pPr>
        <w:pStyle w:val="Heading1"/>
        <w:keepNext w:val="0"/>
        <w:spacing w:line="240" w:lineRule="auto"/>
        <w:rPr>
          <w:u w:val="none"/>
        </w:rPr>
      </w:pPr>
      <w:r>
        <w:rPr>
          <w:u w:val="none"/>
        </w:rPr>
        <w:t>Recopilación de datos</w:t>
      </w:r>
    </w:p>
    <w:p w:rsidR="00000000" w:rsidRDefault="00000000">
      <w:pPr>
        <w:spacing w:after="240"/>
      </w:pPr>
      <w:r>
        <w:tab/>
        <w:t>Hasta la fecha, Liechtenstein se ha abstenido de presentar una recopilación de datos amplia y uniforme.  El esfuerzo administrativo para hacer una recopilación uniforme de estadísticas sería ímprobo, especialmente si se tiene en cuenta que el número de casos suele ser ínfimo.  Sin embargo, las diferentes oficinas de la Administración Nacional están utilizando cada vez más un sistema de recopilación electrónica de datos que ha permitido suministrar, en el segundo informe de Liechtenstein con arreglo a la Convención sobre los Derechos del Niño y en respuesta a la lista de cuestiones planteadas por el Comité, una cantidad de información estadística considerablemente mayor que la que se pudo ofrecer hace seis años en el informe inicial.</w:t>
      </w:r>
    </w:p>
    <w:p w:rsidR="00000000" w:rsidRDefault="00000000">
      <w:pPr>
        <w:spacing w:after="240"/>
        <w:rPr>
          <w:b/>
          <w:bCs/>
        </w:rPr>
      </w:pPr>
      <w:r>
        <w:rPr>
          <w:b/>
          <w:bCs/>
        </w:rPr>
        <w:t>Participación de la sociedad civil</w:t>
      </w:r>
    </w:p>
    <w:p w:rsidR="00000000" w:rsidRDefault="00000000">
      <w:pPr>
        <w:spacing w:after="240"/>
      </w:pPr>
      <w:r>
        <w:tab/>
        <w:t>Se está ultimando una nueva Ley de menores, en virtud de la cual las ideas y derechos básicos y fundamentales relativos a los niños, enunciados en la Convención sobre los Derechos del Niño, se aplicarán a nivel nacional.  La nueva ley se elaboró en el marco de un amplio proceso participativo, con cabida para todos, que contó con las aportaciones de niños, jóvenes y adultos.  Próximamente se distribuirá para ser sometido al procedimiento de consulta el proyecto de ley que se espera sea remitido al Parlamento en 2006.</w:t>
      </w:r>
    </w:p>
    <w:p w:rsidR="00000000" w:rsidRDefault="00000000">
      <w:pPr>
        <w:spacing w:after="240"/>
      </w:pPr>
      <w:r>
        <w:tab/>
        <w:t>En el borrador de la nueva Ley de menores se consagra el derecho fundamental de codeterminación y participación de los niños y los jóvenes y se reconocen otras formas de representación de los intereses de éstos, por ejemplo, los órganos que representan los derechos de los niños y los jóvenes (Consejo Consultivo sobre la Infancia y la Juventud).  En el proyecto de ley se dispone también la obligación de apoyar y promover las entidades de representación democrática de jóvenes (por ejemplo, el Parlamento de Menores).  Asimismo, los municipios deben garantizar la participación adecuada y habitual de niños y jóvenes.  Está previsto iniciar la aplicación a nivel nacional de un proyecto experimental sobre la "participación de menores" (Parlamento de Estudiantes) durante el año escolar 2007/08.</w:t>
      </w:r>
    </w:p>
    <w:p w:rsidR="00000000" w:rsidRDefault="00000000">
      <w:pPr>
        <w:spacing w:after="240"/>
        <w:rPr>
          <w:b/>
          <w:bCs/>
        </w:rPr>
      </w:pPr>
      <w:r>
        <w:rPr>
          <w:b/>
          <w:bCs/>
        </w:rPr>
        <w:t>Reunificación de las familias</w:t>
      </w:r>
    </w:p>
    <w:p w:rsidR="00000000" w:rsidRDefault="00000000">
      <w:pPr>
        <w:spacing w:after="240"/>
      </w:pPr>
      <w:r>
        <w:tab/>
        <w:t>El 10 de diciembre de 2003 se retiró la reserva al párrafo 2 del artículo 10 de la Convención sobre los Derechos del Niño relativa a las relaciones personales y el contacto directo con ambos padres.</w:t>
      </w:r>
    </w:p>
    <w:p w:rsidR="00000000" w:rsidRDefault="00000000">
      <w:pPr>
        <w:spacing w:after="240"/>
        <w:rPr>
          <w:b/>
          <w:bCs/>
        </w:rPr>
      </w:pPr>
      <w:r>
        <w:rPr>
          <w:b/>
          <w:bCs/>
        </w:rPr>
        <w:t>Supervisión independiente</w:t>
      </w:r>
    </w:p>
    <w:p w:rsidR="00000000" w:rsidRDefault="00000000">
      <w:pPr>
        <w:spacing w:after="240"/>
        <w:rPr>
          <w:b/>
          <w:bCs/>
        </w:rPr>
      </w:pPr>
      <w:r>
        <w:tab/>
        <w:t>En el proyecto de ley de menores se dispone el establecimiento de la oficina de un mediador (</w:t>
      </w:r>
      <w:r>
        <w:rPr>
          <w:i/>
          <w:iCs/>
        </w:rPr>
        <w:t>ombudsman</w:t>
      </w:r>
      <w:r>
        <w:t>) para niños y adolescentes.</w:t>
      </w:r>
    </w:p>
    <w:p w:rsidR="00000000" w:rsidRDefault="00000000">
      <w:pPr>
        <w:spacing w:after="240"/>
        <w:rPr>
          <w:b/>
          <w:bCs/>
        </w:rPr>
      </w:pPr>
      <w:r>
        <w:rPr>
          <w:b/>
          <w:bCs/>
        </w:rPr>
        <w:t>No discriminación</w:t>
      </w:r>
    </w:p>
    <w:p w:rsidR="00000000" w:rsidRDefault="00000000">
      <w:pPr>
        <w:spacing w:after="240"/>
        <w:rPr>
          <w:b/>
          <w:bCs/>
        </w:rPr>
      </w:pPr>
      <w:r>
        <w:rPr>
          <w:b/>
          <w:bCs/>
        </w:rPr>
        <w:t>Oficina de igualdad de oportunidades</w:t>
      </w:r>
    </w:p>
    <w:p w:rsidR="00000000" w:rsidRDefault="00000000">
      <w:pPr>
        <w:spacing w:after="240"/>
      </w:pPr>
      <w:r>
        <w:tab/>
        <w:t>El 22 de febrero de 2005, el Gobierno decidió convertir la Oficina de Igualdad de Género en la Oficina de Igualdad de Oportunidades.  Esta Oficina, al igual que su predecesora, asumirá responsabilidades en materia de igualdad entre hombres y mujeres, de conformidad con la Ley de igualdad de género, que se corresponden con el ámbito actual de responsabilidades de la Oficina de Igualdad de Género en virtud de la mencionada ley.  Además, actualmente es la oficina encargada de realizar contactos, coordinar y asesorar en relación con cuestiones generales de igualdad de trato y de oportunidades y actúa en calidad de oficina administrativa de la Comisión de Igualdad de Oportunidades.  Entre las esferas de responsabilidad que incumben a la Oficina cabe mencionar las siguientes:  inmigración e integración de extranjeros; escuelas y educación; trabajo; salud; seguridad social; discapacidad; edad; religión; y orientación sexual.  Como ocurría anteriormente, esas responsabilidades continuarán siendo administradas fundamentalmente por otras oficinas gubernamentales competentes.  No obstante, la Oficina de Igualdad de Oportunidades garantizará una mejor coordinación en el futuro y se dedicará a importantes cuestiones intersectoriales y ámbitos de responsabilidad que no pudieron ser atendidos debidamente en años anteriores.</w:t>
      </w:r>
    </w:p>
    <w:p w:rsidR="00000000" w:rsidRDefault="00000000">
      <w:pPr>
        <w:spacing w:after="240"/>
        <w:rPr>
          <w:b/>
          <w:bCs/>
        </w:rPr>
      </w:pPr>
      <w:r>
        <w:rPr>
          <w:b/>
          <w:bCs/>
        </w:rPr>
        <w:t>Proyectos de la Oficina de Igualdad de Oportunidades para sensibilizar a niños y adultos sobre la igualdad entre hombres y mujeres:</w:t>
      </w:r>
    </w:p>
    <w:p w:rsidR="00000000" w:rsidRDefault="00000000">
      <w:pPr>
        <w:spacing w:after="240"/>
        <w:ind w:left="567" w:hanging="567"/>
        <w:rPr>
          <w:b/>
          <w:bCs/>
        </w:rPr>
      </w:pPr>
      <w:r>
        <w:rPr>
          <w:b/>
          <w:bCs/>
        </w:rPr>
        <w:t>1)</w:t>
      </w:r>
      <w:r>
        <w:rPr>
          <w:b/>
          <w:bCs/>
        </w:rPr>
        <w:tab/>
        <w:t>2002:  Conferencia para personal docente de guarderías y escuelas de enseñanza primaria</w:t>
      </w:r>
    </w:p>
    <w:p w:rsidR="00000000" w:rsidRDefault="00000000">
      <w:pPr>
        <w:spacing w:after="240"/>
      </w:pPr>
      <w:r>
        <w:tab/>
        <w:t>La Oficina de Igualdad de Oportunidades, en colaboración con la Oficina de Educación, organizó una conferencia de expertos que se denominó "Sueños de niña, sueños de niño".  El objetivo de la conferencia era poner en cuestión las funciones estereotipadas e impulsar una pedagogía que tenga en cuenta el género.</w:t>
      </w:r>
    </w:p>
    <w:p w:rsidR="00000000" w:rsidRDefault="00000000">
      <w:pPr>
        <w:spacing w:after="240"/>
        <w:rPr>
          <w:b/>
          <w:bCs/>
        </w:rPr>
      </w:pPr>
      <w:r>
        <w:rPr>
          <w:b/>
          <w:bCs/>
        </w:rPr>
        <w:t>2)</w:t>
      </w:r>
      <w:r>
        <w:rPr>
          <w:b/>
          <w:bCs/>
        </w:rPr>
        <w:tab/>
        <w:t>2003:  Serie de conferencias para hombres y mujeres</w:t>
      </w:r>
    </w:p>
    <w:p w:rsidR="00000000" w:rsidRDefault="00000000">
      <w:pPr>
        <w:spacing w:after="240"/>
      </w:pPr>
      <w:r>
        <w:tab/>
        <w:t>En colaboración con la Oficina de Educación se organizó una serie de conferencias, bajo el título "Ni macho ni pelele", en las que se abordaron las necesidades, los tópicos y las dificultades experimentadas por niños de todas las edades.</w:t>
      </w:r>
    </w:p>
    <w:p w:rsidR="00000000" w:rsidRDefault="00000000">
      <w:pPr>
        <w:keepNext/>
        <w:keepLines/>
        <w:spacing w:after="240"/>
        <w:rPr>
          <w:b/>
          <w:bCs/>
        </w:rPr>
      </w:pPr>
      <w:r>
        <w:rPr>
          <w:b/>
          <w:bCs/>
        </w:rPr>
        <w:t>3)</w:t>
      </w:r>
      <w:r>
        <w:rPr>
          <w:b/>
          <w:bCs/>
        </w:rPr>
        <w:tab/>
        <w:t>2004:  Carpetas con material informativo para escuelas</w:t>
      </w:r>
    </w:p>
    <w:p w:rsidR="00000000" w:rsidRDefault="00000000">
      <w:pPr>
        <w:keepNext/>
        <w:keepLines/>
        <w:spacing w:after="240"/>
      </w:pPr>
      <w:r>
        <w:tab/>
        <w:t>Los enseñantes son un importante modelo de conducta para los menores.  Con motivo del vigésimo aniversario de la concesión del derecho de voto a las mujeres, se actualizaron las carpetas informativas para adaptarlas a una enseñanza que tenga en cuenta las cuestiones de género y se entregaron a los profesores.  Las carpetas contienen material educativo específico y otros documentos que invitan a reflexionar sobre los propios modelos de comportamiento y las expectativas en relación con esos modelos.</w:t>
      </w:r>
    </w:p>
    <w:p w:rsidR="00000000" w:rsidRDefault="00000000">
      <w:pPr>
        <w:spacing w:after="240"/>
        <w:rPr>
          <w:b/>
          <w:bCs/>
        </w:rPr>
      </w:pPr>
      <w:r>
        <w:rPr>
          <w:b/>
          <w:bCs/>
        </w:rPr>
        <w:t>4)</w:t>
      </w:r>
      <w:r>
        <w:rPr>
          <w:b/>
          <w:bCs/>
        </w:rPr>
        <w:tab/>
        <w:t>2005:  Series de talleres para enseñantes y padres</w:t>
      </w:r>
    </w:p>
    <w:p w:rsidR="00000000" w:rsidRDefault="00000000">
      <w:pPr>
        <w:spacing w:after="240"/>
      </w:pPr>
      <w:r>
        <w:tab/>
        <w:t>Dado que la serie de conferencias celebradas en 2003 tuvieron un gran éxito y los participantes expresaron su deseo de que el tema abordado entonces fuera objeto de un examen más profundo, se organizó una serie de talleres titulada "Ni Rambo ni blandengue".  En los talleres se trataron los temas siguientes:  modelos de conducta, imágenes de modelos,  agresión, sexualidad y competición y el papel del padre después del divorcio.</w:t>
      </w:r>
    </w:p>
    <w:p w:rsidR="00000000" w:rsidRDefault="00000000">
      <w:pPr>
        <w:spacing w:after="240"/>
        <w:rPr>
          <w:b/>
          <w:bCs/>
        </w:rPr>
      </w:pPr>
      <w:r>
        <w:rPr>
          <w:b/>
          <w:bCs/>
        </w:rPr>
        <w:t>5)</w:t>
      </w:r>
      <w:r>
        <w:rPr>
          <w:b/>
          <w:bCs/>
        </w:rPr>
        <w:tab/>
        <w:t>2005:  Velada con Einstein</w:t>
      </w:r>
    </w:p>
    <w:p w:rsidR="00000000" w:rsidRDefault="00000000">
      <w:pPr>
        <w:spacing w:after="240"/>
      </w:pPr>
      <w:r>
        <w:tab/>
        <w:t>En noviembre se celebró un acto conjunto en colaboración con el Instituto de Enseñanza Secundaria Liechtenstein Gymnasium y en el contexto de la exposición "Albert y Mileva Einstein en el tiempo y el espacio", presentada en ese instituto.  El acto consistió en una charla coloquio sobre el tema de la mujer y la tecnología y la proyección de una película biográfica titulada "La mujer de Einstein", de la directora australiana Nicoletta Woolmington.</w:t>
      </w:r>
    </w:p>
    <w:p w:rsidR="00000000" w:rsidRDefault="00000000">
      <w:pPr>
        <w:pStyle w:val="Heading3"/>
        <w:keepNext w:val="0"/>
        <w:spacing w:line="240" w:lineRule="auto"/>
      </w:pPr>
      <w:r>
        <w:t>Personas con discapacidades</w:t>
      </w:r>
    </w:p>
    <w:p w:rsidR="00000000" w:rsidRDefault="00000000">
      <w:pPr>
        <w:spacing w:after="240"/>
      </w:pPr>
      <w:r>
        <w:tab/>
        <w:t>Se está elaborando una ley sobre discapacidad e igualdad con el fin de eliminar la discriminación contra las personas con discapacidad.  Está previsto que el Parlamento la examine en marzo de 2006.  La ley tiene por objetivo impedir y eliminar la discriminación que sufren las personas con discapacidad, garantizar su participación en la sociedad en condiciones de igualdad y ofrecerles la oportunidad de desarrollar la vida que se desea.  Se contempla la introducción de mejoras en relación con el acceso a edificios y transportes y servicios públicos así como también en materia de trabajo, educación y comunicación.</w:t>
      </w:r>
    </w:p>
    <w:p w:rsidR="00000000" w:rsidRDefault="00000000">
      <w:pPr>
        <w:pStyle w:val="Heading3"/>
        <w:spacing w:line="240" w:lineRule="auto"/>
      </w:pPr>
      <w:r>
        <w:t>Medidas para luchar contra el racismo</w:t>
      </w:r>
    </w:p>
    <w:p w:rsidR="00000000" w:rsidRDefault="00000000">
      <w:pPr>
        <w:spacing w:after="240"/>
      </w:pPr>
      <w:r>
        <w:tab/>
        <w:t>Liechtenstein ha reconocido la competencia del Comité para la Eliminación de la Discriminación Racial para recibir y examinar comunicaciones de particulares o de grupos de personas que están bajo la jurisdicción de Liechtenstein y que consideran que este país ha violado alguno de sus derechos amparados en la Convención sobre la Eliminación de todas las Formas de Discriminación Racial (de conformidad con el artículo 14 de la Convención).  La declaración correspondiente fue entregada al Secretario General de las Naciones Unidas el 18 de marzo de 2004 y ese mismo día entró en vigor para el Principado de Liechtenstein.</w:t>
      </w:r>
    </w:p>
    <w:p w:rsidR="00000000" w:rsidRDefault="00000000">
      <w:pPr>
        <w:keepNext/>
        <w:keepLines/>
        <w:spacing w:after="240"/>
      </w:pPr>
      <w:r>
        <w:tab/>
        <w:t>El Grupo de Trabajo contra el racismo, el antisemitismo y la xenofobia, creado en 2002, realiza labores de coordinación y orientación y actúa principalmente de una manera preventiva, poniendo en marcha medidas antirracistas y, en caso necesario, coordinándolas y respaldándolas.  Sin embargo, no participa directamente en la aplicación de éstas.  Presta apoyo para la realización de un Plan Nacional de Acción quinquenal que fue aprobado por el Gobierno el 4 de febrero de 2003.  El Grupo de Trabajo centra su labor en dos esferas temáticas:  la sensibilización de la opinión pública y la integración.  Como parte de su tarea divulgativa, el Grupo de Trabajo promocionará la campaña de comunicación y sensibilización "Contra la exclusión" de la Comisión Federal Suiza contra el Racismo.  La campaña consiste en la exhibición de carteles sobre el tema de la discriminación que incitan a pensar en la cuestión.  En 2006 el Grupo de Trabajo se centrará en la organización de campañas de concienciación para jóvenes.  Se ha realizado en dos ocasiones un taller de aprendices en el ámbito de la Administración Nacional.  Otro proyecto respaldado por el Grupo de Trabajo es la organización de cursos de alemán para madres que no hablan ese idioma y sus hijos ("Alemán de madres a hijos").  El proyecto se basa en la convicción de que las mujeres extranjeras con un buen nivel de alemán y conocimiento de las costumbres locales están más capacitadas para orientar a los hijos en su vida escolar.</w:t>
      </w:r>
    </w:p>
    <w:p w:rsidR="00000000" w:rsidRDefault="00000000">
      <w:pPr>
        <w:spacing w:after="240"/>
      </w:pPr>
      <w:r>
        <w:tab/>
        <w:t>El Grupo de Trabajo había señalado que se disponía de muy pocos datos para poder extraer conclusiones sobre la discriminación racial en Liechtenstein.  Por esa razón, ha recopilado datos durante los últimos años que, si bien no son representativos, proporcionan información sobre ámbitos especialmente sensibles como la educación, la vivienda, el trabajo, la salud y la seguridad social.  En abril de 2004, se concedió al Instituto de Liechtenstein un mandato de investigación de dos años.  Basándose en el censo de 2000, otras fuentes disponibles de datos y la información recopilada por el Grupo de Trabajo, el Instituto de Liechtenstein determinará cuáles son las carencias existentes en materia de datos, formulará recomendaciones para la realización de futuros estudios y evaluaciones sistemáticos y, de esa forma, establecerá la base para adoptar medidas concretas con el fin de subsanar las deficiencias.  Se analizarán las fuentes de datos para detectar posibles formas de discriminación de individuos o grupos por motivo de raza, origen, nacionalidad, religión, idioma u otros aspectos culturales.</w:t>
      </w:r>
    </w:p>
    <w:p w:rsidR="00000000" w:rsidRDefault="00000000">
      <w:pPr>
        <w:spacing w:after="240"/>
        <w:ind w:left="567" w:hanging="567"/>
        <w:rPr>
          <w:b/>
          <w:bCs/>
        </w:rPr>
      </w:pPr>
      <w:r>
        <w:rPr>
          <w:b/>
          <w:bCs/>
        </w:rPr>
        <w:t>2.</w:t>
      </w:r>
      <w:r>
        <w:rPr>
          <w:b/>
          <w:bCs/>
        </w:rPr>
        <w:tab/>
        <w:t>Sírvanse proporcionar información actualizada sobre las iniciativas para coordinar las políticas relacionadas con el niño y la aplicación de la Convención</w:t>
      </w:r>
    </w:p>
    <w:p w:rsidR="00000000" w:rsidRDefault="00000000">
      <w:pPr>
        <w:spacing w:after="240"/>
        <w:ind w:firstLine="567"/>
      </w:pPr>
      <w:r>
        <w:t>La Oficina de Asuntos Sociales cumple una función esencial de coordinación.  De conformidad con su mandato a tenor de la Ley de asistencia social y la Ley de la juventud, vela por que se atiendan las necesidades psicosociales básicas de la población.  Es una institución de acceso universal, que constituye un punto de referencia pública en lo relativo a los problemas personales y económicos de niños, jóvenes y adultos.  Ofrece asistencia individual en forma de asesoramiento, orientación y tratamiento, ayuda económica y otros tipos de ayuda.  Sus servicios son gratuitos.  La Oficina observa y analiza las novedades en el ámbito psicosocial.  Formula recomendaciones al Gobierno e informa a la población sobre temas importantes en la esfera psicosocial.  También prepara programas sobre prevención de la dependencia de la ayuda y dirigidos a las personas necesitadas.  La Oficina de Asuntos Sociales también se encarga de supervisar las organizaciones no gubernamentales (ONG) que trabajan con jóvenes y han concluido un contrato de servicios con el Estado.</w:t>
      </w:r>
    </w:p>
    <w:p w:rsidR="00000000" w:rsidRDefault="00000000">
      <w:pPr>
        <w:spacing w:after="240"/>
        <w:ind w:firstLine="567"/>
      </w:pPr>
      <w:r>
        <w:t>En esencia, se coordinan con los interlocutores pertinentes las ofertas y las medidas destinadas a los niños y los jóvenes.  Junto con la Oficina de Asuntos Sociales, son interlocutores los padres, las escuelas, los tribunales, la Asociación de asistencia para la libertad provisional y demás grupos que trabajan con jóvenes.  A continuación se indican ejemplos recientes de esta labor:</w:t>
      </w:r>
    </w:p>
    <w:p w:rsidR="00000000" w:rsidRDefault="00000000">
      <w:pPr>
        <w:spacing w:after="240"/>
        <w:ind w:left="924" w:hanging="357"/>
      </w:pPr>
      <w:r>
        <w:t>-</w:t>
      </w:r>
      <w:r>
        <w:tab/>
        <w:t>A propuesta de una comisión constituida por expertos y personalidades de la sociedad civil y representantes de las ONG, y bajo la dirección y coordinación de la Oficina de Educación y la Oficina de Asuntos Sociales, se preparó un estudio sobre la necesidad de contar con estructuras extrafamiliares de cuidado y apoyo</w:t>
      </w:r>
      <w:r>
        <w:rPr>
          <w:b/>
          <w:bCs/>
        </w:rPr>
        <w:t xml:space="preserve"> </w:t>
      </w:r>
      <w:r>
        <w:t>para niños y jóvenes en las escuelas (comedores, ayuda para los deberes y los estudios, guardería de tarde y durante las vacaciones).</w:t>
      </w:r>
    </w:p>
    <w:p w:rsidR="00000000" w:rsidRDefault="00000000">
      <w:pPr>
        <w:spacing w:after="240"/>
        <w:ind w:left="924" w:hanging="357"/>
      </w:pPr>
      <w:r>
        <w:t>-</w:t>
      </w:r>
      <w:r>
        <w:tab/>
        <w:t>La introducción del "Trabajo social en las escuelas" (proyecto trienal de 2004) ha simplificado las condiciones de acceso de los estudiantes.  La Oficina de Protección del Menor forma parte del grupo de coordinación que, entre otras responsabilidades, aclara las interrelaciones pertinentes.  Se ha logrado establecer vínculos entre el proyecto de asistencia social en las escuelas y la Oficina de Protección del Menor; todos los trabajadores sociales escolares intercambian periódicamente experiencias con la Oficina de Protección del Menor.</w:t>
      </w:r>
    </w:p>
    <w:p w:rsidR="00000000" w:rsidRDefault="00000000">
      <w:pPr>
        <w:spacing w:after="240"/>
        <w:ind w:left="924" w:hanging="357"/>
      </w:pPr>
      <w:r>
        <w:t>-</w:t>
      </w:r>
      <w:r>
        <w:tab/>
        <w:t>La Oficina de Asuntos Sociales y la Oficina de Educación han preparado conjuntamente las "Directrices sobre la expulsión temporal de la escuela".  Actualmente, la Oficina de Asuntos Sociales asume la responsabilidad de los jóvenes que han sido expulsados de la escuela (un mínimo de 12 semanas).  Durante este período de expulsión, la División del Niño y el Adolescente se hace cargo de los jóvenes y, antes de que comience la expulsión, determina las actividades adecuadas que deban realizarse.  El objetivo no consiste simplemente en castigar a los jóvenes que se encuentran en esa situación límite, sino sobre todo ofrecerles un entorno pedagógico que permita lograr los objetivos perseguidos.  Un objetivo esencial es su correcta reintegración.  Las directrices están vigentes desde mayo de 2005 y pronto serán evaluadas.</w:t>
      </w:r>
    </w:p>
    <w:p w:rsidR="00000000" w:rsidRDefault="00000000">
      <w:pPr>
        <w:spacing w:after="240"/>
        <w:ind w:left="567" w:hanging="567"/>
        <w:rPr>
          <w:b/>
          <w:bCs/>
          <w:lang w:val="es-ES_tradnl"/>
        </w:rPr>
      </w:pPr>
      <w:r>
        <w:rPr>
          <w:b/>
          <w:bCs/>
        </w:rPr>
        <w:t>3.</w:t>
      </w:r>
      <w:r>
        <w:rPr>
          <w:b/>
          <w:bCs/>
        </w:rPr>
        <w:tab/>
        <w:t xml:space="preserve">Sírvanse proporcionar información complementaria sobre los mecanismos de presentación de denuncias por particulares que están a disposición de los niños en </w:t>
      </w:r>
      <w:r>
        <w:rPr>
          <w:b/>
          <w:bCs/>
          <w:lang w:val="es-ES_tradnl"/>
        </w:rPr>
        <w:t>Liechtenstein y a los que éstos tienen acceso</w:t>
      </w:r>
    </w:p>
    <w:p w:rsidR="00000000" w:rsidRDefault="00000000">
      <w:pPr>
        <w:spacing w:after="240"/>
        <w:ind w:firstLine="567"/>
        <w:rPr>
          <w:lang w:val="es-ES_tradnl"/>
        </w:rPr>
      </w:pPr>
      <w:r>
        <w:rPr>
          <w:lang w:val="es-ES_tradnl"/>
        </w:rPr>
        <w:t>Actualmente no existen mecanismos oficiales de presentación de denuncias.  Sin embargo, en el proyecto de la nueva Ley de la juventud se prevé establecer una oficina del defensor del niño y los jóvenes.</w:t>
      </w:r>
    </w:p>
    <w:p w:rsidR="00000000" w:rsidRDefault="00000000">
      <w:pPr>
        <w:spacing w:after="240"/>
        <w:ind w:left="567" w:hanging="567"/>
        <w:rPr>
          <w:b/>
          <w:bCs/>
        </w:rPr>
      </w:pPr>
      <w:r>
        <w:rPr>
          <w:b/>
          <w:bCs/>
        </w:rPr>
        <w:t>4.</w:t>
      </w:r>
      <w:r>
        <w:rPr>
          <w:b/>
          <w:bCs/>
        </w:rPr>
        <w:tab/>
        <w:t>Sírvanse indicar si la Convención se ha invocado directamente en los tribunales del país y, en su caso, brindar ejemplos de dichos casos</w:t>
      </w:r>
    </w:p>
    <w:p w:rsidR="00000000" w:rsidRDefault="00000000">
      <w:pPr>
        <w:spacing w:after="240"/>
        <w:ind w:firstLine="567"/>
        <w:rPr>
          <w:lang w:val="es-ES_tradnl"/>
        </w:rPr>
      </w:pPr>
      <w:r>
        <w:t xml:space="preserve">Hubo un caso en que se invocó la Convención sobre los Derechos del Niño ante el Tribunal Administrativo.  Un hombre de 28 años, ciudadano de </w:t>
      </w:r>
      <w:r>
        <w:rPr>
          <w:lang w:val="es-ES_tradnl"/>
        </w:rPr>
        <w:t>Bosnia y Herzegovina. recurrió ante el Tribunal Administrativo la revocación de su permiso de residencia</w:t>
      </w:r>
      <w:r>
        <w:rPr>
          <w:rStyle w:val="FootnoteReference"/>
          <w:lang w:val="es-ES_tradnl"/>
        </w:rPr>
        <w:footnoteReference w:id="1"/>
      </w:r>
      <w:r>
        <w:rPr>
          <w:lang w:val="es-ES_tradnl"/>
        </w:rPr>
        <w:t>.  El demandante tenía una hija de 3 años que no vivía con él sino con su madre extranjera (la esposa del demandante).  El demandante había obtenido un permiso de residencia en Liechtenstein el 16 de agosto de 2000 para reunirse con su esposa.  Dado que estaban separados de hecho, ya no se cumplía la condición que había motivado la concesión del permiso de residencia, por lo que el Gobierno de Liechtenstein lo revocó.  El Tribunal Administrativo, en calidad de instancia superior, decidió que la revocación del permiso de residencia del demandante era una medida desproporcionada y la anuló.</w:t>
      </w:r>
    </w:p>
    <w:p w:rsidR="00000000" w:rsidRDefault="00000000">
      <w:pPr>
        <w:spacing w:after="240"/>
      </w:pPr>
      <w:r>
        <w:tab/>
        <w:t>Se invocó la Convención sobre los Derechos del Niño en relación con la protección de los intereses del niño.  De conformidad con el párrafo 3 del artículo 9 de la Convención, los Estados Partes deben respetar el derecho del niño que esté separado de uno o de ambos padres a mantener relaciones personales y contacto directo con ambos padres de modo regular, salvo si ello es contrario al interés superior del niño (véase asimismo el párrafo 2 del artículo 10 de la Convención y la retirada de la reserva formulada por Liechtenstein; LGBl. 2004 Nº 49).  Además, el párrafo 1 del artículo 18 de la Convención establece como opción preferente el que ambos padres tengan obligaciones comunes en lo que respecta a la crianza y al desarrollo del niño.  Este principio también obraba en favor de que no se revocara el permiso de residencia del extranjero si ello era posible.</w:t>
      </w:r>
    </w:p>
    <w:p w:rsidR="00000000" w:rsidRDefault="00000000">
      <w:pPr>
        <w:spacing w:after="240"/>
      </w:pPr>
      <w:r>
        <w:tab/>
        <w:t>En otro caso sometido al Tribunal Supremo de Liechtenstein en 2004, se citó el artículo 12 de la Convención en relación con la concesión de la guarda parental.  El abogado de la madre del menor alegó que, de conformidad con la Convención sobre los Derechos del Niño, ratificada por Liechtenstein, el niño tiene derecho a expresar su opinión libremente en todos los asuntos que le afecten, teniéndose debidamente en cuenta las opiniones del niño, en función de la edad y madurez del niño.</w:t>
      </w:r>
    </w:p>
    <w:p w:rsidR="00000000" w:rsidRDefault="00000000">
      <w:pPr>
        <w:spacing w:after="240"/>
        <w:ind w:left="567" w:hanging="567"/>
        <w:rPr>
          <w:b/>
          <w:bCs/>
        </w:rPr>
      </w:pPr>
      <w:r>
        <w:rPr>
          <w:b/>
          <w:bCs/>
        </w:rPr>
        <w:t>5.</w:t>
      </w:r>
      <w:r>
        <w:rPr>
          <w:b/>
          <w:bCs/>
        </w:rPr>
        <w:tab/>
        <w:t>Sírvanse proporcionar información actualizada sobre la difusión de la Convención, en especial entre alumnos, maestros, profesionales de la medicina y el poder judicial</w:t>
      </w:r>
    </w:p>
    <w:p w:rsidR="00000000" w:rsidRDefault="00000000">
      <w:pPr>
        <w:spacing w:after="240"/>
      </w:pPr>
      <w:r>
        <w:tab/>
        <w:t xml:space="preserve">La Convención se publicó en el </w:t>
      </w:r>
      <w:r>
        <w:rPr>
          <w:i/>
          <w:iCs/>
        </w:rPr>
        <w:t>Boletín Oficial</w:t>
      </w:r>
      <w:r>
        <w:t xml:space="preserve"> de Liechtenstein (LGBl. 1996, Nº 163).  La compilación de las leyes de Liechtenstein también está disponible en Internet (</w:t>
      </w:r>
      <w:r>
        <w:rPr>
          <w:u w:val="single"/>
        </w:rPr>
        <w:t>www.gesetze.li</w:t>
      </w:r>
      <w:r>
        <w:t xml:space="preserve">).  Asimismo se pueden consultar las explicaciones acerca de la Convención en la dirección electrónica </w:t>
      </w:r>
      <w:r>
        <w:rPr>
          <w:u w:val="single"/>
        </w:rPr>
        <w:t>www.bua.llv.li</w:t>
      </w:r>
      <w:r>
        <w:t>.</w:t>
      </w:r>
    </w:p>
    <w:p w:rsidR="00000000" w:rsidRDefault="00000000">
      <w:pPr>
        <w:spacing w:after="240"/>
      </w:pPr>
      <w:r>
        <w:tab/>
        <w:t>El 20 de noviembre de cada año, la Oficina de Asuntos Sociales divulga información sobre los derechos del niño y anuncia en los periódicos nacionales que facilitará el texto gratuitamente a quien lo solicite.  La versión electrónica del texto está disponible en la red escolar (</w:t>
      </w:r>
      <w:r>
        <w:rPr>
          <w:u w:val="single"/>
        </w:rPr>
        <w:t>www.schulen.li</w:t>
      </w:r>
      <w:r>
        <w:t>) y en el sitio web de la Ley de la juventud (</w:t>
      </w:r>
      <w:r>
        <w:rPr>
          <w:u w:val="single"/>
        </w:rPr>
        <w:t>www.jugendgesetz.li</w:t>
      </w:r>
      <w:r>
        <w:t>).  Se ha facilitado el texto (también adaptado a los niños) a todas las escuelas y guarderías, asociaciones de padres, centros juveniles y demás instituciones que se ocupan de cuestiones de la infancia y la juventud.</w:t>
      </w:r>
    </w:p>
    <w:p w:rsidR="00000000" w:rsidRDefault="00000000">
      <w:pPr>
        <w:spacing w:after="240"/>
      </w:pPr>
      <w:r>
        <w:tab/>
        <w:t>El 20 de noviembre de 2004, Día Universal del Niño, se realizó por segunda vez una campaña nacional que dio a los niños la oportunidad de expresar sus opiniones.  En casi todos los municipios se estableció un "Banco de Escucha" atendido por adultos que escuchaban a los niños, tomaban nota de lo que decían y recogían sus problemas, deseos e inquietudes.  Participaron más de 600 niños y representantes de asociaciones de padres, escuelas primarias, comisiones de la juventud y educadores de menores.  En el marco de esta campaña, se informó a los niños de sus derechos de manera acorde con su edad.  El evento se celebrará cada dos años.</w:t>
      </w:r>
    </w:p>
    <w:p w:rsidR="00000000" w:rsidRDefault="00000000">
      <w:pPr>
        <w:spacing w:after="240"/>
      </w:pPr>
      <w:r>
        <w:tab/>
        <w:t xml:space="preserve">La Oficina de Asuntos Exteriores mantiene una página independiente sobre derechos humanos en el portal Internet de Liechtenstein </w:t>
      </w:r>
      <w:r>
        <w:rPr>
          <w:u w:val="single"/>
        </w:rPr>
        <w:t>www.liechtenstein.li</w:t>
      </w:r>
      <w:r>
        <w:t>.  Bajo el título "Derechos del niño", están disponibles en línea todos los informes presentados y las recomendaciones del Comité de los Derechos del Niño; además, existe un vínculo con el texto de la Convención.</w:t>
      </w:r>
    </w:p>
    <w:p w:rsidR="00000000" w:rsidRDefault="00000000">
      <w:pPr>
        <w:spacing w:after="240"/>
        <w:ind w:left="567" w:hanging="567"/>
        <w:rPr>
          <w:b/>
          <w:bCs/>
        </w:rPr>
      </w:pPr>
      <w:r>
        <w:rPr>
          <w:b/>
          <w:bCs/>
        </w:rPr>
        <w:t>6.</w:t>
      </w:r>
      <w:r>
        <w:rPr>
          <w:b/>
          <w:bCs/>
        </w:rPr>
        <w:tab/>
        <w:t>Sírvanse indicar las cuestiones que afectan a los niños que el Estado Parte estima prioritarias y que requieren una atención sumamente urgente respecto de la aplicación de la Convención</w:t>
      </w:r>
    </w:p>
    <w:p w:rsidR="00000000" w:rsidRDefault="00000000">
      <w:pPr>
        <w:spacing w:after="240"/>
        <w:ind w:left="567" w:hanging="567"/>
        <w:rPr>
          <w:b/>
          <w:bCs/>
        </w:rPr>
      </w:pPr>
      <w:r>
        <w:rPr>
          <w:b/>
          <w:bCs/>
        </w:rPr>
        <w:t>Desempleo juvenil</w:t>
      </w:r>
    </w:p>
    <w:p w:rsidR="00000000" w:rsidRDefault="00000000">
      <w:pPr>
        <w:spacing w:after="240"/>
      </w:pPr>
      <w:r>
        <w:rPr>
          <w:b/>
          <w:bCs/>
        </w:rPr>
        <w:tab/>
      </w:r>
      <w:r>
        <w:t>Liechtenstein reconoce que el desempleo juvenil y la dificultad de colocación de los adultos jóvenes son un problema.  El Gobierno ha invitado a entidades públicas (como la Oficina de Asuntos Sociales y la Oficina de Formación Profesional) y a organizaciones privadas a participar en una reunión para coordinar nuevas medidas.</w:t>
      </w:r>
    </w:p>
    <w:p w:rsidR="00000000" w:rsidRDefault="00000000">
      <w:pPr>
        <w:spacing w:after="240"/>
        <w:rPr>
          <w:b/>
          <w:bCs/>
        </w:rPr>
      </w:pPr>
      <w:r>
        <w:rPr>
          <w:b/>
          <w:bCs/>
        </w:rPr>
        <w:t>Proyecto global en tres etapas:  Revisión de la legislación sobre la delincuencia sexual, revisión de la Ley de protección de las víctimas y aprobación de la Ley de asistencia a las víctimas</w:t>
      </w:r>
    </w:p>
    <w:p w:rsidR="00000000" w:rsidRDefault="00000000">
      <w:pPr>
        <w:spacing w:after="240"/>
      </w:pPr>
      <w:r>
        <w:rPr>
          <w:b/>
          <w:bCs/>
        </w:rPr>
        <w:tab/>
      </w:r>
      <w:r>
        <w:t>La legislación sobre la delincuencia sexual</w:t>
      </w:r>
      <w:r>
        <w:rPr>
          <w:b/>
          <w:bCs/>
        </w:rPr>
        <w:t xml:space="preserve"> </w:t>
      </w:r>
      <w:r>
        <w:t>revisada está en vigor desde el 1º de febrero de 2001.  Las enmiendas del Código de Procedimiento Penal, con mejoras sustanciales en materia de protección de las víctimas, entraron en vigor el 1º de enero de 2005.  Está en preparación una ley de asistencia a las víctimas (ley de asistencia a las víctimas de delitos).  Su objetivo consiste en prestar a las víctimas la mejor asistencia posible.  La ley proporcionará a las víctimas y a sus familiares la ayuda necesaria (orientación) y asistencia económica, es decir una asistencia jurídica plena y reclamaciones de indemnización.  El proceso de consultas concluyó en 2004.  Actualmente se prepara el plan de organización de una Oficina de Asistencia a las Víctimas.</w:t>
      </w:r>
    </w:p>
    <w:p w:rsidR="00000000" w:rsidRDefault="00000000">
      <w:pPr>
        <w:spacing w:after="240"/>
        <w:rPr>
          <w:b/>
          <w:bCs/>
        </w:rPr>
      </w:pPr>
      <w:r>
        <w:rPr>
          <w:b/>
          <w:bCs/>
        </w:rPr>
        <w:t>Desarrollo del menor</w:t>
      </w:r>
    </w:p>
    <w:p w:rsidR="00000000" w:rsidRDefault="00000000">
      <w:pPr>
        <w:spacing w:after="240"/>
      </w:pPr>
      <w:r>
        <w:rPr>
          <w:b/>
          <w:bCs/>
        </w:rPr>
        <w:tab/>
      </w:r>
      <w:r>
        <w:t>Los temas prioritarios en esta esfera son:  la participación juvenil, la ayuda a las iniciativas de los propios jóvenes (concurso de proyectos juveniles) y el apoyo a la igualdad de oportunidades (participación en la campaña juvenil del Consejo de Europa titulada "Todos distintos, todos iguales").</w:t>
      </w:r>
    </w:p>
    <w:p w:rsidR="00000000" w:rsidRDefault="00000000">
      <w:pPr>
        <w:keepNext/>
        <w:keepLines/>
        <w:spacing w:after="240"/>
        <w:rPr>
          <w:b/>
          <w:bCs/>
        </w:rPr>
      </w:pPr>
      <w:r>
        <w:rPr>
          <w:b/>
          <w:bCs/>
        </w:rPr>
        <w:t>Protección de menores</w:t>
      </w:r>
    </w:p>
    <w:p w:rsidR="00000000" w:rsidRDefault="00000000">
      <w:pPr>
        <w:keepNext/>
        <w:keepLines/>
        <w:spacing w:after="240"/>
      </w:pPr>
      <w:r>
        <w:tab/>
        <w:t>La actual Ley de la juventud prevé que se persigan penalmente las infracciones de la normativa de protección de menores</w:t>
      </w:r>
      <w:r>
        <w:rPr>
          <w:b/>
          <w:bCs/>
        </w:rPr>
        <w:t xml:space="preserve"> </w:t>
      </w:r>
      <w:r>
        <w:t>cometidas por jóvenes (artículo 52 de la Ley de la juventud, LGBl. 1980/38).  Sin embargo, el artículo 54 de la Ley de la juventud contempla la opción de que se celebren entrevistas con un consejero juvenil y se acuerden medidas educativas efectivas en lugar de sanciones.  En virtud de una resolución aclaratoria del Gobierno (RB1999/3418 y 2003/2129), este planteamiento se ha estandarizado.  En vez de "criminalizar" a los jóvenes, se les ofrece, a ellos y a sus padres, asesoramiento y asistencia.  Desde finales de 2005, Liechtenstein desarrollará más este paradigma tratando de igual manera todas las infracciones juveniles de la Ley de estupefacientes y, en determinados casos, otros delitos juveniles como lesiones, daños a bienes y robo.  Si es posible, inmediatamente después de la infracción o delito, se convoca al joven y a sus padres a una entrevista educativa con el oficial de protección del menor.  Los participantes reflexionan juntos sobre las causas de la infracción y acuerdan las medidas oportunas, que abarcan desde medidas exclusivamente parentales hasta la participación en cursos para evitar agresiones (en el caso de lesiones) y el trabajo social (por ejemplo, en caso de daños a bienes), la participación en un "grupo de adicción" (en el caso de síntomas evidentes de adicción), etc.  Los acuerdos tendrán carácter voluntario.  No obstante, por norma, se notificarán a la Fiscalía para que se tenga en cuenta la información al examinar el caso.</w:t>
      </w:r>
    </w:p>
    <w:p w:rsidR="00000000" w:rsidRDefault="00000000">
      <w:pPr>
        <w:spacing w:after="240"/>
      </w:pPr>
      <w:r>
        <w:tab/>
        <w:t xml:space="preserve">El procedimiento descrito todavía se aplica </w:t>
      </w:r>
      <w:r>
        <w:rPr>
          <w:i/>
          <w:iCs/>
        </w:rPr>
        <w:t>praeter legem</w:t>
      </w:r>
      <w:r>
        <w:t>, por así decirlo, pero puede impulsar considerablemente las revisiones actuales y futuras de la Ley de la juventud, el Código de Procedimiento Penal y la Ley de tribunales de menores (medidas alternativas en los procedimientos penales).  La creación de la Asociación de Asistencia para la Libertad Provisional constituye un recurso importante para este procedimiento alternativo (véase la parte III).</w:t>
      </w:r>
    </w:p>
    <w:p w:rsidR="00000000" w:rsidRDefault="00000000">
      <w:pPr>
        <w:spacing w:before="480" w:after="240"/>
        <w:jc w:val="center"/>
        <w:rPr>
          <w:b/>
          <w:bCs/>
        </w:rPr>
      </w:pPr>
      <w:r>
        <w:rPr>
          <w:b/>
          <w:bCs/>
        </w:rPr>
        <w:t>PARTE II</w:t>
      </w:r>
    </w:p>
    <w:p w:rsidR="00000000" w:rsidRDefault="00000000">
      <w:pPr>
        <w:spacing w:after="240"/>
        <w:rPr>
          <w:b/>
          <w:bCs/>
        </w:rPr>
      </w:pPr>
      <w:r>
        <w:rPr>
          <w:b/>
          <w:bCs/>
        </w:rPr>
        <w:t>Sírvanse proporcionar ejemplares del texto de la Convención sobre los Derechos del Niño en todos los idiomas oficiales del Estado Parte y, en su caso, en otros idiomas o dialectos.  De ser posible, esos textos deberían presentarse en versión electrónica</w:t>
      </w:r>
    </w:p>
    <w:p w:rsidR="00000000" w:rsidRDefault="00000000">
      <w:pPr>
        <w:spacing w:after="240"/>
      </w:pPr>
      <w:r>
        <w:tab/>
        <w:t xml:space="preserve">La Convención sobre los Derechos del Niño en alemán (idioma oficial de Liechtenstein) está incluida en la recopilación de leyes de Liechtenstein (LGBl. 1996 Nº 163), que puede consultarse electrónicamente en </w:t>
      </w:r>
      <w:r>
        <w:rPr>
          <w:u w:val="single"/>
        </w:rPr>
        <w:t>www.gesetze.li</w:t>
      </w:r>
      <w:r>
        <w:t>.</w:t>
      </w:r>
    </w:p>
    <w:p w:rsidR="00000000" w:rsidRDefault="00000000">
      <w:pPr>
        <w:spacing w:before="480" w:after="240"/>
        <w:jc w:val="center"/>
        <w:rPr>
          <w:b/>
          <w:bCs/>
        </w:rPr>
      </w:pPr>
      <w:r>
        <w:rPr>
          <w:b/>
          <w:bCs/>
        </w:rPr>
        <w:t>PARTE III</w:t>
      </w:r>
    </w:p>
    <w:p w:rsidR="00000000" w:rsidRDefault="00000000">
      <w:pPr>
        <w:spacing w:after="240"/>
        <w:rPr>
          <w:b/>
          <w:bCs/>
        </w:rPr>
      </w:pPr>
      <w:r>
        <w:rPr>
          <w:b/>
          <w:bCs/>
        </w:rPr>
        <w:t>En la presente sección, se invita al Estado Parte a actualizar brevemente (tres páginas como máximo) la información incluida en el informe respecto de:</w:t>
      </w:r>
    </w:p>
    <w:p w:rsidR="00000000" w:rsidRDefault="00000000">
      <w:pPr>
        <w:spacing w:after="240"/>
        <w:rPr>
          <w:b/>
          <w:bCs/>
        </w:rPr>
      </w:pPr>
      <w:r>
        <w:rPr>
          <w:b/>
          <w:bCs/>
        </w:rPr>
        <w:t>Nuevos proyectos de ley o leyes promulgadas</w:t>
      </w:r>
    </w:p>
    <w:p w:rsidR="00000000" w:rsidRDefault="00000000">
      <w:pPr>
        <w:spacing w:after="240"/>
      </w:pPr>
      <w:r>
        <w:tab/>
        <w:t>Liechtenstein ratificó el Protocolo Facultativo de 25 de mayo de 2000 de la Convención sobre los Derechos del Niño relativo a la participación de niños en los conflictos armados, que entró en vigor el 4 de marzo de 2005 (LGBl. 2005 Nº 26).</w:t>
      </w:r>
    </w:p>
    <w:p w:rsidR="00000000" w:rsidRDefault="00000000">
      <w:pPr>
        <w:spacing w:after="240"/>
      </w:pPr>
      <w:r>
        <w:tab/>
        <w:t>Liechtenstein ha reconocido la competencia del Comité para la Eliminación de la Discriminación Racial (CERD) para admitir a examen las comunicaciones de particulares o grupos sometidos a su jurisdicción que se consideren víctimas de una violación por Liechtenstein de un derecho amparado por la Convención sobre la Eliminación de todas las Formas de Discriminación Racial (de conformidad con el artículo 14 de la Convención).  El 18 de marzo de 2004 se depositó la declaración correspondiente ante el Secretario General de las Naciones Unidas.  La declaración entró en vigor para el principado de Liechtenstein ese mismo día (LGBl. 2004 Nº 133).</w:t>
      </w:r>
    </w:p>
    <w:p w:rsidR="00000000" w:rsidRDefault="00000000">
      <w:pPr>
        <w:spacing w:after="240"/>
      </w:pPr>
      <w:r>
        <w:tab/>
        <w:t xml:space="preserve">El 1º de enero de 2005 entró en vigor el Código de Procedimiento Penal revisado.  Las enmiendas otorgan más derechos a las víctimas y establecen salvaguardias para velar por que las víctimas de delitos no resulten traumatizadas (de nuevo) por los requisitos del procedimiento.  El núcleo de la revisión consiste en interrogar con delicadeza a los testigos (nuevo artículo 115 a)).  Utilizando técnicas audiovisuales es posible interrogar a víctimas y presuntos agresores separadamente.  Este procedimiento es </w:t>
      </w:r>
      <w:r>
        <w:rPr>
          <w:i/>
          <w:iCs/>
        </w:rPr>
        <w:t>obligatorio</w:t>
      </w:r>
      <w:r>
        <w:t xml:space="preserve"> en el caso de menores que no hayan cumplido 14 años al practicarse el interrogatorio (es decir, menores de edad).  Además, el juez instructor puede encomendar el interrogatorio a un experto (por ejemplo, un psicólogo infantil), lo que ya se ha hecho con frecuencia.  Otra enmienda importante es la que facilita la opción de eximir de la declaración a la víctima (art. 107).  Con ello se garantiza, entre otras cosas, que las víctimas que requieren protección especial sólo tengan que declarar una vez ante el tribunal que juzgue el delito (LGBl. 2004 Nº 236; 2005 Nº 33).</w:t>
      </w:r>
    </w:p>
    <w:p w:rsidR="00000000" w:rsidRDefault="00000000">
      <w:pPr>
        <w:spacing w:after="240"/>
      </w:pPr>
      <w:r>
        <w:tab/>
        <w:t>Una novedad en el ámbito de la educación es la promulgación de una nueva Ley de becas (LGBl. 2004 Nº 262) y su enmienda, que entró en vigor el 1º de agosto de 2005 (LGBl. 2005 Nº 41).  Se han ampliado las prestaciones estatales en la esfera de los subsidios de educación.  A cambio, también se responsabiliza más a los beneficiarios combinando ayudas generalizadas a la educación, consistentes en becas y préstamos, con límites generales a la duración de las prestaciones.  El nuevo sistema aligera la carga de los padres de niños escolarizados, especialmente los padres solteros con ingresos modestos.</w:t>
      </w:r>
    </w:p>
    <w:p w:rsidR="00000000" w:rsidRDefault="00000000">
      <w:pPr>
        <w:spacing w:after="240"/>
      </w:pPr>
      <w:r>
        <w:tab/>
        <w:t>Se está revisando actualmente la Ley de la juventud.  También se prepara una nueva ley de asistencia a las víctimas</w:t>
      </w:r>
      <w:r>
        <w:rPr>
          <w:b/>
          <w:bCs/>
        </w:rPr>
        <w:t xml:space="preserve"> </w:t>
      </w:r>
      <w:r>
        <w:t>y una</w:t>
      </w:r>
      <w:r>
        <w:rPr>
          <w:b/>
          <w:bCs/>
        </w:rPr>
        <w:t xml:space="preserve"> </w:t>
      </w:r>
      <w:r>
        <w:t>ley de igualdad de los discapacitados.</w:t>
      </w:r>
    </w:p>
    <w:p w:rsidR="00000000" w:rsidRDefault="00000000">
      <w:pPr>
        <w:spacing w:after="240"/>
        <w:rPr>
          <w:b/>
          <w:bCs/>
        </w:rPr>
      </w:pPr>
      <w:r>
        <w:rPr>
          <w:b/>
          <w:bCs/>
        </w:rPr>
        <w:t>Nuevas instituciones</w:t>
      </w:r>
    </w:p>
    <w:p w:rsidR="00000000" w:rsidRDefault="00000000">
      <w:pPr>
        <w:spacing w:after="240"/>
        <w:ind w:left="924" w:hanging="357"/>
      </w:pPr>
      <w:r>
        <w:t>-</w:t>
      </w:r>
      <w:r>
        <w:tab/>
        <w:t>En la esfera de la salud pública, en 2004 se transformó la Oficina de Medicina Social y Preventiva en la Oficina de Salud Pública, a la que también se asignó el Jefe de Salud Pública.</w:t>
      </w:r>
    </w:p>
    <w:p w:rsidR="00000000" w:rsidRDefault="00000000">
      <w:pPr>
        <w:spacing w:after="240"/>
        <w:ind w:left="924" w:hanging="357"/>
      </w:pPr>
      <w:r>
        <w:t>-</w:t>
      </w:r>
      <w:r>
        <w:tab/>
        <w:t>En abril de 2003 empezó a operar la Asociación de Asistencia para la Libertad Provisional.  Se trata de una organización de orientación y atención que ayuda a los jóvenes y los adultos que han delinquido.  Interviene cuando se produce una condena condicional o a la salida de prisión y actúa por orden de un tribunal.  En 2004 y 2005, la Asociación asistió a dos jóvenes menores de 18 años.  También ayuda a jóvenes adultos condenados con arreglo a la Ley de justicia de menores pero que ya han cumplido 18 años al ordenarse la asistencia para la libertad provisional.</w:t>
      </w:r>
    </w:p>
    <w:p w:rsidR="00000000" w:rsidRDefault="00000000">
      <w:pPr>
        <w:spacing w:after="240"/>
        <w:ind w:left="924" w:hanging="357"/>
      </w:pPr>
      <w:r>
        <w:t>-</w:t>
      </w:r>
      <w:r>
        <w:tab/>
        <w:t>El 22 de febrero de 2005, el Gobierno decidió ampliar la Oficina de Igualdad de Género a la Oficina de Igualdad de Oportunidades (véase la pregunta IB 1).</w:t>
      </w:r>
    </w:p>
    <w:p w:rsidR="00000000" w:rsidRDefault="00000000">
      <w:pPr>
        <w:spacing w:after="240"/>
        <w:ind w:left="924" w:hanging="357"/>
      </w:pPr>
      <w:r>
        <w:t>-</w:t>
      </w:r>
      <w:r>
        <w:tab/>
        <w:t>En noviembre de 2004, se estableció el cargo de Oficial encargado de drogas adictivas.</w:t>
      </w:r>
    </w:p>
    <w:p w:rsidR="00000000" w:rsidRDefault="00000000">
      <w:pPr>
        <w:spacing w:after="240"/>
        <w:rPr>
          <w:b/>
          <w:bCs/>
        </w:rPr>
      </w:pPr>
      <w:r>
        <w:rPr>
          <w:b/>
          <w:bCs/>
        </w:rPr>
        <w:t>Nuevas políticas aplicadas</w:t>
      </w:r>
    </w:p>
    <w:p w:rsidR="00000000" w:rsidRDefault="00000000">
      <w:pPr>
        <w:spacing w:after="240"/>
        <w:ind w:left="924" w:hanging="357"/>
      </w:pPr>
      <w:r>
        <w:t>-</w:t>
      </w:r>
      <w:r>
        <w:tab/>
      </w:r>
      <w:r>
        <w:rPr>
          <w:b/>
          <w:bCs/>
        </w:rPr>
        <w:t xml:space="preserve">Protección de menores:  </w:t>
      </w:r>
      <w:r>
        <w:t xml:space="preserve">En 2004, por iniciativa del Oficial de protección del menor y la Comisión de Adicciones, se complementó la persecución penal de las infracciones de la Ley de estupefacientes cometidas por jóvenes introduciendo un elemento educativo.  Igual que había sucedido con las infracciones de la normativa de protección de menores previstas en la Ley de la juventud (consumo de alcohol y tabaco), las infracciones de la Ley de estupefacientes también se notificarán a la División del Niño y el Adolescente y se convocará a los jóvenes afectados y a sus tutores a entrevistas educativas con el propósito de acordar las medidas educativas de prevención adecuadas.  La Fiscalía, que recibe un informe sobre los resultados de la entrevista, aplicará el artículo 21/2 de la Ley de estupefacientes (LGBl. 1983/38), con arreglo al cual se pueden anular las sanciones en los casos leves.  Al igual que sucede con las infracciones de la Ley de la juventud, ese procedimiento puede proteger de la criminalización a los jóvenes que hayan infringido la Ley de estupefacientes y ayudarlos mediante la aplicación de medidas educativas.  El objetivo consiste en establecer normas similares para todos los delitos juveniles, pero aún hay que establecer la base jurídica necesaria (por ejemplo, la introducción de medidas alternativas en los procedimientos penales), sin la cual las medidas de acompañamiento educativo pueden aplicarse, en el mejor de los casos, </w:t>
      </w:r>
      <w:r>
        <w:rPr>
          <w:i/>
          <w:iCs/>
        </w:rPr>
        <w:t xml:space="preserve">praeter legem </w:t>
      </w:r>
      <w:r>
        <w:t>y de manera voluntaria.</w:t>
      </w:r>
    </w:p>
    <w:p w:rsidR="00000000" w:rsidRDefault="00000000">
      <w:pPr>
        <w:spacing w:after="240"/>
        <w:ind w:left="924" w:hanging="357"/>
      </w:pPr>
      <w:r>
        <w:t>-</w:t>
      </w:r>
      <w:r>
        <w:tab/>
        <w:t>Se ha determinado un procedimiento específico de atención a los menores no acompañados, que garantiza el profesionalismo en la admisión, el alojamiento y la orientación de menores.  Actualmente se encomienda su cuidado a dos personas.  Un experto con formación pedagógica y psicológica se encarga de los problemas personales del menor y un experto jurídico se ocupa de los problemas legales.  En el marco de la Administración, la Oficina de Inmigración y Pasaportes notifica la presencia del menor no acompañado a la División del Niño y la Juventud.  Ésta presentará las solicitudes correspondientes al Tribunal de Justicia de Liechtenstein.  Hasta que se tome una decisión, la División del Niño y la Juventud se ocupará del niño, lo que resulta particularmente importante en cuanto a su colocación adecuada en un centro juvenil o una familia de acogida.</w:t>
      </w:r>
    </w:p>
    <w:p w:rsidR="00000000" w:rsidRDefault="00000000">
      <w:pPr>
        <w:spacing w:after="240"/>
        <w:rPr>
          <w:b/>
          <w:bCs/>
        </w:rPr>
      </w:pPr>
      <w:r>
        <w:rPr>
          <w:b/>
          <w:bCs/>
        </w:rPr>
        <w:t>Nuevos programas y proyectos ejecutados y su alcance</w:t>
      </w:r>
    </w:p>
    <w:p w:rsidR="00000000" w:rsidRDefault="00000000">
      <w:pPr>
        <w:spacing w:after="240"/>
        <w:ind w:left="924" w:hanging="357"/>
      </w:pPr>
      <w:r>
        <w:t>-</w:t>
      </w:r>
      <w:r>
        <w:tab/>
      </w:r>
      <w:r>
        <w:rPr>
          <w:b/>
          <w:bCs/>
        </w:rPr>
        <w:t xml:space="preserve">Violencia juvenil:  </w:t>
      </w:r>
      <w:r>
        <w:t>Siguiendo instrucciones del Gobierno, la Comisión de Protección contra la Violencia prepara una campaña de prevención juvenil, cuya piedra angular es un documental sobre la violencia juvenil, producido con el patrocinio del cantón suizo de St. Gallen y el Principado de Liechtenstein; se pretende que la película dé pie a un debate sobre ese tema en las escuelas, las asociaciones de padres, la asistencia pública a los jóvenes y el voluntariado juvenil (</w:t>
      </w:r>
      <w:r>
        <w:rPr>
          <w:i/>
          <w:iCs/>
        </w:rPr>
        <w:t>Scouts</w:t>
      </w:r>
      <w:r>
        <w:t>, asociaciones deportivas, etc.).  La campaña está prevista para 2006-2007.  En colaboración con los municipios, la Comisión de Protección contra la Violencia también procura establecer medidas para la organización de eventos (carnavales, ferias anuales, etc.) y obligar a los organizadores a respetarlas, con el fin de proteger mejor a los menores y reducir la violencia juvenil en las circunstancias propias de tales eventos.  La experiencia de los países vecinos prueba que protegiendo bien a los menores se logra una disminución pronunciada de la violencia y la delincuencia juveniles, al menos en sistemas sociales rurales.</w:t>
      </w:r>
    </w:p>
    <w:p w:rsidR="00000000" w:rsidRDefault="00000000">
      <w:pPr>
        <w:spacing w:after="240"/>
        <w:ind w:left="924" w:hanging="357"/>
      </w:pPr>
      <w:r>
        <w:t>-</w:t>
      </w:r>
      <w:r>
        <w:tab/>
      </w:r>
      <w:r>
        <w:rPr>
          <w:b/>
          <w:bCs/>
        </w:rPr>
        <w:t xml:space="preserve">Jupi, un CD para la identificación temprana del peligro (2004):  </w:t>
      </w:r>
      <w:r>
        <w:t>Jupi ("Jugendprävention International", Prevención Juvenil Internacional) es un programa informático de prevención secundaria de adicciones destinado a las personas que trabajan con adolescentes.  Tiene por objeto ayudarlos a identificar las conductas reveladoras de los jóvenes de clubes o grupos y a reaccionar adecuadamente.  Además de las opciones de identificación e intervención tempranas, Jupi también abarca otras medidas preventivas.  El CD fue subvencionado por el programa Interreg II de la Unión Europea "Rin Alpino - Lago de Constanza - Alto Rin" y la Secretaría de Estado suiza para Asuntos Económicos.  Liechtenstein estuvo representado como socio del proyecto por la Comisión de Adicciones.</w:t>
      </w:r>
    </w:p>
    <w:p w:rsidR="00000000" w:rsidRDefault="00000000">
      <w:pPr>
        <w:spacing w:after="240"/>
        <w:ind w:left="924" w:hanging="357"/>
      </w:pPr>
      <w:r>
        <w:t>-</w:t>
      </w:r>
      <w:r>
        <w:tab/>
      </w:r>
      <w:r>
        <w:rPr>
          <w:b/>
          <w:bCs/>
        </w:rPr>
        <w:t xml:space="preserve">Concurso interregional de proyectos juveniles de Vorarlberg, Cantón de St. Gallen y Liechtenstein (2005):  </w:t>
      </w:r>
      <w:r>
        <w:t>Se convoca a los jóvenes de 14 a 25 años a presentar proyectos realizados para su evaluación nacional.  Los evalúa un jurado (compuesto por adultos y jóvenes de hasta 20 años) que concede premios en metálico a los mejores proyectos.  Pueden participar en el concurso internacional dos proyectos de cada región.  Éstos son nuevamente evaluados, esta vez por un jurado de jóvenes, que considera en primer lugar la manera de presentarlos, así como  la idea y su puesta en práctica.</w:t>
      </w:r>
    </w:p>
    <w:p w:rsidR="00000000" w:rsidRDefault="00000000">
      <w:pPr>
        <w:spacing w:after="240"/>
      </w:pPr>
      <w:r>
        <w:t>Vaduz, 6 de diciembre de 2005</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lang w:val="es-ES_tradnl"/>
        </w:rPr>
      </w:pPr>
      <w:r>
        <w:rPr>
          <w:rStyle w:val="FootnoteReference"/>
        </w:rPr>
        <w:footnoteRef/>
      </w:r>
      <w:r>
        <w:t xml:space="preserve"> Recurso de 19 de abril de 2005 contra la Decisión del Gobierno del Principado de </w:t>
      </w:r>
      <w:r>
        <w:rPr>
          <w:lang w:val="es-ES_tradnl"/>
        </w:rPr>
        <w:t>Liechtenstein de 21/23 de septiembre de 2004, RA 2004/1947-2531.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CRC/C/LIE/Q/2/Add.1</w:t>
    </w:r>
  </w:p>
  <w:p w:rsidR="00000000" w:rsidRDefault="00000000">
    <w:pPr>
      <w:pStyle w:val="Header"/>
    </w:pPr>
    <w:r>
      <w:t xml:space="preserve">página </w:t>
    </w:r>
    <w:r>
      <w:fldChar w:fldCharType="begin"/>
    </w:r>
    <w: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80"/>
      </w:tabs>
      <w:rPr>
        <w:lang w:val="en-GB"/>
      </w:rPr>
    </w:pPr>
    <w:r>
      <w:tab/>
    </w:r>
    <w:r>
      <w:rPr>
        <w:lang w:val="en-GB"/>
      </w:rPr>
      <w:t>CRC/C/LIE/Q/2/Add.1</w:t>
    </w:r>
  </w:p>
  <w:p w:rsidR="00000000" w:rsidRDefault="00000000">
    <w:pPr>
      <w:tabs>
        <w:tab w:val="left" w:pos="7080"/>
      </w:tabs>
    </w:pPr>
    <w:r>
      <w:rPr>
        <w:lang w:val="en-GB"/>
      </w:rPr>
      <w:tab/>
    </w:r>
    <w:r>
      <w:t xml:space="preserve">página </w:t>
    </w:r>
    <w:r>
      <w:fldChar w:fldCharType="begin"/>
    </w:r>
    <w:r>
      <w:instrText xml:space="preserve"> PAGE  \* MERGEFORMAT </w:instrText>
    </w:r>
    <w:r>
      <w:fldChar w:fldCharType="separate"/>
    </w:r>
    <w:r>
      <w:rPr>
        <w:noProof/>
      </w:rPr>
      <w:t>19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94D27"/>
    <w:multiLevelType w:val="hybridMultilevel"/>
    <w:tmpl w:val="45D43C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line="840" w:lineRule="auto"/>
      <w:outlineLvl w:val="0"/>
    </w:pPr>
    <w:rPr>
      <w:b/>
      <w:bCs/>
      <w:u w:val="single"/>
    </w:rPr>
  </w:style>
  <w:style w:type="paragraph" w:styleId="Heading3">
    <w:name w:val="heading 3"/>
    <w:basedOn w:val="Normal"/>
    <w:next w:val="Normal"/>
    <w:qFormat/>
    <w:pPr>
      <w:keepNext/>
      <w:spacing w:after="240" w:line="840" w:lineRule="auto"/>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10391</Words>
  <Characters>59229</Characters>
  <Application>Microsoft Office Word</Application>
  <DocSecurity>4</DocSecurity>
  <Lines>493</Lines>
  <Paragraphs>118</Paragraphs>
  <ScaleCrop>false</ScaleCrop>
  <HeadingPairs>
    <vt:vector size="2" baseType="variant">
      <vt:variant>
        <vt:lpstr>Título</vt:lpstr>
      </vt:variant>
      <vt:variant>
        <vt:i4>1</vt:i4>
      </vt:variant>
    </vt:vector>
  </HeadingPairs>
  <TitlesOfParts>
    <vt:vector size="1" baseType="lpstr">
      <vt:lpstr>CRC/C/LIE/Q/2/Add.1 - 05-45467</vt:lpstr>
    </vt:vector>
  </TitlesOfParts>
  <Company>ONU</Company>
  <LinksUpToDate>false</LinksUpToDate>
  <CharactersWithSpaces>72737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CRC/C/LIE/Q/2/Add.1 - 05-45467</dc:title>
  <dc:subject/>
  <dc:creator>Enri</dc:creator>
  <cp:keywords/>
  <dc:description/>
  <cp:lastModifiedBy>PDF</cp:lastModifiedBy>
  <cp:revision>2</cp:revision>
  <cp:lastPrinted>2006-01-06T09:55:00Z</cp:lastPrinted>
  <dcterms:created xsi:type="dcterms:W3CDTF">2006-01-06T09:57:00Z</dcterms:created>
  <dcterms:modified xsi:type="dcterms:W3CDTF">2006-01-06T09:57:00Z</dcterms:modified>
</cp:coreProperties>
</file>