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0000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00000" w:rsidRDefault="00000000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  <w:rPr>
                <w:lang w:val="en-GB"/>
              </w:rPr>
            </w:pPr>
            <w:r>
              <w:rPr>
                <w:sz w:val="40"/>
                <w:lang w:val="en-GB"/>
              </w:rPr>
              <w:t>CAT</w:t>
            </w:r>
            <w:r>
              <w:rPr>
                <w:lang w:val="en-GB"/>
              </w:rPr>
              <w:t>/C/NAM/Q/2/Corr.1</w:t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contra la Tortura</w:t>
            </w:r>
            <w:r>
              <w:rPr>
                <w:b/>
                <w:sz w:val="34"/>
                <w:szCs w:val="34"/>
              </w:rPr>
              <w:br/>
              <w:t>y Otros Tratos o Penas Crueles,</w:t>
            </w:r>
            <w:r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</w:pPr>
            <w:r>
              <w:t>Distr. general</w:t>
            </w:r>
          </w:p>
          <w:p w:rsidR="00000000" w:rsidRDefault="00000000">
            <w:r>
              <w:t>18 de marzo de 2010</w:t>
            </w:r>
          </w:p>
          <w:p w:rsidR="00000000" w:rsidRDefault="00000000">
            <w:r>
              <w:t>Español</w:t>
            </w:r>
          </w:p>
          <w:p w:rsidR="00000000" w:rsidRDefault="00000000">
            <w:r>
              <w:t>Original: inglés</w:t>
            </w:r>
          </w:p>
        </w:tc>
      </w:tr>
    </w:tbl>
    <w:p w:rsidR="00000000" w:rsidRDefault="00000000">
      <w:pPr>
        <w:spacing w:before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contra la Tortura</w:t>
      </w:r>
    </w:p>
    <w:p w:rsidR="00000000" w:rsidRDefault="00000000">
      <w:pPr>
        <w:spacing w:line="240" w:lineRule="auto"/>
      </w:pPr>
      <w:r>
        <w:t>43º período de sesiones</w:t>
      </w:r>
    </w:p>
    <w:p w:rsidR="00000000" w:rsidRDefault="00000000">
      <w:pPr>
        <w:spacing w:after="240" w:line="240" w:lineRule="auto"/>
      </w:pPr>
      <w:r>
        <w:t>2 a 20 de noviembre de 2009</w:t>
      </w:r>
    </w:p>
    <w:p w:rsidR="00000000" w:rsidRDefault="00000000">
      <w:pPr>
        <w:pStyle w:val="HChG"/>
      </w:pPr>
      <w:r>
        <w:tab/>
      </w:r>
      <w:r>
        <w:tab/>
        <w:t>Lista de cuestiones que deben abordarse antes de la presentación del segundo informe periódico de Namibia (CAT/C/NAM/2)</w:t>
      </w:r>
    </w:p>
    <w:p w:rsidR="00000000" w:rsidRDefault="00000000">
      <w:pPr>
        <w:pStyle w:val="H1G"/>
      </w:pPr>
      <w:r>
        <w:tab/>
      </w:r>
      <w:r>
        <w:tab/>
        <w:t>Información específica sobre la aplicación de los artículos 1 a 16 de la Convención, en particular respecto de las recomendaciones anteriores del Comité</w:t>
      </w:r>
    </w:p>
    <w:p w:rsidR="00000000" w:rsidRDefault="00000000">
      <w:pPr>
        <w:pStyle w:val="H23G"/>
      </w:pPr>
      <w:r>
        <w:tab/>
      </w:r>
      <w:r>
        <w:tab/>
        <w:t>Corrección</w:t>
      </w:r>
    </w:p>
    <w:p w:rsidR="00000000" w:rsidRDefault="00000000">
      <w:pPr>
        <w:pStyle w:val="H1G"/>
      </w:pPr>
      <w:r>
        <w:tab/>
      </w:r>
      <w:r>
        <w:tab/>
        <w:t xml:space="preserve">Artículo 2 </w:t>
      </w:r>
    </w:p>
    <w:p w:rsidR="00000000" w:rsidRDefault="00000000">
      <w:pPr>
        <w:pStyle w:val="SingleTxtG"/>
      </w:pPr>
      <w:r>
        <w:tab/>
        <w:t xml:space="preserve">En las líneas segunda y tercera del párrafo 8, </w:t>
      </w:r>
      <w:r>
        <w:rPr>
          <w:i/>
        </w:rPr>
        <w:t>donde dice</w:t>
      </w:r>
      <w:r>
        <w:t xml:space="preserve"> CERD/C/NAM/12, párr. 219, </w:t>
      </w:r>
      <w:r>
        <w:rPr>
          <w:i/>
        </w:rPr>
        <w:t xml:space="preserve">debe decir </w:t>
      </w:r>
      <w:r>
        <w:t xml:space="preserve"> CERD/C/NAM/12, párr. 237.</w:t>
      </w:r>
    </w:p>
    <w:p w:rsidR="00000000" w:rsidRDefault="00000000">
      <w:pPr>
        <w:pStyle w:val="H1G"/>
      </w:pPr>
      <w:r>
        <w:tab/>
      </w:r>
      <w:r>
        <w:tab/>
        <w:t>Artículo 3</w:t>
      </w:r>
    </w:p>
    <w:p w:rsidR="00000000" w:rsidRDefault="00000000">
      <w:pPr>
        <w:pStyle w:val="SingleTxtG"/>
      </w:pPr>
      <w:r>
        <w:tab/>
        <w:t xml:space="preserve">Las líneas primera y segunda del párrafo 13 </w:t>
      </w:r>
      <w:r>
        <w:rPr>
          <w:i/>
        </w:rPr>
        <w:t>deben decir</w:t>
      </w:r>
      <w:r>
        <w:t>:</w:t>
      </w:r>
    </w:p>
    <w:p w:rsidR="00000000" w:rsidRDefault="00000000">
      <w:pPr>
        <w:pStyle w:val="SingleTxtG"/>
        <w:ind w:left="1701"/>
      </w:pPr>
      <w:r>
        <w:tab/>
        <w:t>De conformidad con la información proporcionada por el Estado parte (CERD/C/NAM/12, párr. 235), en 2006 las autoridades de inmigración y la policía detuvieron a "alrededor de 48 refugiados y solicitantes de asilo".</w:t>
      </w:r>
    </w:p>
    <w:p w:rsidR="00000000" w:rsidRDefault="00000000">
      <w:pPr>
        <w:pStyle w:val="SingleTxtG"/>
        <w:rPr>
          <w:bCs/>
        </w:rPr>
      </w:pPr>
      <w:r>
        <w:tab/>
        <w:t xml:space="preserve">En la primera línea del párrafo 15, </w:t>
      </w:r>
      <w:r>
        <w:rPr>
          <w:i/>
        </w:rPr>
        <w:t>donde dice</w:t>
      </w:r>
      <w:r>
        <w:t xml:space="preserve"> CERD/C/NAM/12, párr. 222, </w:t>
      </w:r>
      <w:r>
        <w:rPr>
          <w:i/>
        </w:rPr>
        <w:t>debe decir</w:t>
      </w:r>
      <w:r>
        <w:t xml:space="preserve"> CERD/C/NAM/12, párr. 240.</w:t>
      </w:r>
    </w:p>
    <w:p w:rsidR="00000000" w:rsidRDefault="00000000">
      <w:pPr>
        <w:spacing w:before="240" w:after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GE.10-41297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GE.10-41297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sz w:val="20"/>
      </w:rPr>
      <w:t>GE.10-41297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5.4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    240310    240310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CAT/C/NAM/Q/2/Corr.1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  <w:rPr>
        <w:lang w:val="en-GB"/>
      </w:rPr>
    </w:pPr>
    <w:r>
      <w:rPr>
        <w:lang w:val="en-GB"/>
      </w:rPr>
      <w:t>CAT/C/NAM/Q/2/Corr.1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Pr>
      <w:sz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HTMLAcronym">
    <w:name w:val="HTML Acronym"/>
    <w:basedOn w:val="DefaultParagraphFont"/>
    <w:semiHidden/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Closing">
    <w:name w:val="Closing"/>
    <w:basedOn w:val="Normal"/>
    <w:semiHidden/>
    <w:pPr>
      <w:ind w:left="4252"/>
    </w:p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character" w:styleId="HTMLDefinition">
    <w:name w:val="HTML Definition"/>
    <w:semiHidden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aliases w:val="7_G"/>
    <w:rPr>
      <w:b/>
      <w:sz w:val="1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NormalIndent">
    <w:name w:val="Normal Indent"/>
    <w:basedOn w:val="Normal"/>
    <w:semiHidden/>
    <w:pPr>
      <w:ind w:left="567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dnoteText">
    <w:name w:val="endnote text"/>
    <w:aliases w:val="2_G"/>
    <w:basedOn w:val="FootnoteText"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Pr>
      <w:i/>
      <w:iCs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168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CAT/C/NAM/Q/2/Corr.1 - 10-41297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CAT/C/NAM/Q/2/Corr.1 - 10-41297</dc:title>
  <dc:subject>FINAL</dc:subject>
  <dc:creator>Ricardo Sáenz</dc:creator>
  <cp:keywords/>
  <dc:description/>
  <cp:lastModifiedBy>Admieng</cp:lastModifiedBy>
  <cp:revision>2</cp:revision>
  <cp:lastPrinted>2010-03-24T12:11:00Z</cp:lastPrinted>
  <dcterms:created xsi:type="dcterms:W3CDTF">2010-03-24T13:20:00Z</dcterms:created>
  <dcterms:modified xsi:type="dcterms:W3CDTF">2010-03-24T13:20:00Z</dcterms:modified>
</cp:coreProperties>
</file>