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0A1CB7">
            <w:pPr>
              <w:jc w:val="right"/>
            </w:pPr>
            <w:r w:rsidRPr="00A079D3">
              <w:rPr>
                <w:sz w:val="40"/>
              </w:rPr>
              <w:t>CAT</w:t>
            </w:r>
            <w:r w:rsidR="002D3742">
              <w:t>/C/</w:t>
            </w:r>
            <w:r w:rsidR="000A1CB7">
              <w:t>GBR</w:t>
            </w:r>
            <w:r w:rsidR="00BE32C5">
              <w:t>/Q</w:t>
            </w:r>
            <w:r w:rsidR="00167967">
              <w:t>/</w:t>
            </w:r>
            <w:r w:rsidR="000A1CB7">
              <w:t>5</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66365" w:rsidRPr="00B522E9" w:rsidRDefault="00B522E9" w:rsidP="005672B1">
            <w:pPr>
              <w:spacing w:before="240" w:line="240" w:lineRule="exact"/>
              <w:rPr>
                <w:lang w:val="en-US"/>
              </w:rPr>
            </w:pPr>
            <w:r w:rsidRPr="00B522E9">
              <w:rPr>
                <w:lang w:val="en-US"/>
              </w:rPr>
              <w:t xml:space="preserve">Distr.: </w:t>
            </w:r>
            <w:r w:rsidR="002C2CB2">
              <w:rPr>
                <w:lang w:val="en-US"/>
              </w:rPr>
              <w:t>General</w:t>
            </w:r>
            <w:r w:rsidR="00A66365">
              <w:rPr>
                <w:lang w:val="en-US"/>
              </w:rPr>
              <w:br/>
            </w:r>
            <w:r w:rsidR="00FB0ED9">
              <w:rPr>
                <w:lang w:val="en-US"/>
              </w:rPr>
              <w:t>17</w:t>
            </w:r>
            <w:r w:rsidR="008355E4">
              <w:rPr>
                <w:lang w:val="en-US"/>
              </w:rPr>
              <w:t xml:space="preserve"> </w:t>
            </w:r>
            <w:r w:rsidR="005672B1">
              <w:rPr>
                <w:lang w:val="en-US"/>
              </w:rPr>
              <w:t>January 2013</w:t>
            </w:r>
            <w:r w:rsidR="00A66365">
              <w:rPr>
                <w:lang w:val="en-US"/>
              </w:rPr>
              <w:br/>
            </w:r>
          </w:p>
          <w:p w:rsidR="00B56E9C" w:rsidRPr="00B522E9" w:rsidRDefault="00FD615B" w:rsidP="00FD615B">
            <w:pPr>
              <w:spacing w:line="240" w:lineRule="exact"/>
              <w:rPr>
                <w:lang w:val="en-US"/>
              </w:rPr>
            </w:pPr>
            <w:r w:rsidRPr="00B522E9">
              <w:rPr>
                <w:lang w:val="en-US"/>
              </w:rPr>
              <w:t xml:space="preserve">Original: </w:t>
            </w:r>
            <w:r w:rsidR="00B522E9" w:rsidRPr="00B522E9">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927EC8" w:rsidRDefault="00DB2BA9" w:rsidP="00C40514">
      <w:pPr>
        <w:pStyle w:val="HChG"/>
      </w:pPr>
      <w:r>
        <w:tab/>
      </w:r>
      <w:r>
        <w:tab/>
      </w:r>
      <w:r w:rsidR="00701D06">
        <w:t>L</w:t>
      </w:r>
      <w:r w:rsidR="00927EC8" w:rsidRPr="00927EC8">
        <w:t xml:space="preserve">ist of issues in connection with the consideration of the </w:t>
      </w:r>
      <w:r w:rsidR="000A1CB7">
        <w:t>fifth</w:t>
      </w:r>
      <w:r w:rsidR="00927EC8" w:rsidRPr="00927EC8">
        <w:t xml:space="preserve"> periodic report of </w:t>
      </w:r>
      <w:r w:rsidR="000A1CB7">
        <w:t xml:space="preserve">the </w:t>
      </w:r>
      <w:r w:rsidR="004643BE">
        <w:t>United Kingdom of Great Britain and Northern Ireland</w:t>
      </w:r>
      <w:r w:rsidR="002C2CB2">
        <w:t>,</w:t>
      </w:r>
      <w:r w:rsidR="005672B1">
        <w:t xml:space="preserve"> </w:t>
      </w:r>
      <w:r w:rsidR="002C2CB2">
        <w:t>adopted by the Committee at its forty-ninth session (29 October-23 November 2012)</w:t>
      </w:r>
    </w:p>
    <w:p w:rsidR="000F57D3" w:rsidRPr="000F57D3" w:rsidRDefault="007A48D8" w:rsidP="00137AEB">
      <w:pPr>
        <w:pStyle w:val="H1G"/>
        <w:rPr>
          <w:lang w:eastAsia="fr-FR"/>
        </w:rPr>
      </w:pPr>
      <w:r>
        <w:rPr>
          <w:rFonts w:eastAsia="Malgun Gothic"/>
        </w:rPr>
        <w:tab/>
      </w:r>
      <w:r w:rsidR="00137AEB">
        <w:rPr>
          <w:rFonts w:eastAsia="Malgun Gothic"/>
        </w:rPr>
        <w:t>I.</w:t>
      </w:r>
      <w:r w:rsidR="00707661">
        <w:rPr>
          <w:lang w:eastAsia="fr-FR"/>
        </w:rPr>
        <w:tab/>
      </w:r>
      <w:r w:rsidR="000F57D3" w:rsidRPr="000F57D3">
        <w:rPr>
          <w:lang w:eastAsia="fr-FR"/>
        </w:rPr>
        <w:t xml:space="preserve">Metropolitan territory – England, Scotland, </w:t>
      </w:r>
      <w:smartTag w:uri="urn:schemas-microsoft-com:office:smarttags" w:element="country-region">
        <w:r w:rsidR="000F57D3" w:rsidRPr="000F57D3">
          <w:rPr>
            <w:lang w:eastAsia="fr-FR"/>
          </w:rPr>
          <w:t>Wales</w:t>
        </w:r>
      </w:smartTag>
      <w:r w:rsidR="000F57D3" w:rsidRPr="000F57D3">
        <w:rPr>
          <w:lang w:eastAsia="fr-FR"/>
        </w:rPr>
        <w:t xml:space="preserve"> and </w:t>
      </w:r>
      <w:smartTag w:uri="urn:schemas-microsoft-com:office:smarttags" w:element="country-region">
        <w:smartTag w:uri="urn:schemas-microsoft-com:office:smarttags" w:element="place">
          <w:r w:rsidR="000F57D3" w:rsidRPr="000F57D3">
            <w:rPr>
              <w:lang w:eastAsia="fr-FR"/>
            </w:rPr>
            <w:t>Northern Ireland</w:t>
          </w:r>
        </w:smartTag>
      </w:smartTag>
    </w:p>
    <w:p w:rsidR="000F57D3" w:rsidRPr="000F57D3" w:rsidRDefault="000F57D3" w:rsidP="000F57D3">
      <w:pPr>
        <w:pStyle w:val="H23G"/>
        <w:rPr>
          <w:lang w:eastAsia="fr-FR"/>
        </w:rPr>
      </w:pPr>
      <w:r>
        <w:rPr>
          <w:lang w:eastAsia="fr-FR"/>
        </w:rPr>
        <w:tab/>
      </w:r>
      <w:r>
        <w:rPr>
          <w:lang w:eastAsia="fr-FR"/>
        </w:rPr>
        <w:tab/>
      </w:r>
      <w:r w:rsidRPr="000F57D3">
        <w:rPr>
          <w:lang w:eastAsia="fr-FR"/>
        </w:rPr>
        <w:t>Articles 1 and 4</w:t>
      </w:r>
    </w:p>
    <w:p w:rsidR="000F57D3" w:rsidRPr="000F57D3" w:rsidRDefault="00CD36FD" w:rsidP="00CD36FD">
      <w:pPr>
        <w:pStyle w:val="SingleTxtG"/>
        <w:rPr>
          <w:lang w:eastAsia="fr-FR"/>
        </w:rPr>
      </w:pPr>
      <w:r w:rsidRPr="000F57D3">
        <w:rPr>
          <w:lang w:eastAsia="fr-FR"/>
        </w:rPr>
        <w:t>1.</w:t>
      </w:r>
      <w:r w:rsidRPr="000F57D3">
        <w:rPr>
          <w:lang w:eastAsia="fr-FR"/>
        </w:rPr>
        <w:tab/>
      </w:r>
      <w:r w:rsidR="000F57D3" w:rsidRPr="00CD36FD">
        <w:rPr>
          <w:lang w:eastAsia="fr-FR"/>
        </w:rPr>
        <w:t>Are</w:t>
      </w:r>
      <w:r w:rsidR="000F57D3" w:rsidRPr="000F57D3">
        <w:rPr>
          <w:lang w:eastAsia="fr-FR"/>
        </w:rPr>
        <w:t xml:space="preserve"> there any plans to formally incorporate the Convention against Torture and Other Cruel, Inhuman or Degrading Treatment of Punishment (the Convention) into domestic law as was done for the European Convention on Human Rights (ECHR) through the Human Rights Act 1998 (HRA)?</w:t>
      </w:r>
      <w:r w:rsidR="000F57D3" w:rsidRPr="000F57D3">
        <w:rPr>
          <w:rFonts w:ascii="Verdana" w:hAnsi="Verdana"/>
          <w:color w:val="333333"/>
          <w:sz w:val="18"/>
          <w:szCs w:val="18"/>
          <w:lang w:eastAsia="fr-FR"/>
        </w:rPr>
        <w:t xml:space="preserve"> </w:t>
      </w:r>
      <w:r w:rsidR="000F57D3" w:rsidRPr="000F57D3">
        <w:rPr>
          <w:lang w:eastAsia="fr-FR"/>
        </w:rPr>
        <w:t xml:space="preserve">If not, how does the State party ensure that the Convention is fully applicable in the domestic legal system, and that its provisions are fully incorporated into national legislation? </w:t>
      </w:r>
    </w:p>
    <w:p w:rsidR="000F57D3" w:rsidRPr="000F57D3" w:rsidRDefault="00CD36FD" w:rsidP="00CD36FD">
      <w:pPr>
        <w:pStyle w:val="H23G"/>
        <w:rPr>
          <w:lang w:eastAsia="fr-FR"/>
        </w:rPr>
      </w:pPr>
      <w:r>
        <w:rPr>
          <w:lang w:eastAsia="fr-FR"/>
        </w:rPr>
        <w:tab/>
      </w:r>
      <w:r>
        <w:rPr>
          <w:lang w:eastAsia="fr-FR"/>
        </w:rPr>
        <w:tab/>
      </w:r>
      <w:r w:rsidR="000F57D3" w:rsidRPr="000F57D3">
        <w:rPr>
          <w:lang w:eastAsia="fr-FR"/>
        </w:rPr>
        <w:t>Article 2</w:t>
      </w:r>
      <w:r w:rsidR="000F57D3" w:rsidRPr="000F57D3">
        <w:rPr>
          <w:vertAlign w:val="superscript"/>
          <w:lang w:eastAsia="fr-FR"/>
        </w:rPr>
        <w:footnoteReference w:id="2"/>
      </w:r>
    </w:p>
    <w:p w:rsidR="000F57D3" w:rsidRPr="000F57D3" w:rsidRDefault="00CD36FD" w:rsidP="00CD36FD">
      <w:pPr>
        <w:pStyle w:val="SingleTxtG"/>
        <w:rPr>
          <w:lang w:eastAsia="fr-FR"/>
        </w:rPr>
      </w:pPr>
      <w:r w:rsidRPr="000F57D3">
        <w:rPr>
          <w:lang w:eastAsia="fr-FR"/>
        </w:rPr>
        <w:t>2.</w:t>
      </w:r>
      <w:r w:rsidRPr="000F57D3">
        <w:rPr>
          <w:lang w:eastAsia="fr-FR"/>
        </w:rPr>
        <w:tab/>
      </w:r>
      <w:r w:rsidR="000F57D3" w:rsidRPr="000F57D3">
        <w:rPr>
          <w:lang w:eastAsia="fr-FR"/>
        </w:rPr>
        <w:t xml:space="preserve">Given the national debate about the drafting of a Bill of Rights and the possible repeal of the Human Rights Act 1998, please confirm that the Bill of Rights will not, if enacted, repeal the incorporation of the ECHR into domestic law, weaken the mechanisms for its enforcement nor undermine the prevention of torture, cruel, inhuman or degrading treatment or punishment. </w:t>
      </w:r>
    </w:p>
    <w:p w:rsidR="000F57D3" w:rsidRPr="000F57D3" w:rsidRDefault="00CD36FD" w:rsidP="00CD36FD">
      <w:pPr>
        <w:pStyle w:val="SingleTxtG"/>
        <w:rPr>
          <w:lang w:eastAsia="fr-FR"/>
        </w:rPr>
      </w:pPr>
      <w:r w:rsidRPr="000F57D3">
        <w:rPr>
          <w:lang w:eastAsia="fr-FR"/>
        </w:rPr>
        <w:t>3.</w:t>
      </w:r>
      <w:r w:rsidRPr="000F57D3">
        <w:rPr>
          <w:lang w:eastAsia="fr-FR"/>
        </w:rPr>
        <w:tab/>
      </w:r>
      <w:r w:rsidR="000F57D3" w:rsidRPr="000F57D3">
        <w:rPr>
          <w:lang w:eastAsia="fr-FR"/>
        </w:rPr>
        <w:t xml:space="preserve">Please provide updated information on the development of a Bill of Rights for </w:t>
      </w:r>
      <w:smartTag w:uri="urn:schemas-microsoft-com:office:smarttags" w:element="country-region">
        <w:smartTag w:uri="urn:schemas-microsoft-com:office:smarttags" w:element="place">
          <w:r w:rsidR="000F57D3" w:rsidRPr="000F57D3">
            <w:rPr>
              <w:lang w:eastAsia="fr-FR"/>
            </w:rPr>
            <w:t>Northern Ireland</w:t>
          </w:r>
        </w:smartTag>
      </w:smartTag>
      <w:r w:rsidR="000F57D3" w:rsidRPr="000F57D3">
        <w:rPr>
          <w:lang w:eastAsia="fr-FR"/>
        </w:rPr>
        <w:t>.</w:t>
      </w:r>
    </w:p>
    <w:p w:rsidR="000F57D3" w:rsidRPr="000F57D3" w:rsidRDefault="00CD36FD" w:rsidP="00095BC7">
      <w:pPr>
        <w:pStyle w:val="SingleTxtG"/>
        <w:rPr>
          <w:u w:val="single"/>
          <w:lang w:eastAsia="fr-FR"/>
        </w:rPr>
      </w:pPr>
      <w:r w:rsidRPr="000F57D3">
        <w:rPr>
          <w:lang w:eastAsia="fr-FR"/>
        </w:rPr>
        <w:t>4.</w:t>
      </w:r>
      <w:r w:rsidRPr="000F57D3">
        <w:rPr>
          <w:lang w:eastAsia="fr-FR"/>
        </w:rPr>
        <w:tab/>
      </w:r>
      <w:r w:rsidR="000F57D3" w:rsidRPr="000F57D3">
        <w:rPr>
          <w:lang w:eastAsia="fr-FR"/>
        </w:rPr>
        <w:t>The European Court of Human Rights has ruled in two judgments (</w:t>
      </w:r>
      <w:r w:rsidR="000F57D3" w:rsidRPr="000F57D3">
        <w:rPr>
          <w:i/>
          <w:lang w:eastAsia="fr-FR"/>
        </w:rPr>
        <w:t>Al-Skeini and others</w:t>
      </w:r>
      <w:r w:rsidR="000F57D3" w:rsidRPr="00A545A7">
        <w:rPr>
          <w:iCs/>
          <w:lang w:eastAsia="fr-FR"/>
        </w:rPr>
        <w:t xml:space="preserve"> v.</w:t>
      </w:r>
      <w:r w:rsidR="000F57D3" w:rsidRPr="000F57D3">
        <w:rPr>
          <w:i/>
          <w:lang w:eastAsia="fr-FR"/>
        </w:rPr>
        <w:t xml:space="preserve"> the </w:t>
      </w:r>
      <w:smartTag w:uri="urn:schemas-microsoft-com:office:smarttags" w:element="country-region">
        <w:r w:rsidR="000F57D3" w:rsidRPr="000F57D3">
          <w:rPr>
            <w:i/>
            <w:lang w:eastAsia="fr-FR"/>
          </w:rPr>
          <w:t>UK</w:t>
        </w:r>
      </w:smartTag>
      <w:r w:rsidR="000F57D3" w:rsidRPr="000F57D3">
        <w:rPr>
          <w:lang w:eastAsia="fr-FR"/>
        </w:rPr>
        <w:t xml:space="preserve">, and </w:t>
      </w:r>
      <w:r w:rsidR="000F57D3" w:rsidRPr="000F57D3">
        <w:rPr>
          <w:i/>
          <w:lang w:eastAsia="fr-FR"/>
        </w:rPr>
        <w:t>Al-Jedda</w:t>
      </w:r>
      <w:r w:rsidR="000F57D3" w:rsidRPr="00A545A7">
        <w:rPr>
          <w:iCs/>
          <w:lang w:eastAsia="fr-FR"/>
        </w:rPr>
        <w:t xml:space="preserve"> v.</w:t>
      </w:r>
      <w:r w:rsidR="000F57D3" w:rsidRPr="000F57D3">
        <w:rPr>
          <w:i/>
          <w:lang w:eastAsia="fr-FR"/>
        </w:rPr>
        <w:t xml:space="preserve"> the </w:t>
      </w:r>
      <w:smartTag w:uri="urn:schemas-microsoft-com:office:smarttags" w:element="country-region">
        <w:r w:rsidR="000F57D3" w:rsidRPr="000F57D3">
          <w:rPr>
            <w:i/>
            <w:lang w:eastAsia="fr-FR"/>
          </w:rPr>
          <w:t>UK</w:t>
        </w:r>
      </w:smartTag>
      <w:r w:rsidR="000F57D3" w:rsidRPr="000F57D3">
        <w:rPr>
          <w:lang w:eastAsia="fr-FR"/>
        </w:rPr>
        <w:t xml:space="preserve">, Grand Chamber Judgment, 7 July 2011) that the </w:t>
      </w:r>
      <w:smartTag w:uri="urn:schemas-microsoft-com:office:smarttags" w:element="place">
        <w:smartTag w:uri="urn:schemas-microsoft-com:office:smarttags" w:element="country-region">
          <w:r w:rsidR="000F57D3" w:rsidRPr="000F57D3">
            <w:rPr>
              <w:lang w:eastAsia="fr-FR"/>
            </w:rPr>
            <w:t>United Kingdom</w:t>
          </w:r>
        </w:smartTag>
      </w:smartTag>
      <w:r w:rsidR="000F57D3" w:rsidRPr="000F57D3">
        <w:rPr>
          <w:lang w:eastAsia="fr-FR"/>
        </w:rPr>
        <w:t xml:space="preserve"> had jurisdiction in relation to acts committed abroad</w:t>
      </w:r>
      <w:r w:rsidR="000F57D3" w:rsidRPr="000F57D3">
        <w:rPr>
          <w:vertAlign w:val="superscript"/>
          <w:lang w:eastAsia="fr-FR"/>
        </w:rPr>
        <w:footnoteReference w:id="3"/>
      </w:r>
      <w:r w:rsidR="000F57D3" w:rsidRPr="000F57D3">
        <w:rPr>
          <w:lang w:eastAsia="fr-FR"/>
        </w:rPr>
        <w:t xml:space="preserve"> under </w:t>
      </w:r>
      <w:r w:rsidR="00A545A7">
        <w:rPr>
          <w:lang w:eastAsia="fr-FR"/>
        </w:rPr>
        <w:t>a</w:t>
      </w:r>
      <w:r w:rsidR="00A545A7" w:rsidRPr="000F57D3">
        <w:rPr>
          <w:lang w:eastAsia="fr-FR"/>
        </w:rPr>
        <w:t xml:space="preserve">rticle </w:t>
      </w:r>
      <w:r w:rsidR="000F57D3" w:rsidRPr="000F57D3">
        <w:rPr>
          <w:lang w:eastAsia="fr-FR"/>
        </w:rPr>
        <w:t>1 of the European Convention on Human Rights. Please provide information on steps taken to abide by these judgments, including any public acknowledgement made and amendments of rules and regulations. Please also indicate whether the interpretation of the State party</w:t>
      </w:r>
      <w:r w:rsidR="000F57D3" w:rsidRPr="000F57D3">
        <w:rPr>
          <w:vertAlign w:val="superscript"/>
          <w:lang w:eastAsia="fr-FR"/>
        </w:rPr>
        <w:footnoteReference w:id="4"/>
      </w:r>
      <w:r w:rsidR="003929DA">
        <w:rPr>
          <w:lang w:eastAsia="fr-FR"/>
        </w:rPr>
        <w:t xml:space="preserve"> </w:t>
      </w:r>
      <w:r w:rsidR="000F57D3" w:rsidRPr="000F57D3">
        <w:rPr>
          <w:lang w:eastAsia="fr-FR"/>
        </w:rPr>
        <w:t xml:space="preserve">on the extraterritorial applicability of the </w:t>
      </w:r>
      <w:r w:rsidR="00A545A7">
        <w:rPr>
          <w:lang w:eastAsia="fr-FR"/>
        </w:rPr>
        <w:t>United Nations</w:t>
      </w:r>
      <w:r w:rsidR="00A545A7" w:rsidRPr="000F57D3">
        <w:rPr>
          <w:lang w:eastAsia="fr-FR"/>
        </w:rPr>
        <w:t xml:space="preserve"> </w:t>
      </w:r>
      <w:r w:rsidR="000F57D3" w:rsidRPr="000F57D3">
        <w:rPr>
          <w:lang w:eastAsia="fr-FR"/>
        </w:rPr>
        <w:t xml:space="preserve">Convention against Torture has been revised accordingly and in light </w:t>
      </w:r>
      <w:r w:rsidR="00F541D1">
        <w:rPr>
          <w:lang w:eastAsia="fr-FR"/>
        </w:rPr>
        <w:t xml:space="preserve">of paragraph 7 </w:t>
      </w:r>
      <w:r w:rsidR="000F57D3" w:rsidRPr="000F57D3">
        <w:rPr>
          <w:lang w:eastAsia="fr-FR"/>
        </w:rPr>
        <w:t xml:space="preserve">of </w:t>
      </w:r>
      <w:r w:rsidR="00A545A7">
        <w:rPr>
          <w:lang w:eastAsia="fr-FR"/>
        </w:rPr>
        <w:t>g</w:t>
      </w:r>
      <w:r w:rsidR="000F57D3" w:rsidRPr="000F57D3">
        <w:rPr>
          <w:lang w:eastAsia="fr-FR"/>
        </w:rPr>
        <w:t xml:space="preserve">eneral </w:t>
      </w:r>
      <w:r w:rsidR="00A545A7">
        <w:rPr>
          <w:lang w:eastAsia="fr-FR"/>
        </w:rPr>
        <w:t>c</w:t>
      </w:r>
      <w:r w:rsidR="00A545A7" w:rsidRPr="000F57D3">
        <w:rPr>
          <w:lang w:eastAsia="fr-FR"/>
        </w:rPr>
        <w:t xml:space="preserve">omment </w:t>
      </w:r>
      <w:r w:rsidR="000F57D3" w:rsidRPr="000F57D3">
        <w:rPr>
          <w:lang w:eastAsia="fr-FR"/>
        </w:rPr>
        <w:t>No. 2</w:t>
      </w:r>
      <w:r w:rsidR="00AA4781">
        <w:rPr>
          <w:lang w:eastAsia="fr-FR"/>
        </w:rPr>
        <w:t>.</w:t>
      </w:r>
      <w:r w:rsidR="000F57D3" w:rsidRPr="000F57D3">
        <w:rPr>
          <w:vertAlign w:val="superscript"/>
          <w:lang w:eastAsia="fr-FR"/>
        </w:rPr>
        <w:footnoteReference w:id="5"/>
      </w:r>
      <w:r w:rsidR="000F57D3" w:rsidRPr="000F57D3">
        <w:rPr>
          <w:lang w:eastAsia="fr-FR"/>
        </w:rPr>
        <w:t xml:space="preserve"> </w:t>
      </w:r>
    </w:p>
    <w:p w:rsidR="000F57D3" w:rsidRPr="000F57D3" w:rsidRDefault="00CD36FD" w:rsidP="00475487">
      <w:pPr>
        <w:pStyle w:val="SingleTxtG"/>
        <w:rPr>
          <w:u w:val="single"/>
          <w:lang w:eastAsia="fr-FR"/>
        </w:rPr>
      </w:pPr>
      <w:r w:rsidRPr="000F57D3">
        <w:rPr>
          <w:lang w:eastAsia="fr-FR"/>
        </w:rPr>
        <w:t>5.</w:t>
      </w:r>
      <w:r w:rsidRPr="000F57D3">
        <w:rPr>
          <w:lang w:eastAsia="fr-FR"/>
        </w:rPr>
        <w:tab/>
      </w:r>
      <w:r w:rsidR="000F57D3" w:rsidRPr="000F57D3">
        <w:rPr>
          <w:lang w:eastAsia="fr-FR"/>
        </w:rPr>
        <w:t>Please indicate how the State party means to reconcile its obligations under the Convention</w:t>
      </w:r>
      <w:r w:rsidR="000F57D3" w:rsidRPr="000F57D3">
        <w:rPr>
          <w:vertAlign w:val="superscript"/>
          <w:lang w:val="fr-FR" w:eastAsia="fr-FR"/>
        </w:rPr>
        <w:footnoteReference w:id="6"/>
      </w:r>
      <w:r w:rsidR="000F57D3" w:rsidRPr="000F57D3">
        <w:rPr>
          <w:lang w:eastAsia="fr-FR"/>
        </w:rPr>
        <w:t xml:space="preserve"> with the guidance given by the State party to business enterprises that “the </w:t>
      </w:r>
      <w:smartTag w:uri="urn:schemas-microsoft-com:office:smarttags" w:element="country-region">
        <w:r w:rsidR="000F57D3" w:rsidRPr="000F57D3">
          <w:rPr>
            <w:lang w:eastAsia="fr-FR"/>
          </w:rPr>
          <w:t>UK</w:t>
        </w:r>
      </w:smartTag>
      <w:r w:rsidR="000F57D3" w:rsidRPr="000F57D3">
        <w:rPr>
          <w:lang w:eastAsia="fr-FR"/>
        </w:rPr>
        <w:t xml:space="preserve"> does not owe legal obligations to ensure </w:t>
      </w:r>
      <w:r w:rsidR="000F57D3" w:rsidRPr="00367BB2">
        <w:rPr>
          <w:lang w:eastAsia="fr-FR"/>
        </w:rPr>
        <w:t xml:space="preserve">that </w:t>
      </w:r>
      <w:r w:rsidR="00475487" w:rsidRPr="00367BB2">
        <w:rPr>
          <w:lang w:eastAsia="fr-FR"/>
        </w:rPr>
        <w:t xml:space="preserve">British </w:t>
      </w:r>
      <w:r w:rsidR="000F57D3" w:rsidRPr="00367BB2">
        <w:rPr>
          <w:lang w:eastAsia="fr-FR"/>
        </w:rPr>
        <w:t>com</w:t>
      </w:r>
      <w:r w:rsidR="000F57D3" w:rsidRPr="000F57D3">
        <w:rPr>
          <w:lang w:eastAsia="fr-FR"/>
        </w:rPr>
        <w:t xml:space="preserve">panies comply with </w:t>
      </w:r>
      <w:smartTag w:uri="urn:schemas-microsoft-com:office:smarttags" w:element="country-region">
        <w:smartTag w:uri="urn:schemas-microsoft-com:office:smarttags" w:element="place">
          <w:r w:rsidR="000F57D3" w:rsidRPr="000F57D3">
            <w:rPr>
              <w:lang w:eastAsia="fr-FR"/>
            </w:rPr>
            <w:t>UK</w:t>
          </w:r>
        </w:smartTag>
      </w:smartTag>
      <w:r w:rsidR="000F57D3" w:rsidRPr="000F57D3">
        <w:rPr>
          <w:lang w:eastAsia="fr-FR"/>
        </w:rPr>
        <w:t xml:space="preserve"> human rights </w:t>
      </w:r>
      <w:r w:rsidR="000F57D3" w:rsidRPr="00CE7218">
        <w:rPr>
          <w:lang w:eastAsia="fr-FR"/>
        </w:rPr>
        <w:t>standards overseas”</w:t>
      </w:r>
      <w:r w:rsidR="00264C27">
        <w:rPr>
          <w:lang w:eastAsia="fr-FR"/>
        </w:rPr>
        <w:t>.</w:t>
      </w:r>
      <w:r w:rsidR="000F57D3" w:rsidRPr="00CE7218">
        <w:rPr>
          <w:vertAlign w:val="superscript"/>
          <w:lang w:val="fr-FR" w:eastAsia="fr-FR"/>
        </w:rPr>
        <w:footnoteReference w:id="7"/>
      </w:r>
      <w:r w:rsidR="000F57D3" w:rsidRPr="00CE7218">
        <w:rPr>
          <w:lang w:eastAsia="fr-FR"/>
        </w:rPr>
        <w:t xml:space="preserve"> Are transnational corporations registered in the </w:t>
      </w:r>
      <w:r w:rsidR="00C44135">
        <w:rPr>
          <w:lang w:eastAsia="fr-FR"/>
        </w:rPr>
        <w:t>State party</w:t>
      </w:r>
      <w:r w:rsidR="00C44135" w:rsidRPr="00CE7218">
        <w:rPr>
          <w:lang w:eastAsia="fr-FR"/>
        </w:rPr>
        <w:t xml:space="preserve"> </w:t>
      </w:r>
      <w:r w:rsidR="000F57D3" w:rsidRPr="00CE7218">
        <w:rPr>
          <w:lang w:eastAsia="fr-FR"/>
        </w:rPr>
        <w:t>held accountable</w:t>
      </w:r>
      <w:r w:rsidR="000F57D3" w:rsidRPr="000F57D3">
        <w:rPr>
          <w:lang w:eastAsia="fr-FR"/>
        </w:rPr>
        <w:t xml:space="preserve"> for violations of the Convention outside of the </w:t>
      </w:r>
      <w:smartTag w:uri="urn:schemas-microsoft-com:office:smarttags" w:element="place">
        <w:smartTag w:uri="urn:schemas-microsoft-com:office:smarttags" w:element="country-region">
          <w:r w:rsidR="000F57D3" w:rsidRPr="000F57D3">
            <w:rPr>
              <w:lang w:eastAsia="fr-FR"/>
            </w:rPr>
            <w:t>United Kingdom</w:t>
          </w:r>
        </w:smartTag>
      </w:smartTag>
      <w:r w:rsidR="000F57D3" w:rsidRPr="000F57D3">
        <w:rPr>
          <w:lang w:eastAsia="fr-FR"/>
        </w:rPr>
        <w:t xml:space="preserve">? Are remedies provided to the victims? Please indicate whether private military companies acting overseas and contracted by the </w:t>
      </w:r>
      <w:smartTag w:uri="urn:schemas-microsoft-com:office:smarttags" w:element="place">
        <w:smartTag w:uri="urn:schemas-microsoft-com:office:smarttags" w:element="country-region">
          <w:r w:rsidR="000F57D3" w:rsidRPr="000F57D3">
            <w:rPr>
              <w:lang w:eastAsia="fr-FR"/>
            </w:rPr>
            <w:t>United Kingdom</w:t>
          </w:r>
        </w:smartTag>
      </w:smartTag>
      <w:r w:rsidR="000F57D3" w:rsidRPr="000F57D3">
        <w:rPr>
          <w:lang w:eastAsia="fr-FR"/>
        </w:rPr>
        <w:t xml:space="preserve"> receive a human rights training similar to that of </w:t>
      </w:r>
      <w:r w:rsidR="00C44135">
        <w:rPr>
          <w:lang w:eastAsia="fr-FR"/>
        </w:rPr>
        <w:t>British</w:t>
      </w:r>
      <w:r w:rsidR="00C44135" w:rsidRPr="000F57D3">
        <w:rPr>
          <w:lang w:eastAsia="fr-FR"/>
        </w:rPr>
        <w:t xml:space="preserve"> </w:t>
      </w:r>
      <w:r w:rsidR="000F57D3" w:rsidRPr="000F57D3">
        <w:rPr>
          <w:lang w:eastAsia="fr-FR"/>
        </w:rPr>
        <w:t>military forces before deployment and whether they abide by the same set of Standard Operating Procedures.</w:t>
      </w:r>
    </w:p>
    <w:p w:rsidR="000F57D3" w:rsidRPr="000F57D3" w:rsidRDefault="00CD36FD" w:rsidP="00CD36FD">
      <w:pPr>
        <w:pStyle w:val="SingleTxtG"/>
        <w:rPr>
          <w:lang w:eastAsia="fr-FR"/>
        </w:rPr>
      </w:pPr>
      <w:r w:rsidRPr="000F57D3">
        <w:rPr>
          <w:lang w:eastAsia="fr-FR"/>
        </w:rPr>
        <w:t>6.</w:t>
      </w:r>
      <w:r w:rsidRPr="000F57D3">
        <w:rPr>
          <w:lang w:eastAsia="fr-FR"/>
        </w:rPr>
        <w:tab/>
      </w:r>
      <w:r w:rsidR="000F57D3" w:rsidRPr="000F57D3">
        <w:rPr>
          <w:lang w:eastAsia="fr-FR"/>
        </w:rPr>
        <w:t>Please explain what steps has the State party undertaken to review its statute and common law, including Sections 134(4) and 134(5) of the Criminal Justice Act (CJA) 1988</w:t>
      </w:r>
      <w:r w:rsidR="000F57D3" w:rsidRPr="000F57D3">
        <w:rPr>
          <w:vertAlign w:val="superscript"/>
          <w:lang w:eastAsia="fr-FR"/>
        </w:rPr>
        <w:footnoteReference w:id="8"/>
      </w:r>
      <w:r w:rsidR="000F57D3" w:rsidRPr="000F57D3">
        <w:rPr>
          <w:lang w:eastAsia="fr-FR"/>
        </w:rPr>
        <w:t>, to ensure full consistency with the obligations imposed by the Convention, as recommended by the Committee in the last concluding observations (CAT/C/CR/33</w:t>
      </w:r>
      <w:r w:rsidR="00A545A7">
        <w:rPr>
          <w:lang w:eastAsia="fr-FR"/>
        </w:rPr>
        <w:t>/3</w:t>
      </w:r>
      <w:r w:rsidR="000F57D3" w:rsidRPr="000F57D3">
        <w:rPr>
          <w:lang w:eastAsia="fr-FR"/>
        </w:rPr>
        <w:t xml:space="preserve">, para. 4(a)(ii)). </w:t>
      </w:r>
    </w:p>
    <w:p w:rsidR="000F57D3" w:rsidRPr="000F57D3" w:rsidRDefault="00CD36FD" w:rsidP="006577E4">
      <w:pPr>
        <w:pStyle w:val="SingleTxtG"/>
        <w:rPr>
          <w:color w:val="1F497D"/>
          <w:lang w:eastAsia="fr-FR"/>
        </w:rPr>
      </w:pPr>
      <w:r w:rsidRPr="000F57D3">
        <w:rPr>
          <w:lang w:eastAsia="fr-FR"/>
        </w:rPr>
        <w:t>7.</w:t>
      </w:r>
      <w:r w:rsidRPr="000F57D3">
        <w:rPr>
          <w:lang w:eastAsia="fr-FR"/>
        </w:rPr>
        <w:tab/>
      </w:r>
      <w:r w:rsidR="000F57D3" w:rsidRPr="000F57D3">
        <w:rPr>
          <w:lang w:eastAsia="fr-FR"/>
        </w:rPr>
        <w:t>The Consolidated Guidance to Intelligence Officers and Service Personnel on the Detention and Interviewing of Detainees Overseas, and on the Passing and Receipt of Intelligence Relating to Detainees (Guidance) retains the possibility for Ministerial approval in some cases where torture may be required to extract information “crucial to saving lives”</w:t>
      </w:r>
      <w:r w:rsidR="00264C27">
        <w:rPr>
          <w:lang w:eastAsia="fr-FR"/>
        </w:rPr>
        <w:t>.</w:t>
      </w:r>
      <w:r w:rsidR="000F57D3" w:rsidRPr="000F57D3">
        <w:rPr>
          <w:vertAlign w:val="superscript"/>
          <w:lang w:val="fr-FR" w:eastAsia="fr-FR"/>
        </w:rPr>
        <w:footnoteReference w:id="9"/>
      </w:r>
      <w:r w:rsidR="000F57D3" w:rsidRPr="000F57D3">
        <w:rPr>
          <w:lang w:eastAsia="fr-FR"/>
        </w:rPr>
        <w:t xml:space="preserve"> In light of the fact that “no exceptional circumstances […] may be invoked as a justification of torture” (art. 2</w:t>
      </w:r>
      <w:r w:rsidR="006577E4">
        <w:rPr>
          <w:lang w:eastAsia="fr-FR"/>
        </w:rPr>
        <w:t>, para. 2</w:t>
      </w:r>
      <w:r w:rsidR="000F57D3" w:rsidRPr="000F57D3">
        <w:rPr>
          <w:lang w:eastAsia="fr-FR"/>
        </w:rPr>
        <w:t>), please explain whether the State party intends to review the Guidance. Has Ministerial approval been sought since the last concluding observations?</w:t>
      </w:r>
      <w:r w:rsidR="003929DA">
        <w:rPr>
          <w:lang w:eastAsia="fr-FR"/>
        </w:rPr>
        <w:t xml:space="preserve"> </w:t>
      </w:r>
    </w:p>
    <w:p w:rsidR="000F57D3" w:rsidRPr="000F57D3" w:rsidRDefault="00CD36FD" w:rsidP="00CD36FD">
      <w:pPr>
        <w:pStyle w:val="SingleTxtG"/>
        <w:rPr>
          <w:lang w:eastAsia="fr-FR"/>
        </w:rPr>
      </w:pPr>
      <w:r w:rsidRPr="000F57D3">
        <w:rPr>
          <w:lang w:eastAsia="fr-FR"/>
        </w:rPr>
        <w:t>8.</w:t>
      </w:r>
      <w:r w:rsidRPr="000F57D3">
        <w:rPr>
          <w:lang w:eastAsia="fr-FR"/>
        </w:rPr>
        <w:tab/>
      </w:r>
      <w:r w:rsidR="000F57D3" w:rsidRPr="000F57D3">
        <w:rPr>
          <w:lang w:eastAsia="fr-FR"/>
        </w:rPr>
        <w:t>The Protection of Freedoms Act 2012 allows for a 14 day pre-charge detention period for persons suspected of terrorism-related offences</w:t>
      </w:r>
      <w:r w:rsidR="0077353F">
        <w:rPr>
          <w:lang w:eastAsia="fr-FR"/>
        </w:rPr>
        <w:t xml:space="preserve"> </w:t>
      </w:r>
      <w:r w:rsidR="000F57D3" w:rsidRPr="000F57D3">
        <w:rPr>
          <w:lang w:eastAsia="fr-FR"/>
        </w:rPr>
        <w:t>and the Home Secretary retains a power to extend this to 28 days</w:t>
      </w:r>
      <w:r w:rsidR="003929DA">
        <w:rPr>
          <w:lang w:eastAsia="fr-FR"/>
        </w:rPr>
        <w:t>.</w:t>
      </w:r>
      <w:r w:rsidR="00F52ADD" w:rsidRPr="000F57D3">
        <w:rPr>
          <w:vertAlign w:val="superscript"/>
          <w:lang w:val="fr-FR" w:eastAsia="fr-FR"/>
        </w:rPr>
        <w:footnoteReference w:id="10"/>
      </w:r>
      <w:r w:rsidR="000F57D3" w:rsidRPr="000F57D3">
        <w:rPr>
          <w:lang w:eastAsia="fr-FR"/>
        </w:rPr>
        <w:t xml:space="preserve"> Please explain how the State party ensures that all individuals enjoy fundamental legal safeguards, including the right to be brought promptly before a judge, from the very outset of the de facto deprivation of liberty. </w:t>
      </w:r>
    </w:p>
    <w:p w:rsidR="000F57D3" w:rsidRPr="000F57D3" w:rsidRDefault="00CD36FD" w:rsidP="00D81F7A">
      <w:pPr>
        <w:pStyle w:val="SingleTxtG"/>
        <w:rPr>
          <w:lang w:eastAsia="fr-FR"/>
        </w:rPr>
      </w:pPr>
      <w:r w:rsidRPr="000F57D3">
        <w:rPr>
          <w:lang w:eastAsia="fr-FR"/>
        </w:rPr>
        <w:t>9.</w:t>
      </w:r>
      <w:r w:rsidRPr="000F57D3">
        <w:rPr>
          <w:lang w:eastAsia="fr-FR"/>
        </w:rPr>
        <w:tab/>
      </w:r>
      <w:r w:rsidR="000F57D3" w:rsidRPr="000F57D3">
        <w:rPr>
          <w:lang w:eastAsia="fr-FR"/>
        </w:rPr>
        <w:t xml:space="preserve">In light of the death of Jimmy Mubenga in 2010 </w:t>
      </w:r>
      <w:r w:rsidR="0001115B">
        <w:rPr>
          <w:lang w:eastAsia="fr-FR"/>
        </w:rPr>
        <w:t>(</w:t>
      </w:r>
      <w:r w:rsidR="000F57D3" w:rsidRPr="000F57D3">
        <w:rPr>
          <w:lang w:eastAsia="fr-FR"/>
        </w:rPr>
        <w:t xml:space="preserve">while being forcibly </w:t>
      </w:r>
      <w:r w:rsidR="00D81F7A">
        <w:rPr>
          <w:lang w:eastAsia="fr-FR"/>
        </w:rPr>
        <w:t>removed by a private contractor</w:t>
      </w:r>
      <w:r w:rsidR="0001115B">
        <w:rPr>
          <w:lang w:eastAsia="fr-FR"/>
        </w:rPr>
        <w:t>)</w:t>
      </w:r>
      <w:r w:rsidR="000F57D3" w:rsidRPr="000F57D3">
        <w:rPr>
          <w:lang w:eastAsia="fr-FR"/>
        </w:rPr>
        <w:t xml:space="preserve">, and considering the numerous allegations of abuse by private contractors, will the </w:t>
      </w:r>
      <w:r w:rsidR="00C44135">
        <w:rPr>
          <w:lang w:eastAsia="fr-FR"/>
        </w:rPr>
        <w:t>State party</w:t>
      </w:r>
      <w:r w:rsidR="00C44135" w:rsidRPr="000F57D3">
        <w:rPr>
          <w:lang w:eastAsia="fr-FR"/>
        </w:rPr>
        <w:t xml:space="preserve"> </w:t>
      </w:r>
      <w:r w:rsidR="000F57D3" w:rsidRPr="000F57D3">
        <w:rPr>
          <w:lang w:eastAsia="fr-FR"/>
        </w:rPr>
        <w:t xml:space="preserve">consider ending the use of private contractors for enforced removals? Please provide information on the investigations and prosecutions against those responsible for the death of deportees? </w:t>
      </w:r>
    </w:p>
    <w:p w:rsidR="000F57D3" w:rsidRPr="000F57D3" w:rsidRDefault="00CD36FD" w:rsidP="00CD36FD">
      <w:pPr>
        <w:pStyle w:val="SingleTxtG"/>
        <w:rPr>
          <w:lang w:eastAsia="fr-FR"/>
        </w:rPr>
      </w:pPr>
      <w:r w:rsidRPr="000F57D3">
        <w:rPr>
          <w:lang w:eastAsia="fr-FR"/>
        </w:rPr>
        <w:t>10.</w:t>
      </w:r>
      <w:r w:rsidRPr="000F57D3">
        <w:rPr>
          <w:lang w:eastAsia="fr-FR"/>
        </w:rPr>
        <w:tab/>
      </w:r>
      <w:r w:rsidR="000F57D3" w:rsidRPr="000F57D3">
        <w:rPr>
          <w:lang w:eastAsia="fr-FR"/>
        </w:rPr>
        <w:t>What steps have been taken to ensure that all cases of violence against women are swiftly investigated, prosecuted and punished</w:t>
      </w:r>
      <w:r w:rsidR="000F57D3" w:rsidRPr="000F57D3">
        <w:rPr>
          <w:vertAlign w:val="superscript"/>
          <w:lang w:eastAsia="fr-FR"/>
        </w:rPr>
        <w:footnoteReference w:id="11"/>
      </w:r>
      <w:r w:rsidR="000F57D3" w:rsidRPr="000F57D3">
        <w:rPr>
          <w:lang w:eastAsia="fr-FR"/>
        </w:rPr>
        <w:t xml:space="preserve"> and that their victims receive immediate protection, redress and compensation?</w:t>
      </w:r>
    </w:p>
    <w:p w:rsidR="000F57D3" w:rsidRPr="000F57D3" w:rsidRDefault="00CD36FD" w:rsidP="00CD36FD">
      <w:pPr>
        <w:pStyle w:val="H23G"/>
        <w:rPr>
          <w:lang w:eastAsia="fr-FR"/>
        </w:rPr>
      </w:pPr>
      <w:r>
        <w:rPr>
          <w:lang w:eastAsia="fr-FR"/>
        </w:rPr>
        <w:tab/>
      </w:r>
      <w:r>
        <w:rPr>
          <w:lang w:eastAsia="fr-FR"/>
        </w:rPr>
        <w:tab/>
      </w:r>
      <w:r w:rsidR="000F57D3" w:rsidRPr="000F57D3">
        <w:rPr>
          <w:lang w:eastAsia="fr-FR"/>
        </w:rPr>
        <w:t xml:space="preserve">Article 3 </w:t>
      </w:r>
    </w:p>
    <w:p w:rsidR="000F57D3" w:rsidRPr="000F57D3" w:rsidRDefault="00CD36FD" w:rsidP="00CD36FD">
      <w:pPr>
        <w:pStyle w:val="SingleTxtG"/>
        <w:rPr>
          <w:lang w:eastAsia="fr-FR"/>
        </w:rPr>
      </w:pPr>
      <w:r w:rsidRPr="000F57D3">
        <w:rPr>
          <w:lang w:eastAsia="fr-FR"/>
        </w:rPr>
        <w:t>11.</w:t>
      </w:r>
      <w:r w:rsidRPr="000F57D3">
        <w:rPr>
          <w:lang w:eastAsia="fr-FR"/>
        </w:rPr>
        <w:tab/>
      </w:r>
      <w:r w:rsidR="000F57D3" w:rsidRPr="000F57D3">
        <w:rPr>
          <w:lang w:eastAsia="fr-FR"/>
        </w:rPr>
        <w:t>Please provide data, disaggregated by age, sex and nationality, collected during the reporting period with regard to:</w:t>
      </w:r>
    </w:p>
    <w:p w:rsidR="000F57D3" w:rsidRPr="000F57D3" w:rsidRDefault="00CD36FD" w:rsidP="00CD36FD">
      <w:pPr>
        <w:pStyle w:val="SingleTxtG"/>
        <w:rPr>
          <w:lang w:eastAsia="fr-FR"/>
        </w:rPr>
      </w:pPr>
      <w:r>
        <w:rPr>
          <w:lang w:eastAsia="fr-FR"/>
        </w:rPr>
        <w:tab/>
      </w:r>
      <w:r w:rsidR="000F57D3" w:rsidRPr="000F57D3">
        <w:rPr>
          <w:lang w:eastAsia="fr-FR"/>
        </w:rPr>
        <w:t>(a)</w:t>
      </w:r>
      <w:r w:rsidR="000F57D3" w:rsidRPr="000F57D3">
        <w:rPr>
          <w:lang w:eastAsia="fr-FR"/>
        </w:rPr>
        <w:tab/>
        <w:t>The number of requests for asylum, and indicate the country of origin of the applicant;</w:t>
      </w:r>
    </w:p>
    <w:p w:rsidR="000F57D3" w:rsidRPr="000F57D3" w:rsidRDefault="00CD36FD" w:rsidP="00CD36FD">
      <w:pPr>
        <w:pStyle w:val="SingleTxtG"/>
        <w:rPr>
          <w:lang w:eastAsia="fr-FR"/>
        </w:rPr>
      </w:pPr>
      <w:r>
        <w:rPr>
          <w:lang w:eastAsia="fr-FR"/>
        </w:rPr>
        <w:tab/>
        <w:t>(b)</w:t>
      </w:r>
      <w:r w:rsidR="000F57D3" w:rsidRPr="000F57D3">
        <w:rPr>
          <w:lang w:eastAsia="fr-FR"/>
        </w:rPr>
        <w:tab/>
        <w:t>The number of asylum requests granted, and indicate the country of origin of the applicant;</w:t>
      </w:r>
    </w:p>
    <w:p w:rsidR="000F57D3" w:rsidRPr="000F57D3" w:rsidRDefault="00CD36FD" w:rsidP="00CD36FD">
      <w:pPr>
        <w:pStyle w:val="SingleTxtG"/>
        <w:rPr>
          <w:lang w:eastAsia="fr-FR"/>
        </w:rPr>
      </w:pPr>
      <w:r>
        <w:rPr>
          <w:lang w:eastAsia="fr-FR"/>
        </w:rPr>
        <w:tab/>
        <w:t>(c)</w:t>
      </w:r>
      <w:r w:rsidR="000F57D3" w:rsidRPr="000F57D3">
        <w:rPr>
          <w:lang w:eastAsia="fr-FR"/>
        </w:rPr>
        <w:tab/>
        <w:t>The number of applicants whose requests were granted because they had been tortured in</w:t>
      </w:r>
      <w:r w:rsidR="003A029F">
        <w:rPr>
          <w:lang w:eastAsia="fr-FR"/>
        </w:rPr>
        <w:t>,</w:t>
      </w:r>
      <w:r w:rsidR="000F57D3" w:rsidRPr="000F57D3">
        <w:rPr>
          <w:lang w:eastAsia="fr-FR"/>
        </w:rPr>
        <w:t xml:space="preserve"> or because of a real personal risk of torture if they were to be returned to their country of origin; recent examples of any decisions in this regard would be useful. </w:t>
      </w:r>
    </w:p>
    <w:p w:rsidR="00937F9B" w:rsidRDefault="00CD36FD" w:rsidP="00475487">
      <w:pPr>
        <w:pStyle w:val="SingleTxtG"/>
        <w:rPr>
          <w:lang w:eastAsia="fr-FR"/>
        </w:rPr>
      </w:pPr>
      <w:r w:rsidRPr="000F57D3">
        <w:rPr>
          <w:lang w:eastAsia="fr-FR"/>
        </w:rPr>
        <w:t>12.</w:t>
      </w:r>
      <w:r w:rsidRPr="000F57D3">
        <w:rPr>
          <w:lang w:eastAsia="fr-FR"/>
        </w:rPr>
        <w:tab/>
      </w:r>
      <w:r w:rsidR="00937F9B">
        <w:rPr>
          <w:lang w:eastAsia="fr-FR"/>
        </w:rPr>
        <w:t xml:space="preserve">In view of the risk </w:t>
      </w:r>
      <w:r w:rsidR="00937F9B" w:rsidRPr="00C12184">
        <w:rPr>
          <w:lang w:eastAsia="fr-FR"/>
        </w:rPr>
        <w:t xml:space="preserve">of torture that detainees face in </w:t>
      </w:r>
      <w:smartTag w:uri="urn:schemas-microsoft-com:office:smarttags" w:element="country-region">
        <w:r w:rsidR="00937F9B" w:rsidRPr="00C12184">
          <w:rPr>
            <w:lang w:eastAsia="fr-FR"/>
          </w:rPr>
          <w:t>Afghanistan</w:t>
        </w:r>
      </w:smartTag>
      <w:r w:rsidR="00937F9B" w:rsidRPr="00C12184">
        <w:rPr>
          <w:lang w:eastAsia="fr-FR"/>
        </w:rPr>
        <w:t>, p</w:t>
      </w:r>
      <w:r w:rsidR="00937F9B" w:rsidRPr="00916F77">
        <w:rPr>
          <w:lang w:eastAsia="fr-FR"/>
        </w:rPr>
        <w:t xml:space="preserve">lease </w:t>
      </w:r>
      <w:r w:rsidR="00937F9B">
        <w:rPr>
          <w:lang w:eastAsia="fr-FR"/>
        </w:rPr>
        <w:t xml:space="preserve">explain </w:t>
      </w:r>
      <w:r w:rsidR="00937F9B" w:rsidRPr="00916F77">
        <w:rPr>
          <w:lang w:eastAsia="fr-FR"/>
        </w:rPr>
        <w:t xml:space="preserve">whether the State party </w:t>
      </w:r>
      <w:r w:rsidR="00937F9B">
        <w:rPr>
          <w:lang w:eastAsia="fr-FR"/>
        </w:rPr>
        <w:t xml:space="preserve">considers extending on a long term basis the current moratorium on the transfer of prisoners detained </w:t>
      </w:r>
      <w:r w:rsidR="00937F9B" w:rsidRPr="00994B90">
        <w:rPr>
          <w:lang w:eastAsia="fr-FR"/>
        </w:rPr>
        <w:t xml:space="preserve">by </w:t>
      </w:r>
      <w:r w:rsidR="00475487" w:rsidRPr="00994B90">
        <w:rPr>
          <w:lang w:eastAsia="fr-FR"/>
        </w:rPr>
        <w:t>British</w:t>
      </w:r>
      <w:r w:rsidR="00937F9B" w:rsidRPr="00994B90">
        <w:rPr>
          <w:lang w:eastAsia="fr-FR"/>
        </w:rPr>
        <w:t xml:space="preserve"> milit</w:t>
      </w:r>
      <w:r w:rsidR="00937F9B">
        <w:rPr>
          <w:lang w:eastAsia="fr-FR"/>
        </w:rPr>
        <w:t xml:space="preserve">ary forces in </w:t>
      </w:r>
      <w:smartTag w:uri="urn:schemas-microsoft-com:office:smarttags" w:element="country-region">
        <w:smartTag w:uri="urn:schemas-microsoft-com:office:smarttags" w:element="place">
          <w:r w:rsidR="00937F9B">
            <w:rPr>
              <w:lang w:eastAsia="fr-FR"/>
            </w:rPr>
            <w:t>Afghanistan</w:t>
          </w:r>
        </w:smartTag>
      </w:smartTag>
      <w:r w:rsidR="00937F9B">
        <w:rPr>
          <w:lang w:eastAsia="fr-FR"/>
        </w:rPr>
        <w:t xml:space="preserve"> to </w:t>
      </w:r>
      <w:r w:rsidR="00937F9B" w:rsidRPr="00C12184">
        <w:rPr>
          <w:lang w:eastAsia="fr-FR"/>
        </w:rPr>
        <w:t>Afghan authorities</w:t>
      </w:r>
      <w:r w:rsidR="00937F9B">
        <w:rPr>
          <w:lang w:eastAsia="fr-FR"/>
        </w:rPr>
        <w:t>.</w:t>
      </w:r>
    </w:p>
    <w:p w:rsidR="000F57D3" w:rsidRPr="000F57D3" w:rsidRDefault="00937F9B" w:rsidP="003A029F">
      <w:pPr>
        <w:pStyle w:val="SingleTxtG"/>
        <w:rPr>
          <w:lang w:eastAsia="fr-FR"/>
        </w:rPr>
      </w:pPr>
      <w:r>
        <w:rPr>
          <w:lang w:eastAsia="fr-FR"/>
        </w:rPr>
        <w:t>13.</w:t>
      </w:r>
      <w:r>
        <w:rPr>
          <w:lang w:eastAsia="fr-FR"/>
        </w:rPr>
        <w:tab/>
      </w:r>
      <w:r w:rsidR="000F57D3" w:rsidRPr="000F57D3">
        <w:rPr>
          <w:lang w:eastAsia="fr-FR"/>
        </w:rPr>
        <w:t>Please provide updated information on the total number of cases of extradition or removal subject to the receipt of diplomatic assurances or guarantees that have occurred since 11 September 2001, disaggregated by receiving State</w:t>
      </w:r>
      <w:r w:rsidR="003929DA">
        <w:rPr>
          <w:lang w:eastAsia="fr-FR"/>
        </w:rPr>
        <w:t>.</w:t>
      </w:r>
      <w:r w:rsidR="00F52ADD" w:rsidRPr="000F57D3">
        <w:rPr>
          <w:vertAlign w:val="superscript"/>
          <w:lang w:eastAsia="fr-FR"/>
        </w:rPr>
        <w:footnoteReference w:id="12"/>
      </w:r>
      <w:r w:rsidR="003929DA">
        <w:rPr>
          <w:lang w:eastAsia="fr-FR"/>
        </w:rPr>
        <w:t xml:space="preserve"> </w:t>
      </w:r>
      <w:r w:rsidR="000F57D3" w:rsidRPr="000F57D3">
        <w:rPr>
          <w:lang w:eastAsia="fr-FR"/>
        </w:rPr>
        <w:t xml:space="preserve">Please explain if the monitoring of persons removed under Memoranda of Understanding or diplomatic assurances to </w:t>
      </w:r>
      <w:smartTag w:uri="urn:schemas-microsoft-com:office:smarttags" w:element="country-region">
        <w:r w:rsidR="000F57D3" w:rsidRPr="000F57D3">
          <w:rPr>
            <w:lang w:eastAsia="fr-FR"/>
          </w:rPr>
          <w:t>Algeria</w:t>
        </w:r>
      </w:smartTag>
      <w:r w:rsidR="000F57D3" w:rsidRPr="000F57D3">
        <w:rPr>
          <w:lang w:eastAsia="fr-FR"/>
        </w:rPr>
        <w:t xml:space="preserve">, </w:t>
      </w:r>
      <w:smartTag w:uri="urn:schemas-microsoft-com:office:smarttags" w:element="country-region">
        <w:r w:rsidR="000F57D3" w:rsidRPr="000F57D3">
          <w:rPr>
            <w:lang w:eastAsia="fr-FR"/>
          </w:rPr>
          <w:t>Ethiopia</w:t>
        </w:r>
      </w:smartTag>
      <w:r w:rsidR="000F57D3" w:rsidRPr="000F57D3">
        <w:rPr>
          <w:lang w:eastAsia="fr-FR"/>
        </w:rPr>
        <w:t xml:space="preserve">, </w:t>
      </w:r>
      <w:smartTag w:uri="urn:schemas-microsoft-com:office:smarttags" w:element="country-region">
        <w:r w:rsidR="000F57D3" w:rsidRPr="000F57D3">
          <w:rPr>
            <w:lang w:eastAsia="fr-FR"/>
          </w:rPr>
          <w:t>Jordan</w:t>
        </w:r>
      </w:smartTag>
      <w:r w:rsidR="000F57D3" w:rsidRPr="000F57D3">
        <w:rPr>
          <w:lang w:eastAsia="fr-FR"/>
        </w:rPr>
        <w:t xml:space="preserve">, </w:t>
      </w:r>
      <w:smartTag w:uri="urn:schemas-microsoft-com:office:smarttags" w:element="country-region">
        <w:r w:rsidR="000F57D3" w:rsidRPr="000F57D3">
          <w:rPr>
            <w:lang w:eastAsia="fr-FR"/>
          </w:rPr>
          <w:t>Lebanon</w:t>
        </w:r>
      </w:smartTag>
      <w:r w:rsidR="000F57D3" w:rsidRPr="000F57D3">
        <w:rPr>
          <w:lang w:eastAsia="fr-FR"/>
        </w:rPr>
        <w:t xml:space="preserve">, </w:t>
      </w:r>
      <w:smartTag w:uri="urn:schemas-microsoft-com:office:smarttags" w:element="country-region">
        <w:r w:rsidR="000F57D3" w:rsidRPr="000F57D3">
          <w:rPr>
            <w:lang w:eastAsia="fr-FR"/>
          </w:rPr>
          <w:t>Libya</w:t>
        </w:r>
      </w:smartTag>
      <w:r w:rsidR="000F57D3" w:rsidRPr="000F57D3">
        <w:rPr>
          <w:lang w:eastAsia="fr-FR"/>
        </w:rPr>
        <w:t xml:space="preserve"> or </w:t>
      </w:r>
      <w:smartTag w:uri="urn:schemas-microsoft-com:office:smarttags" w:element="country-region">
        <w:smartTag w:uri="urn:schemas-microsoft-com:office:smarttags" w:element="place">
          <w:r w:rsidR="000F57D3" w:rsidRPr="000F57D3">
            <w:rPr>
              <w:lang w:eastAsia="fr-FR"/>
            </w:rPr>
            <w:t>Morocco</w:t>
          </w:r>
        </w:smartTag>
      </w:smartTag>
      <w:r w:rsidR="00F52ADD" w:rsidRPr="000F57D3">
        <w:rPr>
          <w:vertAlign w:val="superscript"/>
          <w:lang w:val="fr-FR" w:eastAsia="fr-FR"/>
        </w:rPr>
        <w:footnoteReference w:id="13"/>
      </w:r>
      <w:r w:rsidR="000F57D3" w:rsidRPr="000F57D3">
        <w:rPr>
          <w:lang w:eastAsia="fr-FR"/>
        </w:rPr>
        <w:t xml:space="preserve"> includes the possibility of unannounced and unrestricted visits and private meetings with the person deprived of his liberty and </w:t>
      </w:r>
      <w:r w:rsidR="003A029F">
        <w:rPr>
          <w:lang w:eastAsia="fr-FR"/>
        </w:rPr>
        <w:t>whether</w:t>
      </w:r>
      <w:r w:rsidR="003A029F" w:rsidRPr="000F57D3">
        <w:rPr>
          <w:lang w:eastAsia="fr-FR"/>
        </w:rPr>
        <w:t xml:space="preserve"> </w:t>
      </w:r>
      <w:r w:rsidR="000F57D3" w:rsidRPr="000F57D3">
        <w:rPr>
          <w:lang w:eastAsia="fr-FR"/>
        </w:rPr>
        <w:t>independent medical expertise is granted</w:t>
      </w:r>
      <w:r w:rsidR="003929DA">
        <w:rPr>
          <w:lang w:eastAsia="fr-FR"/>
        </w:rPr>
        <w:t>.</w:t>
      </w:r>
      <w:r w:rsidR="000F57D3" w:rsidRPr="000F57D3">
        <w:rPr>
          <w:vertAlign w:val="superscript"/>
          <w:lang w:val="fr-FR" w:eastAsia="fr-FR"/>
        </w:rPr>
        <w:footnoteReference w:id="14"/>
      </w:r>
      <w:r w:rsidR="000F57D3" w:rsidRPr="000F57D3">
        <w:rPr>
          <w:lang w:eastAsia="fr-FR"/>
        </w:rPr>
        <w:t xml:space="preserve"> Please describe how the State party assures itself of the independence, effectiveness, and impartiality of monitoring conducted by third parties?</w:t>
      </w:r>
      <w:r w:rsidR="000F57D3" w:rsidRPr="000F57D3">
        <w:rPr>
          <w:vertAlign w:val="superscript"/>
          <w:lang w:val="fr-FR" w:eastAsia="fr-FR"/>
        </w:rPr>
        <w:footnoteReference w:id="15"/>
      </w:r>
      <w:r w:rsidR="000F57D3" w:rsidRPr="000F57D3">
        <w:rPr>
          <w:lang w:eastAsia="fr-FR"/>
        </w:rPr>
        <w:t xml:space="preserve"> </w:t>
      </w:r>
    </w:p>
    <w:p w:rsidR="000F57D3" w:rsidRPr="000F57D3" w:rsidRDefault="00CD36FD" w:rsidP="00CD36FD">
      <w:pPr>
        <w:pStyle w:val="SingleTxtG"/>
        <w:rPr>
          <w:lang w:eastAsia="fr-FR"/>
        </w:rPr>
      </w:pPr>
      <w:r w:rsidRPr="000F57D3">
        <w:rPr>
          <w:lang w:eastAsia="fr-FR"/>
        </w:rPr>
        <w:t>1</w:t>
      </w:r>
      <w:r w:rsidR="00937F9B">
        <w:rPr>
          <w:lang w:eastAsia="fr-FR"/>
        </w:rPr>
        <w:t>4</w:t>
      </w:r>
      <w:r w:rsidRPr="000F57D3">
        <w:rPr>
          <w:lang w:eastAsia="fr-FR"/>
        </w:rPr>
        <w:t>.</w:t>
      </w:r>
      <w:r w:rsidRPr="000F57D3">
        <w:rPr>
          <w:lang w:eastAsia="fr-FR"/>
        </w:rPr>
        <w:tab/>
      </w:r>
      <w:r w:rsidR="000F57D3" w:rsidRPr="000F57D3">
        <w:rPr>
          <w:lang w:eastAsia="fr-FR"/>
        </w:rPr>
        <w:t xml:space="preserve">Please indicate whether similar Memoranda have been or are being elaborated with other States since the submission of the State party’s periodic report and explain how these are compatible with the State party’s obligations under article 3 of the Convention. </w:t>
      </w:r>
    </w:p>
    <w:p w:rsidR="000F57D3" w:rsidRPr="000F57D3" w:rsidRDefault="00CD36FD" w:rsidP="00CD36FD">
      <w:pPr>
        <w:pStyle w:val="SingleTxtG"/>
        <w:rPr>
          <w:lang w:eastAsia="fr-FR"/>
        </w:rPr>
      </w:pPr>
      <w:r w:rsidRPr="000F57D3">
        <w:rPr>
          <w:lang w:eastAsia="fr-FR"/>
        </w:rPr>
        <w:t>1</w:t>
      </w:r>
      <w:r w:rsidR="00937F9B">
        <w:rPr>
          <w:lang w:eastAsia="fr-FR"/>
        </w:rPr>
        <w:t>5</w:t>
      </w:r>
      <w:r w:rsidRPr="000F57D3">
        <w:rPr>
          <w:lang w:eastAsia="fr-FR"/>
        </w:rPr>
        <w:t>.</w:t>
      </w:r>
      <w:r w:rsidRPr="000F57D3">
        <w:rPr>
          <w:lang w:eastAsia="fr-FR"/>
        </w:rPr>
        <w:tab/>
      </w:r>
      <w:r w:rsidR="000F57D3" w:rsidRPr="000F57D3">
        <w:rPr>
          <w:lang w:eastAsia="fr-FR"/>
        </w:rPr>
        <w:t xml:space="preserve">According to information before the Committee, several Tamil asylum seekers were subjected to torture upon their return to </w:t>
      </w:r>
      <w:smartTag w:uri="urn:schemas-microsoft-com:office:smarttags" w:element="place">
        <w:smartTag w:uri="urn:schemas-microsoft-com:office:smarttags" w:element="country-region">
          <w:r w:rsidR="000F57D3" w:rsidRPr="000F57D3">
            <w:rPr>
              <w:lang w:eastAsia="fr-FR"/>
            </w:rPr>
            <w:t>Sri Lanka</w:t>
          </w:r>
        </w:smartTag>
      </w:smartTag>
      <w:r w:rsidR="000F57D3" w:rsidRPr="000F57D3">
        <w:rPr>
          <w:lang w:eastAsia="fr-FR"/>
        </w:rPr>
        <w:t xml:space="preserve">. Please explain if deportations of Tamil asylum seekers have been halted since then? How many Tamil asylum seekers have been removed and deported to </w:t>
      </w:r>
      <w:smartTag w:uri="urn:schemas-microsoft-com:office:smarttags" w:element="place">
        <w:smartTag w:uri="urn:schemas-microsoft-com:office:smarttags" w:element="country-region">
          <w:r w:rsidR="000F57D3" w:rsidRPr="000F57D3">
            <w:rPr>
              <w:lang w:eastAsia="fr-FR"/>
            </w:rPr>
            <w:t>Sri Lanka</w:t>
          </w:r>
        </w:smartTag>
      </w:smartTag>
      <w:r w:rsidR="000F57D3" w:rsidRPr="000F57D3">
        <w:rPr>
          <w:lang w:eastAsia="fr-FR"/>
        </w:rPr>
        <w:t xml:space="preserve"> since 2010? </w:t>
      </w:r>
    </w:p>
    <w:p w:rsidR="000F57D3" w:rsidRPr="000F57D3" w:rsidRDefault="00CD36FD" w:rsidP="00DA2AC6">
      <w:pPr>
        <w:pStyle w:val="SingleTxtG"/>
        <w:rPr>
          <w:lang w:eastAsia="fr-FR"/>
        </w:rPr>
      </w:pPr>
      <w:r w:rsidRPr="000F57D3">
        <w:rPr>
          <w:lang w:eastAsia="fr-FR"/>
        </w:rPr>
        <w:t>1</w:t>
      </w:r>
      <w:r w:rsidR="00937F9B">
        <w:rPr>
          <w:lang w:eastAsia="fr-FR"/>
        </w:rPr>
        <w:t>6</w:t>
      </w:r>
      <w:r w:rsidRPr="000F57D3">
        <w:rPr>
          <w:lang w:eastAsia="fr-FR"/>
        </w:rPr>
        <w:t>.</w:t>
      </w:r>
      <w:r w:rsidRPr="000F57D3">
        <w:rPr>
          <w:lang w:eastAsia="fr-FR"/>
        </w:rPr>
        <w:tab/>
      </w:r>
      <w:r w:rsidR="000F57D3" w:rsidRPr="000F57D3">
        <w:rPr>
          <w:lang w:eastAsia="fr-FR"/>
        </w:rPr>
        <w:t xml:space="preserve">The </w:t>
      </w:r>
      <w:r w:rsidR="00043B22">
        <w:rPr>
          <w:lang w:eastAsia="fr-FR"/>
        </w:rPr>
        <w:t>United Nations</w:t>
      </w:r>
      <w:r w:rsidR="00043B22" w:rsidRPr="000F57D3">
        <w:rPr>
          <w:lang w:eastAsia="fr-FR"/>
        </w:rPr>
        <w:t xml:space="preserve"> </w:t>
      </w:r>
      <w:r w:rsidR="000F57D3" w:rsidRPr="000F57D3">
        <w:rPr>
          <w:lang w:eastAsia="fr-FR"/>
        </w:rPr>
        <w:t>High Commissioner for Refugees</w:t>
      </w:r>
      <w:r w:rsidR="000F57D3" w:rsidRPr="000F57D3">
        <w:rPr>
          <w:vertAlign w:val="superscript"/>
          <w:lang w:val="fr-FR" w:eastAsia="fr-FR"/>
        </w:rPr>
        <w:footnoteReference w:id="16"/>
      </w:r>
      <w:r w:rsidR="000F57D3" w:rsidRPr="000F57D3">
        <w:rPr>
          <w:lang w:eastAsia="fr-FR"/>
        </w:rPr>
        <w:t xml:space="preserve"> and the Council of Europe’s Commissioner for Human Rights</w:t>
      </w:r>
      <w:r w:rsidR="00DA2AC6">
        <w:rPr>
          <w:lang w:eastAsia="fr-FR"/>
        </w:rPr>
        <w:t>,</w:t>
      </w:r>
      <w:r w:rsidR="000F57D3" w:rsidRPr="000F57D3">
        <w:rPr>
          <w:vertAlign w:val="superscript"/>
          <w:lang w:val="fr-FR" w:eastAsia="fr-FR"/>
        </w:rPr>
        <w:footnoteReference w:id="17"/>
      </w:r>
      <w:r w:rsidR="000F57D3" w:rsidRPr="000F57D3">
        <w:rPr>
          <w:lang w:eastAsia="fr-FR"/>
        </w:rPr>
        <w:t xml:space="preserve"> among others</w:t>
      </w:r>
      <w:r w:rsidR="00DA2AC6">
        <w:rPr>
          <w:lang w:eastAsia="fr-FR"/>
        </w:rPr>
        <w:t>,</w:t>
      </w:r>
      <w:r w:rsidR="000F57D3" w:rsidRPr="000F57D3">
        <w:rPr>
          <w:lang w:eastAsia="fr-FR"/>
        </w:rPr>
        <w:t xml:space="preserve"> made important recommendations to improve the quality of first-instance asylum decisions made in the Detained Fast Track (DFT) process. Please explain what measures has the State party taken to implement these recommendations.</w:t>
      </w:r>
    </w:p>
    <w:p w:rsidR="000F57D3" w:rsidRPr="000F57D3" w:rsidRDefault="00CD36FD" w:rsidP="00CD36FD">
      <w:pPr>
        <w:pStyle w:val="H23G"/>
        <w:rPr>
          <w:lang w:eastAsia="fr-FR"/>
        </w:rPr>
      </w:pPr>
      <w:r>
        <w:rPr>
          <w:lang w:eastAsia="fr-FR"/>
        </w:rPr>
        <w:tab/>
      </w:r>
      <w:r>
        <w:rPr>
          <w:lang w:eastAsia="fr-FR"/>
        </w:rPr>
        <w:tab/>
      </w:r>
      <w:r w:rsidR="000F57D3" w:rsidRPr="000F57D3">
        <w:rPr>
          <w:lang w:eastAsia="fr-FR"/>
        </w:rPr>
        <w:t xml:space="preserve">Article 11 </w:t>
      </w:r>
    </w:p>
    <w:p w:rsidR="000F57D3" w:rsidRPr="000F57D3" w:rsidRDefault="00CD36FD" w:rsidP="003A029F">
      <w:pPr>
        <w:pStyle w:val="SingleTxtG"/>
        <w:rPr>
          <w:lang w:eastAsia="fr-FR"/>
        </w:rPr>
      </w:pPr>
      <w:r w:rsidRPr="000F57D3">
        <w:rPr>
          <w:lang w:eastAsia="fr-FR"/>
        </w:rPr>
        <w:t>1</w:t>
      </w:r>
      <w:r w:rsidR="00937F9B">
        <w:rPr>
          <w:lang w:eastAsia="fr-FR"/>
        </w:rPr>
        <w:t>7</w:t>
      </w:r>
      <w:r w:rsidRPr="000F57D3">
        <w:rPr>
          <w:lang w:eastAsia="fr-FR"/>
        </w:rPr>
        <w:t>.</w:t>
      </w:r>
      <w:r w:rsidRPr="000F57D3">
        <w:rPr>
          <w:lang w:eastAsia="fr-FR"/>
        </w:rPr>
        <w:tab/>
      </w:r>
      <w:r w:rsidR="000F57D3" w:rsidRPr="000F57D3">
        <w:rPr>
          <w:lang w:eastAsia="fr-FR"/>
        </w:rPr>
        <w:t xml:space="preserve">Her Majesty’s Chief Inspector of Prisons has repeatedly found </w:t>
      </w:r>
      <w:r w:rsidR="000F57D3" w:rsidRPr="00994B90">
        <w:rPr>
          <w:lang w:eastAsia="fr-FR"/>
        </w:rPr>
        <w:t>breaches of Home Office policy and Detention Centre Rules in the failure</w:t>
      </w:r>
      <w:r w:rsidR="00CE5B85" w:rsidRPr="00994B90">
        <w:rPr>
          <w:lang w:eastAsia="fr-FR"/>
        </w:rPr>
        <w:t xml:space="preserve"> of the UK </w:t>
      </w:r>
      <w:r w:rsidR="003A029F" w:rsidRPr="00994B90">
        <w:rPr>
          <w:lang w:eastAsia="fr-FR"/>
        </w:rPr>
        <w:t>Border</w:t>
      </w:r>
      <w:r w:rsidR="00CE5B85" w:rsidRPr="00994B90">
        <w:rPr>
          <w:lang w:eastAsia="fr-FR"/>
        </w:rPr>
        <w:t xml:space="preserve"> Agency</w:t>
      </w:r>
      <w:r w:rsidR="000F57D3" w:rsidRPr="00994B90">
        <w:rPr>
          <w:lang w:eastAsia="fr-FR"/>
        </w:rPr>
        <w:t xml:space="preserve"> to maintain proper systems to establish whether </w:t>
      </w:r>
      <w:r w:rsidR="00C44135" w:rsidRPr="00994B90">
        <w:rPr>
          <w:lang w:eastAsia="fr-FR"/>
        </w:rPr>
        <w:t>immigrants detained</w:t>
      </w:r>
      <w:r w:rsidR="000F57D3" w:rsidRPr="00994B90">
        <w:rPr>
          <w:lang w:eastAsia="fr-FR"/>
        </w:rPr>
        <w:t xml:space="preserve"> bear signs of torture. Please detail the measures taken to address this situation and expl</w:t>
      </w:r>
      <w:r w:rsidR="000F57D3" w:rsidRPr="000F57D3">
        <w:rPr>
          <w:lang w:eastAsia="fr-FR"/>
        </w:rPr>
        <w:t>ain whether an independent assessment of the progress made in implementing Rule 35 of the Detention Centre Rules was conducted.</w:t>
      </w:r>
    </w:p>
    <w:p w:rsidR="000F57D3" w:rsidRPr="000F57D3" w:rsidRDefault="00CD36FD" w:rsidP="00CD36FD">
      <w:pPr>
        <w:pStyle w:val="SingleTxtG"/>
        <w:rPr>
          <w:lang w:eastAsia="fr-FR"/>
        </w:rPr>
      </w:pPr>
      <w:r w:rsidRPr="000F57D3">
        <w:rPr>
          <w:lang w:eastAsia="fr-FR"/>
        </w:rPr>
        <w:t>1</w:t>
      </w:r>
      <w:r w:rsidR="00937F9B">
        <w:rPr>
          <w:lang w:eastAsia="fr-FR"/>
        </w:rPr>
        <w:t>8</w:t>
      </w:r>
      <w:r w:rsidRPr="000F57D3">
        <w:rPr>
          <w:lang w:eastAsia="fr-FR"/>
        </w:rPr>
        <w:t>.</w:t>
      </w:r>
      <w:r w:rsidRPr="000F57D3">
        <w:rPr>
          <w:lang w:eastAsia="fr-FR"/>
        </w:rPr>
        <w:tab/>
      </w:r>
      <w:r w:rsidR="000F57D3" w:rsidRPr="000F57D3">
        <w:rPr>
          <w:lang w:eastAsia="fr-FR"/>
        </w:rPr>
        <w:t>Please explain why privately run prisons tend to hold a higher percentage of prisoners in overcrowded conditions</w:t>
      </w:r>
      <w:r w:rsidR="003929DA">
        <w:rPr>
          <w:lang w:eastAsia="fr-FR"/>
        </w:rPr>
        <w:t>.</w:t>
      </w:r>
      <w:r w:rsidR="000F57D3" w:rsidRPr="000F57D3">
        <w:rPr>
          <w:vertAlign w:val="superscript"/>
          <w:lang w:val="fr-FR" w:eastAsia="fr-FR"/>
        </w:rPr>
        <w:footnoteReference w:id="18"/>
      </w:r>
    </w:p>
    <w:p w:rsidR="000F57D3" w:rsidRPr="000F57D3" w:rsidRDefault="00CD36FD" w:rsidP="0077353F">
      <w:pPr>
        <w:pStyle w:val="H23G"/>
        <w:rPr>
          <w:lang w:eastAsia="fr-FR"/>
        </w:rPr>
      </w:pPr>
      <w:r>
        <w:rPr>
          <w:lang w:eastAsia="fr-FR"/>
        </w:rPr>
        <w:tab/>
      </w:r>
      <w:r>
        <w:rPr>
          <w:lang w:eastAsia="fr-FR"/>
        </w:rPr>
        <w:tab/>
      </w:r>
      <w:r w:rsidR="000F57D3" w:rsidRPr="000F57D3">
        <w:rPr>
          <w:lang w:eastAsia="fr-FR"/>
        </w:rPr>
        <w:t>Articles 12</w:t>
      </w:r>
      <w:r w:rsidR="0077353F">
        <w:rPr>
          <w:lang w:eastAsia="fr-FR"/>
        </w:rPr>
        <w:t xml:space="preserve"> and</w:t>
      </w:r>
      <w:r w:rsidR="000F57D3" w:rsidRPr="000F57D3">
        <w:rPr>
          <w:lang w:eastAsia="fr-FR"/>
        </w:rPr>
        <w:t xml:space="preserve">13 </w:t>
      </w:r>
    </w:p>
    <w:p w:rsidR="000F57D3" w:rsidRPr="000F57D3" w:rsidRDefault="00CD36FD" w:rsidP="00CD36FD">
      <w:pPr>
        <w:pStyle w:val="SingleTxtG"/>
        <w:rPr>
          <w:lang w:eastAsia="fr-FR"/>
        </w:rPr>
      </w:pPr>
      <w:r w:rsidRPr="000F57D3">
        <w:rPr>
          <w:lang w:eastAsia="fr-FR"/>
        </w:rPr>
        <w:t>1</w:t>
      </w:r>
      <w:r w:rsidR="00937F9B">
        <w:rPr>
          <w:lang w:eastAsia="fr-FR"/>
        </w:rPr>
        <w:t>9</w:t>
      </w:r>
      <w:r w:rsidRPr="000F57D3">
        <w:rPr>
          <w:lang w:eastAsia="fr-FR"/>
        </w:rPr>
        <w:t>.</w:t>
      </w:r>
      <w:r w:rsidRPr="000F57D3">
        <w:rPr>
          <w:lang w:eastAsia="fr-FR"/>
        </w:rPr>
        <w:tab/>
      </w:r>
      <w:r w:rsidR="000F57D3" w:rsidRPr="000F57D3">
        <w:rPr>
          <w:lang w:eastAsia="fr-FR"/>
        </w:rPr>
        <w:t xml:space="preserve">Since the last concluding observations, how many prosecutions were carried on for torture and ill-treatment whether under the HRA, the Criminal Justice Act 1988 or the Service Law? How many of these are of current and former government officials or members of the armed forces? </w:t>
      </w:r>
    </w:p>
    <w:p w:rsidR="000F57D3" w:rsidRPr="000F57D3" w:rsidRDefault="00937F9B" w:rsidP="00CD36FD">
      <w:pPr>
        <w:pStyle w:val="SingleTxtG"/>
        <w:rPr>
          <w:lang w:eastAsia="fr-FR"/>
        </w:rPr>
      </w:pPr>
      <w:r>
        <w:rPr>
          <w:lang w:eastAsia="fr-FR"/>
        </w:rPr>
        <w:t>20</w:t>
      </w:r>
      <w:r w:rsidR="00CD36FD" w:rsidRPr="000F57D3">
        <w:rPr>
          <w:lang w:eastAsia="fr-FR"/>
        </w:rPr>
        <w:t>.</w:t>
      </w:r>
      <w:r w:rsidR="00CD36FD" w:rsidRPr="000F57D3">
        <w:rPr>
          <w:lang w:eastAsia="fr-FR"/>
        </w:rPr>
        <w:tab/>
      </w:r>
      <w:r w:rsidR="000F57D3" w:rsidRPr="000F57D3">
        <w:rPr>
          <w:lang w:eastAsia="fr-FR"/>
        </w:rPr>
        <w:t>Please explain how the State party is addressing the concerns expressed</w:t>
      </w:r>
      <w:r w:rsidR="000F57D3" w:rsidRPr="000F57D3">
        <w:rPr>
          <w:i/>
          <w:lang w:eastAsia="fr-FR"/>
        </w:rPr>
        <w:t>,</w:t>
      </w:r>
      <w:r w:rsidR="000F57D3" w:rsidRPr="00264C27">
        <w:rPr>
          <w:iCs/>
          <w:lang w:eastAsia="fr-FR"/>
        </w:rPr>
        <w:t xml:space="preserve"> inter alia</w:t>
      </w:r>
      <w:r w:rsidR="000F57D3" w:rsidRPr="000F57D3">
        <w:rPr>
          <w:i/>
          <w:lang w:eastAsia="fr-FR"/>
        </w:rPr>
        <w:t>,</w:t>
      </w:r>
      <w:r w:rsidR="000F57D3" w:rsidRPr="000F57D3">
        <w:rPr>
          <w:lang w:eastAsia="fr-FR"/>
        </w:rPr>
        <w:t xml:space="preserve"> by the Northern Ireland Human Rights Commission, about the investigations into deaths by lethal force that occurred during the conflict period in </w:t>
      </w:r>
      <w:smartTag w:uri="urn:schemas-microsoft-com:office:smarttags" w:element="place">
        <w:smartTag w:uri="urn:schemas-microsoft-com:office:smarttags" w:element="country-region">
          <w:r w:rsidR="000F57D3" w:rsidRPr="000F57D3">
            <w:rPr>
              <w:lang w:eastAsia="fr-FR"/>
            </w:rPr>
            <w:t>Northern Ireland</w:t>
          </w:r>
        </w:smartTag>
      </w:smartTag>
      <w:r w:rsidR="000F57D3" w:rsidRPr="000F57D3">
        <w:rPr>
          <w:lang w:eastAsia="fr-FR"/>
        </w:rPr>
        <w:t>, and the independence of inquiries conducted under the Inquiries Act 2005</w:t>
      </w:r>
      <w:r w:rsidR="000F57D3" w:rsidRPr="000F57D3">
        <w:rPr>
          <w:vertAlign w:val="superscript"/>
          <w:lang w:eastAsia="fr-FR"/>
        </w:rPr>
        <w:footnoteReference w:id="19"/>
      </w:r>
      <w:r w:rsidR="000F57D3" w:rsidRPr="000F57D3">
        <w:rPr>
          <w:lang w:eastAsia="fr-FR"/>
        </w:rPr>
        <w:t xml:space="preserve"> due to the control that Government Ministers can exercise.</w:t>
      </w:r>
    </w:p>
    <w:p w:rsidR="000F57D3" w:rsidRDefault="00CD36FD" w:rsidP="00CD36FD">
      <w:pPr>
        <w:pStyle w:val="SingleTxtG"/>
        <w:rPr>
          <w:iCs/>
          <w:lang w:eastAsia="fr-FR"/>
        </w:rPr>
      </w:pPr>
      <w:r w:rsidRPr="000F57D3">
        <w:rPr>
          <w:lang w:eastAsia="fr-FR"/>
        </w:rPr>
        <w:t>2</w:t>
      </w:r>
      <w:r w:rsidR="00937F9B">
        <w:rPr>
          <w:lang w:eastAsia="fr-FR"/>
        </w:rPr>
        <w:t>1</w:t>
      </w:r>
      <w:r w:rsidRPr="000F57D3">
        <w:rPr>
          <w:lang w:eastAsia="fr-FR"/>
        </w:rPr>
        <w:t>.</w:t>
      </w:r>
      <w:r w:rsidRPr="000F57D3">
        <w:rPr>
          <w:lang w:eastAsia="fr-FR"/>
        </w:rPr>
        <w:tab/>
      </w:r>
      <w:r w:rsidR="000F57D3" w:rsidRPr="000F57D3">
        <w:rPr>
          <w:lang w:eastAsia="fr-FR"/>
        </w:rPr>
        <w:t>With reference to the previous request by the Committee’s Rapporteur on follow-up to concluding observations</w:t>
      </w:r>
      <w:r w:rsidR="003929DA">
        <w:rPr>
          <w:lang w:eastAsia="fr-FR"/>
        </w:rPr>
        <w:t>,</w:t>
      </w:r>
      <w:r w:rsidR="00C44135">
        <w:rPr>
          <w:rStyle w:val="FootnoteReference"/>
          <w:lang w:eastAsia="fr-FR"/>
        </w:rPr>
        <w:footnoteReference w:id="20"/>
      </w:r>
      <w:r w:rsidR="000F57D3" w:rsidRPr="000F57D3">
        <w:rPr>
          <w:lang w:eastAsia="fr-FR"/>
        </w:rPr>
        <w:t xml:space="preserve"> please provide comprehensive information on all investigations undertaken by the State party into allegations of torture and ill-treatment by its forces in </w:t>
      </w:r>
      <w:smartTag w:uri="urn:schemas-microsoft-com:office:smarttags" w:element="country-region">
        <w:r w:rsidR="000F57D3" w:rsidRPr="000F57D3">
          <w:rPr>
            <w:lang w:eastAsia="fr-FR"/>
          </w:rPr>
          <w:t>Iraq</w:t>
        </w:r>
      </w:smartTag>
      <w:r w:rsidR="000F57D3" w:rsidRPr="000F57D3">
        <w:rPr>
          <w:lang w:eastAsia="fr-FR"/>
        </w:rPr>
        <w:t xml:space="preserve"> and </w:t>
      </w:r>
      <w:smartTag w:uri="urn:schemas-microsoft-com:office:smarttags" w:element="country-region">
        <w:smartTag w:uri="urn:schemas-microsoft-com:office:smarttags" w:element="place">
          <w:r w:rsidR="000F57D3" w:rsidRPr="000F57D3">
            <w:rPr>
              <w:lang w:eastAsia="fr-FR"/>
            </w:rPr>
            <w:t>Afghanistan</w:t>
          </w:r>
        </w:smartTag>
      </w:smartTag>
      <w:r w:rsidR="000F57D3" w:rsidRPr="000F57D3">
        <w:rPr>
          <w:lang w:eastAsia="fr-FR"/>
        </w:rPr>
        <w:t>; the results of these investigations; the number of resulting prosecutions before courts; and the outc</w:t>
      </w:r>
      <w:r w:rsidR="00A11207">
        <w:rPr>
          <w:lang w:eastAsia="fr-FR"/>
        </w:rPr>
        <w:t xml:space="preserve">omes of any such prosecutions. </w:t>
      </w:r>
      <w:r w:rsidR="000F57D3" w:rsidRPr="000F57D3">
        <w:rPr>
          <w:lang w:eastAsia="fr-FR"/>
        </w:rPr>
        <w:t>Please also clarify the legal means available to challenge final decisions of investigatory bodies and describe how the State party has ensured the independence of such investigations.</w:t>
      </w:r>
      <w:r w:rsidR="000F57D3" w:rsidRPr="000F57D3">
        <w:rPr>
          <w:iCs/>
          <w:lang w:eastAsia="fr-FR"/>
        </w:rPr>
        <w:t xml:space="preserve"> Please indicate whether the State party has considered revising or repealing the Inquiries Act of 2005 in order to transfer control over inquiries from the government to the judiciary.</w:t>
      </w:r>
    </w:p>
    <w:p w:rsidR="00A9222A" w:rsidRPr="00A9222A" w:rsidRDefault="00CE5B85" w:rsidP="005816D9">
      <w:pPr>
        <w:pStyle w:val="SingleTxtG"/>
        <w:rPr>
          <w:lang w:eastAsia="fr-FR"/>
        </w:rPr>
      </w:pPr>
      <w:r>
        <w:rPr>
          <w:iCs/>
          <w:lang w:eastAsia="fr-FR"/>
        </w:rPr>
        <w:t>22.</w:t>
      </w:r>
      <w:r>
        <w:rPr>
          <w:iCs/>
          <w:lang w:eastAsia="fr-FR"/>
        </w:rPr>
        <w:tab/>
      </w:r>
      <w:r w:rsidR="00A9222A" w:rsidRPr="00A9222A">
        <w:rPr>
          <w:lang w:eastAsia="fr-FR"/>
        </w:rPr>
        <w:t xml:space="preserve">Please provide updated information on the return to the </w:t>
      </w:r>
      <w:r w:rsidR="00C44135">
        <w:rPr>
          <w:lang w:eastAsia="fr-FR"/>
        </w:rPr>
        <w:t>State party</w:t>
      </w:r>
      <w:r w:rsidR="00A9222A" w:rsidRPr="00A9222A">
        <w:rPr>
          <w:lang w:eastAsia="fr-FR"/>
        </w:rPr>
        <w:t xml:space="preserve"> of Shaker Aamer </w:t>
      </w:r>
      <w:r w:rsidR="00AB3EE4">
        <w:rPr>
          <w:lang w:eastAsia="fr-FR"/>
        </w:rPr>
        <w:t>(</w:t>
      </w:r>
      <w:r w:rsidR="00A9222A" w:rsidRPr="00A9222A">
        <w:rPr>
          <w:lang w:eastAsia="fr-FR"/>
        </w:rPr>
        <w:t>where he would be reunited with his</w:t>
      </w:r>
      <w:r w:rsidR="005816D9">
        <w:rPr>
          <w:lang w:eastAsia="fr-FR"/>
        </w:rPr>
        <w:t xml:space="preserve"> British wife and four children</w:t>
      </w:r>
      <w:r w:rsidR="00AB3EE4">
        <w:rPr>
          <w:lang w:eastAsia="fr-FR"/>
        </w:rPr>
        <w:t>)</w:t>
      </w:r>
      <w:r w:rsidR="005816D9">
        <w:rPr>
          <w:lang w:eastAsia="fr-FR"/>
        </w:rPr>
        <w:t>,</w:t>
      </w:r>
      <w:r w:rsidR="00A9222A" w:rsidRPr="00A9222A">
        <w:rPr>
          <w:lang w:eastAsia="fr-FR"/>
        </w:rPr>
        <w:t xml:space="preserve"> who, according to information before the Committee, has been “cleared for release” from </w:t>
      </w:r>
      <w:smartTag w:uri="urn:schemas-microsoft-com:office:smarttags" w:element="place">
        <w:smartTag w:uri="urn:schemas-microsoft-com:office:smarttags" w:element="PlaceName">
          <w:r w:rsidR="00A9222A" w:rsidRPr="00A9222A">
            <w:rPr>
              <w:lang w:eastAsia="fr-FR"/>
            </w:rPr>
            <w:t>Guantanamo</w:t>
          </w:r>
        </w:smartTag>
        <w:r w:rsidR="00A9222A" w:rsidRPr="00A9222A">
          <w:rPr>
            <w:lang w:eastAsia="fr-FR"/>
          </w:rPr>
          <w:t xml:space="preserve"> </w:t>
        </w:r>
        <w:smartTag w:uri="urn:schemas-microsoft-com:office:smarttags" w:element="PlaceType">
          <w:r w:rsidR="00A9222A" w:rsidRPr="00A9222A">
            <w:rPr>
              <w:lang w:eastAsia="fr-FR"/>
            </w:rPr>
            <w:t>Bay</w:t>
          </w:r>
        </w:smartTag>
      </w:smartTag>
      <w:r w:rsidR="00A9222A" w:rsidRPr="00A9222A">
        <w:rPr>
          <w:lang w:eastAsia="fr-FR"/>
        </w:rPr>
        <w:t xml:space="preserve"> for more than four years?</w:t>
      </w:r>
    </w:p>
    <w:p w:rsidR="00A11207" w:rsidRDefault="00CD36FD" w:rsidP="00CD36FD">
      <w:pPr>
        <w:pStyle w:val="SingleTxtG"/>
        <w:rPr>
          <w:lang w:eastAsia="fr-FR"/>
        </w:rPr>
      </w:pPr>
      <w:r w:rsidRPr="000F57D3">
        <w:rPr>
          <w:lang w:eastAsia="fr-FR"/>
        </w:rPr>
        <w:t>2</w:t>
      </w:r>
      <w:r w:rsidR="00CE5B85">
        <w:rPr>
          <w:lang w:eastAsia="fr-FR"/>
        </w:rPr>
        <w:t>3</w:t>
      </w:r>
      <w:r w:rsidRPr="000F57D3">
        <w:rPr>
          <w:lang w:eastAsia="fr-FR"/>
        </w:rPr>
        <w:t>.</w:t>
      </w:r>
      <w:r w:rsidRPr="000F57D3">
        <w:rPr>
          <w:lang w:eastAsia="fr-FR"/>
        </w:rPr>
        <w:tab/>
      </w:r>
      <w:r w:rsidR="000F57D3" w:rsidRPr="000F57D3">
        <w:rPr>
          <w:lang w:eastAsia="fr-FR"/>
        </w:rPr>
        <w:t xml:space="preserve">Please provide clarification on how the State party’s investigatory procedures were amended and accountability ensured following the serious allegations made by former </w:t>
      </w:r>
      <w:smartTag w:uri="urn:schemas-microsoft-com:office:smarttags" w:element="place">
        <w:smartTag w:uri="urn:schemas-microsoft-com:office:smarttags" w:element="country-region">
          <w:r w:rsidR="000F57D3" w:rsidRPr="000F57D3">
            <w:rPr>
              <w:lang w:eastAsia="fr-FR"/>
            </w:rPr>
            <w:t>US</w:t>
          </w:r>
        </w:smartTag>
      </w:smartTag>
      <w:r w:rsidR="000F57D3" w:rsidRPr="000F57D3">
        <w:rPr>
          <w:lang w:eastAsia="fr-FR"/>
        </w:rPr>
        <w:t xml:space="preserve"> detainee Binyam Mohamed that the State party’s intelligence agency was complicit in abusive interrogation tactics</w:t>
      </w:r>
      <w:r w:rsidR="004C2FAF">
        <w:rPr>
          <w:lang w:eastAsia="fr-FR"/>
        </w:rPr>
        <w:t xml:space="preserve">. </w:t>
      </w:r>
    </w:p>
    <w:p w:rsidR="000F57D3" w:rsidRPr="000F57D3" w:rsidRDefault="00CD36FD" w:rsidP="00264C27">
      <w:pPr>
        <w:pStyle w:val="SingleTxtG"/>
        <w:rPr>
          <w:lang w:eastAsia="fr-FR"/>
        </w:rPr>
      </w:pPr>
      <w:r w:rsidRPr="000F57D3">
        <w:rPr>
          <w:lang w:eastAsia="fr-FR"/>
        </w:rPr>
        <w:t>2</w:t>
      </w:r>
      <w:r w:rsidR="00CE7218">
        <w:rPr>
          <w:lang w:eastAsia="fr-FR"/>
        </w:rPr>
        <w:t>4</w:t>
      </w:r>
      <w:r w:rsidRPr="000F57D3">
        <w:rPr>
          <w:lang w:eastAsia="fr-FR"/>
        </w:rPr>
        <w:t>.</w:t>
      </w:r>
      <w:r w:rsidRPr="000F57D3">
        <w:rPr>
          <w:lang w:eastAsia="fr-FR"/>
        </w:rPr>
        <w:tab/>
      </w:r>
      <w:r w:rsidR="000F57D3" w:rsidRPr="000F57D3">
        <w:rPr>
          <w:lang w:eastAsia="fr-FR"/>
        </w:rPr>
        <w:t xml:space="preserve">The Prime Minister announced in July 2010 that an independent inquiry (the Detainee Inquiry) would examine whether and to what </w:t>
      </w:r>
      <w:smartTag w:uri="urn:schemas-microsoft-com:office:smarttags" w:element="place">
        <w:smartTag w:uri="urn:schemas-microsoft-com:office:smarttags" w:element="PlaceName">
          <w:r w:rsidR="000F57D3" w:rsidRPr="000F57D3">
            <w:rPr>
              <w:lang w:eastAsia="fr-FR"/>
            </w:rPr>
            <w:t>extent</w:t>
          </w:r>
        </w:smartTag>
        <w:r w:rsidR="000F57D3" w:rsidRPr="000F57D3">
          <w:rPr>
            <w:lang w:eastAsia="fr-FR"/>
          </w:rPr>
          <w:t xml:space="preserve"> </w:t>
        </w:r>
        <w:smartTag w:uri="urn:schemas-microsoft-com:office:smarttags" w:element="PlaceType">
          <w:r w:rsidR="000F57D3" w:rsidRPr="000F57D3">
            <w:rPr>
              <w:lang w:eastAsia="fr-FR"/>
            </w:rPr>
            <w:t>State</w:t>
          </w:r>
        </w:smartTag>
      </w:smartTag>
      <w:r w:rsidR="000F57D3" w:rsidRPr="000F57D3">
        <w:rPr>
          <w:lang w:eastAsia="fr-FR"/>
        </w:rPr>
        <w:t xml:space="preserve"> security and intelligence agencies were involved or otherwise complicit in the improper treatment or rendition of detainees held by other States in counter-terrorism operations in the aftermath of the attacks of 11 September 2001. On 3 August 2011</w:t>
      </w:r>
      <w:r w:rsidR="003A029F">
        <w:rPr>
          <w:lang w:eastAsia="fr-FR"/>
        </w:rPr>
        <w:t>,</w:t>
      </w:r>
      <w:r w:rsidR="000F57D3" w:rsidRPr="000F57D3">
        <w:rPr>
          <w:lang w:eastAsia="fr-FR"/>
        </w:rPr>
        <w:t xml:space="preserve"> lawyers acting for former detainees and ten non-governmental organi</w:t>
      </w:r>
      <w:r w:rsidR="00264C27">
        <w:rPr>
          <w:lang w:eastAsia="fr-FR"/>
        </w:rPr>
        <w:t>z</w:t>
      </w:r>
      <w:r w:rsidR="000F57D3" w:rsidRPr="000F57D3">
        <w:rPr>
          <w:lang w:eastAsia="fr-FR"/>
        </w:rPr>
        <w:t>ations indicated that they would not participate in the Detainee Inquiry (which was concluded in January 2012) due to its lack of transparency and the lack of participation of former and current detainees and other third parties</w:t>
      </w:r>
      <w:r w:rsidR="00264C27">
        <w:rPr>
          <w:lang w:eastAsia="fr-FR"/>
        </w:rPr>
        <w:t>.</w:t>
      </w:r>
      <w:r w:rsidR="006A6DCC">
        <w:rPr>
          <w:rStyle w:val="FootnoteReference"/>
          <w:lang w:eastAsia="fr-FR"/>
        </w:rPr>
        <w:footnoteReference w:id="21"/>
      </w:r>
      <w:r w:rsidR="000F57D3" w:rsidRPr="000F57D3">
        <w:rPr>
          <w:lang w:eastAsia="fr-FR"/>
        </w:rPr>
        <w:t xml:space="preserve"> Please explain how the State party intends to remedy the structural shortcomings of the inquiry.</w:t>
      </w:r>
      <w:r w:rsidR="003929DA">
        <w:rPr>
          <w:lang w:eastAsia="fr-FR"/>
        </w:rPr>
        <w:t xml:space="preserve"> </w:t>
      </w:r>
    </w:p>
    <w:p w:rsidR="000F57D3" w:rsidRPr="000F57D3" w:rsidRDefault="00CD36FD" w:rsidP="00C85A0C">
      <w:pPr>
        <w:pStyle w:val="SingleTxtG"/>
        <w:rPr>
          <w:lang w:eastAsia="fr-FR"/>
        </w:rPr>
      </w:pPr>
      <w:r w:rsidRPr="000F57D3">
        <w:rPr>
          <w:lang w:eastAsia="fr-FR"/>
        </w:rPr>
        <w:t>2</w:t>
      </w:r>
      <w:r w:rsidR="00CE7218">
        <w:rPr>
          <w:lang w:eastAsia="fr-FR"/>
        </w:rPr>
        <w:t>5</w:t>
      </w:r>
      <w:r w:rsidRPr="000F57D3">
        <w:rPr>
          <w:lang w:eastAsia="fr-FR"/>
        </w:rPr>
        <w:t>.</w:t>
      </w:r>
      <w:r w:rsidRPr="000F57D3">
        <w:rPr>
          <w:lang w:eastAsia="fr-FR"/>
        </w:rPr>
        <w:tab/>
      </w:r>
      <w:r w:rsidR="000F57D3" w:rsidRPr="000F57D3">
        <w:rPr>
          <w:lang w:eastAsia="fr-FR"/>
        </w:rPr>
        <w:t>With regard to the Inquiry into the death of Baha Mousa</w:t>
      </w:r>
      <w:r w:rsidR="00264C27">
        <w:rPr>
          <w:lang w:eastAsia="fr-FR"/>
        </w:rPr>
        <w:t>,</w:t>
      </w:r>
      <w:r w:rsidR="000F57D3" w:rsidRPr="000F57D3">
        <w:rPr>
          <w:vertAlign w:val="superscript"/>
          <w:lang w:val="fr-FR" w:eastAsia="fr-FR"/>
        </w:rPr>
        <w:footnoteReference w:id="22"/>
      </w:r>
      <w:r w:rsidR="000F57D3" w:rsidRPr="000F57D3">
        <w:rPr>
          <w:lang w:eastAsia="fr-FR"/>
        </w:rPr>
        <w:t xml:space="preserve"> please provide updated information on the implementation of the recommendations </w:t>
      </w:r>
      <w:r w:rsidR="00DE05CF" w:rsidRPr="000F57D3">
        <w:rPr>
          <w:lang w:eastAsia="fr-FR"/>
        </w:rPr>
        <w:t xml:space="preserve">addressed to the Ministry of </w:t>
      </w:r>
      <w:r w:rsidR="00DE05CF" w:rsidRPr="00CE7218">
        <w:rPr>
          <w:lang w:eastAsia="fr-FR"/>
        </w:rPr>
        <w:t xml:space="preserve">Defence </w:t>
      </w:r>
      <w:r w:rsidR="000F57D3" w:rsidRPr="00CE7218">
        <w:rPr>
          <w:lang w:eastAsia="fr-FR"/>
        </w:rPr>
        <w:t xml:space="preserve">contained in </w:t>
      </w:r>
      <w:r w:rsidR="00DE05CF" w:rsidRPr="00CE7218">
        <w:rPr>
          <w:lang w:eastAsia="fr-FR"/>
        </w:rPr>
        <w:t xml:space="preserve">part XVII of </w:t>
      </w:r>
      <w:r w:rsidR="000F57D3" w:rsidRPr="00CE7218">
        <w:rPr>
          <w:lang w:eastAsia="fr-FR"/>
        </w:rPr>
        <w:t>the report</w:t>
      </w:r>
      <w:r w:rsidR="00DE05CF" w:rsidRPr="00CE7218">
        <w:rPr>
          <w:vertAlign w:val="superscript"/>
          <w:lang w:val="fr-FR" w:eastAsia="fr-FR"/>
        </w:rPr>
        <w:footnoteReference w:id="23"/>
      </w:r>
      <w:r w:rsidR="000F57D3" w:rsidRPr="00CE7218">
        <w:rPr>
          <w:lang w:eastAsia="fr-FR"/>
        </w:rPr>
        <w:t xml:space="preserve"> </w:t>
      </w:r>
      <w:r w:rsidR="00DE05CF" w:rsidRPr="00CE7218">
        <w:rPr>
          <w:lang w:eastAsia="fr-FR"/>
        </w:rPr>
        <w:t>published in September 2011</w:t>
      </w:r>
      <w:r w:rsidR="000F57D3" w:rsidRPr="000F57D3">
        <w:rPr>
          <w:lang w:eastAsia="fr-FR"/>
        </w:rPr>
        <w:t xml:space="preserve">. </w:t>
      </w:r>
    </w:p>
    <w:p w:rsidR="000F57D3" w:rsidRPr="000F57D3" w:rsidRDefault="00CD36FD" w:rsidP="00C85A0C">
      <w:pPr>
        <w:pStyle w:val="SingleTxtG"/>
        <w:rPr>
          <w:lang w:eastAsia="fr-FR"/>
        </w:rPr>
      </w:pPr>
      <w:r w:rsidRPr="000F57D3">
        <w:rPr>
          <w:lang w:eastAsia="fr-FR"/>
        </w:rPr>
        <w:t>2</w:t>
      </w:r>
      <w:r w:rsidR="00CE7218">
        <w:rPr>
          <w:lang w:eastAsia="fr-FR"/>
        </w:rPr>
        <w:t>6</w:t>
      </w:r>
      <w:r w:rsidRPr="000F57D3">
        <w:rPr>
          <w:lang w:eastAsia="fr-FR"/>
        </w:rPr>
        <w:t>.</w:t>
      </w:r>
      <w:r w:rsidRPr="000F57D3">
        <w:rPr>
          <w:lang w:eastAsia="fr-FR"/>
        </w:rPr>
        <w:tab/>
      </w:r>
      <w:r w:rsidR="000F57D3" w:rsidRPr="000F57D3">
        <w:rPr>
          <w:lang w:eastAsia="fr-FR"/>
        </w:rPr>
        <w:t xml:space="preserve">In respect of the Al Sweady Inquiry into allegations of unlawful killing and mistreatment of Iraqi nationals by British forces in 2004, please provide information on the progress made and when the report is expected. What measures has the State party taken to address allegations that the </w:t>
      </w:r>
      <w:hyperlink r:id="rId8" w:tooltip="More from guardian.co.uk on Ministry of Defence" w:history="1">
        <w:r w:rsidR="000F57D3" w:rsidRPr="000F57D3">
          <w:rPr>
            <w:lang w:eastAsia="fr-FR"/>
          </w:rPr>
          <w:t>Ministry of Defence</w:t>
        </w:r>
      </w:hyperlink>
      <w:r w:rsidR="000F57D3" w:rsidRPr="000F57D3">
        <w:rPr>
          <w:lang w:eastAsia="fr-FR"/>
        </w:rPr>
        <w:t xml:space="preserve"> has withheld evidence of mistreatment of civilians and that not a single witness statement from any of the </w:t>
      </w:r>
      <w:r w:rsidR="000F57D3" w:rsidRPr="00CE7218">
        <w:rPr>
          <w:lang w:eastAsia="fr-FR"/>
        </w:rPr>
        <w:t>interrogators had been provided to the inquiry</w:t>
      </w:r>
      <w:r w:rsidR="00264C27">
        <w:rPr>
          <w:lang w:eastAsia="fr-FR"/>
        </w:rPr>
        <w:t>?</w:t>
      </w:r>
      <w:r w:rsidR="000F57D3" w:rsidRPr="00CE7218">
        <w:rPr>
          <w:vertAlign w:val="superscript"/>
          <w:lang w:eastAsia="fr-FR"/>
        </w:rPr>
        <w:footnoteReference w:id="24"/>
      </w:r>
    </w:p>
    <w:p w:rsidR="000F57D3" w:rsidRPr="000F57D3" w:rsidRDefault="00CD36FD" w:rsidP="00C85A0C">
      <w:pPr>
        <w:pStyle w:val="SingleTxtG"/>
        <w:rPr>
          <w:lang w:eastAsia="fr-FR"/>
        </w:rPr>
      </w:pPr>
      <w:r w:rsidRPr="000F57D3">
        <w:rPr>
          <w:lang w:eastAsia="fr-FR"/>
        </w:rPr>
        <w:t>2</w:t>
      </w:r>
      <w:r w:rsidR="00CE7218">
        <w:rPr>
          <w:lang w:eastAsia="fr-FR"/>
        </w:rPr>
        <w:t>7</w:t>
      </w:r>
      <w:r w:rsidRPr="000F57D3">
        <w:rPr>
          <w:lang w:eastAsia="fr-FR"/>
        </w:rPr>
        <w:t>.</w:t>
      </w:r>
      <w:r w:rsidRPr="000F57D3">
        <w:rPr>
          <w:lang w:eastAsia="fr-FR"/>
        </w:rPr>
        <w:tab/>
      </w:r>
      <w:r w:rsidR="000F57D3" w:rsidRPr="000F57D3">
        <w:rPr>
          <w:lang w:eastAsia="fr-FR"/>
        </w:rPr>
        <w:t xml:space="preserve">Following the European Court of Human Rights judgments in </w:t>
      </w:r>
      <w:r w:rsidR="000F57D3" w:rsidRPr="000F57D3">
        <w:rPr>
          <w:i/>
          <w:lang w:eastAsia="fr-FR"/>
        </w:rPr>
        <w:t xml:space="preserve">Al Skeini </w:t>
      </w:r>
      <w:r w:rsidR="000F57D3" w:rsidRPr="00475487">
        <w:rPr>
          <w:iCs/>
          <w:lang w:eastAsia="fr-FR"/>
        </w:rPr>
        <w:t>v</w:t>
      </w:r>
      <w:r w:rsidR="00475487">
        <w:rPr>
          <w:iCs/>
          <w:lang w:eastAsia="fr-FR"/>
        </w:rPr>
        <w:t>.</w:t>
      </w:r>
      <w:r w:rsidR="000F57D3" w:rsidRPr="000F57D3">
        <w:rPr>
          <w:i/>
          <w:lang w:eastAsia="fr-FR"/>
        </w:rPr>
        <w:t xml:space="preserve"> </w:t>
      </w:r>
      <w:smartTag w:uri="urn:schemas-microsoft-com:office:smarttags" w:element="country-region">
        <w:smartTag w:uri="urn:schemas-microsoft-com:office:smarttags" w:element="place">
          <w:r w:rsidR="000F57D3" w:rsidRPr="000F57D3">
            <w:rPr>
              <w:i/>
              <w:lang w:eastAsia="fr-FR"/>
            </w:rPr>
            <w:t>UK</w:t>
          </w:r>
        </w:smartTag>
      </w:smartTag>
      <w:r w:rsidR="000F57D3" w:rsidRPr="000F57D3">
        <w:rPr>
          <w:i/>
          <w:lang w:eastAsia="fr-FR"/>
        </w:rPr>
        <w:t xml:space="preserve"> (2011)</w:t>
      </w:r>
      <w:r w:rsidR="000F57D3" w:rsidRPr="000F57D3">
        <w:rPr>
          <w:lang w:eastAsia="fr-FR"/>
        </w:rPr>
        <w:t xml:space="preserve"> founding that the State party had failed to carry out an effective investigation into the deaths and mistreatment of Iraqi civilians, the State party established a unit within the Iraq Historic Allegations Team (IHAT) to investigate those cases. Please provide updated information on the investigation process and provide information on the actions taken in response to the finding of the Court of Appeal in </w:t>
      </w:r>
      <w:r w:rsidR="000F57D3" w:rsidRPr="000F57D3">
        <w:rPr>
          <w:i/>
          <w:lang w:eastAsia="fr-FR"/>
        </w:rPr>
        <w:t>Mousa</w:t>
      </w:r>
      <w:r w:rsidR="000F57D3" w:rsidRPr="002A7EFE">
        <w:rPr>
          <w:iCs/>
          <w:lang w:eastAsia="fr-FR"/>
        </w:rPr>
        <w:t xml:space="preserve"> v.</w:t>
      </w:r>
      <w:r w:rsidR="000F57D3" w:rsidRPr="000F57D3">
        <w:rPr>
          <w:i/>
          <w:lang w:eastAsia="fr-FR"/>
        </w:rPr>
        <w:t xml:space="preserve"> Secretary of State for Defense</w:t>
      </w:r>
      <w:r w:rsidR="000F57D3" w:rsidRPr="000F57D3">
        <w:rPr>
          <w:lang w:eastAsia="fr-FR"/>
        </w:rPr>
        <w:t xml:space="preserve">, that the IHAT was not sufficiently independent to satisfy article 3 of the European Convention. </w:t>
      </w:r>
    </w:p>
    <w:p w:rsidR="000F57D3" w:rsidRPr="000F57D3" w:rsidRDefault="00CD36FD" w:rsidP="00020012">
      <w:pPr>
        <w:pStyle w:val="SingleTxtG"/>
        <w:rPr>
          <w:lang w:eastAsia="fr-FR"/>
        </w:rPr>
      </w:pPr>
      <w:r w:rsidRPr="000F57D3">
        <w:rPr>
          <w:lang w:eastAsia="fr-FR"/>
        </w:rPr>
        <w:t>2</w:t>
      </w:r>
      <w:r w:rsidR="00CE7218">
        <w:rPr>
          <w:lang w:eastAsia="fr-FR"/>
        </w:rPr>
        <w:t>8</w:t>
      </w:r>
      <w:r w:rsidRPr="000F57D3">
        <w:rPr>
          <w:lang w:eastAsia="fr-FR"/>
        </w:rPr>
        <w:t>.</w:t>
      </w:r>
      <w:r w:rsidRPr="000F57D3">
        <w:rPr>
          <w:lang w:eastAsia="fr-FR"/>
        </w:rPr>
        <w:tab/>
      </w:r>
      <w:r w:rsidR="000F57D3" w:rsidRPr="000F57D3">
        <w:rPr>
          <w:lang w:eastAsia="fr-FR"/>
        </w:rPr>
        <w:t xml:space="preserve">Please provide updated information on the </w:t>
      </w:r>
      <w:r w:rsidR="00020012">
        <w:rPr>
          <w:lang w:eastAsia="fr-FR"/>
        </w:rPr>
        <w:t>ongoing</w:t>
      </w:r>
      <w:r w:rsidR="000F57D3" w:rsidRPr="000F57D3">
        <w:rPr>
          <w:lang w:eastAsia="fr-FR"/>
        </w:rPr>
        <w:t xml:space="preserve"> criminal investigations in relation to the possible cooperation of the British Secret Intelligence Service with the </w:t>
      </w:r>
      <w:r w:rsidR="000F57D3" w:rsidRPr="00185FA1">
        <w:rPr>
          <w:lang w:eastAsia="fr-FR"/>
        </w:rPr>
        <w:t>Libyan</w:t>
      </w:r>
      <w:r w:rsidR="000F57D3" w:rsidRPr="000F57D3">
        <w:rPr>
          <w:lang w:eastAsia="fr-FR"/>
        </w:rPr>
        <w:t xml:space="preserve"> External Security Organisation in the rendition of the Libyan dissidents Sami al-Saadi and Abdul Hakim Belhaj who claim they were tortured upon their arrival in </w:t>
      </w:r>
      <w:smartTag w:uri="urn:schemas-microsoft-com:office:smarttags" w:element="country-region">
        <w:smartTag w:uri="urn:schemas-microsoft-com:office:smarttags" w:element="place">
          <w:r w:rsidR="000F57D3" w:rsidRPr="000F57D3">
            <w:rPr>
              <w:lang w:eastAsia="fr-FR"/>
            </w:rPr>
            <w:t>Libya</w:t>
          </w:r>
        </w:smartTag>
      </w:smartTag>
      <w:r w:rsidR="000F57D3" w:rsidRPr="000F57D3">
        <w:rPr>
          <w:lang w:eastAsia="fr-FR"/>
        </w:rPr>
        <w:t>.</w:t>
      </w:r>
      <w:r w:rsidR="003929DA">
        <w:rPr>
          <w:lang w:eastAsia="fr-FR"/>
        </w:rPr>
        <w:t xml:space="preserve"> </w:t>
      </w:r>
    </w:p>
    <w:p w:rsidR="000F57D3" w:rsidRPr="000F57D3" w:rsidRDefault="00192ACD" w:rsidP="00192ACD">
      <w:pPr>
        <w:pStyle w:val="H23G"/>
        <w:rPr>
          <w:lang w:eastAsia="fr-FR"/>
        </w:rPr>
      </w:pPr>
      <w:r>
        <w:rPr>
          <w:lang w:eastAsia="fr-FR"/>
        </w:rPr>
        <w:tab/>
      </w:r>
      <w:r>
        <w:rPr>
          <w:lang w:eastAsia="fr-FR"/>
        </w:rPr>
        <w:tab/>
      </w:r>
      <w:r w:rsidR="000F57D3" w:rsidRPr="000F57D3">
        <w:rPr>
          <w:lang w:eastAsia="fr-FR"/>
        </w:rPr>
        <w:t>Article 14</w:t>
      </w:r>
    </w:p>
    <w:p w:rsidR="000F57D3" w:rsidRPr="000F57D3" w:rsidRDefault="00CD36FD" w:rsidP="00192ACD">
      <w:pPr>
        <w:pStyle w:val="SingleTxtG"/>
        <w:rPr>
          <w:rFonts w:eastAsia="Calibri"/>
          <w:lang w:eastAsia="fr-FR"/>
        </w:rPr>
      </w:pPr>
      <w:r w:rsidRPr="000F57D3">
        <w:rPr>
          <w:rFonts w:eastAsia="Calibri"/>
          <w:lang w:eastAsia="fr-FR"/>
        </w:rPr>
        <w:t>2</w:t>
      </w:r>
      <w:r w:rsidR="00CE7218">
        <w:rPr>
          <w:rFonts w:eastAsia="Calibri"/>
          <w:lang w:eastAsia="fr-FR"/>
        </w:rPr>
        <w:t>9</w:t>
      </w:r>
      <w:r w:rsidRPr="000F57D3">
        <w:rPr>
          <w:rFonts w:eastAsia="Calibri"/>
          <w:lang w:eastAsia="fr-FR"/>
        </w:rPr>
        <w:t>.</w:t>
      </w:r>
      <w:r w:rsidRPr="000F57D3">
        <w:rPr>
          <w:rFonts w:eastAsia="Calibri"/>
          <w:lang w:eastAsia="fr-FR"/>
        </w:rPr>
        <w:tab/>
      </w:r>
      <w:r w:rsidR="000F57D3" w:rsidRPr="000F57D3">
        <w:rPr>
          <w:rFonts w:eastAsia="Calibri"/>
          <w:lang w:eastAsia="fr-FR"/>
        </w:rPr>
        <w:t xml:space="preserve">Please include the number of instances during the reporting period in which the State party ensured that a victim of torture or ill-treatment obtained compensation, the amount received in each case and the means for a full rehabilitation. Are migrant workers and persons subjected to trafficking in persons included in programmes of compensation and provided with appropriate rehabilitation assistance? </w:t>
      </w:r>
    </w:p>
    <w:p w:rsidR="000F57D3" w:rsidRPr="000F57D3" w:rsidRDefault="00192ACD" w:rsidP="00192ACD">
      <w:pPr>
        <w:pStyle w:val="H23G"/>
        <w:rPr>
          <w:lang w:eastAsia="fr-FR"/>
        </w:rPr>
      </w:pPr>
      <w:r>
        <w:rPr>
          <w:lang w:eastAsia="fr-FR"/>
        </w:rPr>
        <w:tab/>
      </w:r>
      <w:r>
        <w:rPr>
          <w:lang w:eastAsia="fr-FR"/>
        </w:rPr>
        <w:tab/>
      </w:r>
      <w:r w:rsidR="000F57D3" w:rsidRPr="000F57D3">
        <w:rPr>
          <w:lang w:eastAsia="fr-FR"/>
        </w:rPr>
        <w:t xml:space="preserve">Article 15 </w:t>
      </w:r>
    </w:p>
    <w:p w:rsidR="000F57D3" w:rsidRPr="000F57D3" w:rsidRDefault="00CE7218" w:rsidP="00192ACD">
      <w:pPr>
        <w:pStyle w:val="SingleTxtG"/>
        <w:rPr>
          <w:lang w:eastAsia="fr-FR"/>
        </w:rPr>
      </w:pPr>
      <w:r>
        <w:rPr>
          <w:lang w:eastAsia="fr-FR"/>
        </w:rPr>
        <w:t>30</w:t>
      </w:r>
      <w:r w:rsidR="00CD36FD" w:rsidRPr="000F57D3">
        <w:rPr>
          <w:lang w:eastAsia="fr-FR"/>
        </w:rPr>
        <w:t>.</w:t>
      </w:r>
      <w:r w:rsidR="00CD36FD" w:rsidRPr="000F57D3">
        <w:rPr>
          <w:lang w:eastAsia="fr-FR"/>
        </w:rPr>
        <w:tab/>
      </w:r>
      <w:r w:rsidR="000F57D3" w:rsidRPr="000F57D3">
        <w:rPr>
          <w:lang w:eastAsia="fr-FR"/>
        </w:rPr>
        <w:t xml:space="preserve">Please indicate whether the decision of the House of Lords in the case of </w:t>
      </w:r>
      <w:r w:rsidR="000F57D3" w:rsidRPr="000F57D3">
        <w:rPr>
          <w:i/>
          <w:lang w:eastAsia="fr-FR"/>
        </w:rPr>
        <w:t>A</w:t>
      </w:r>
      <w:r w:rsidR="000F57D3" w:rsidRPr="00D57F25">
        <w:rPr>
          <w:iCs/>
          <w:lang w:eastAsia="fr-FR"/>
        </w:rPr>
        <w:t xml:space="preserve"> v</w:t>
      </w:r>
      <w:r w:rsidR="00D57F25">
        <w:rPr>
          <w:iCs/>
          <w:lang w:eastAsia="fr-FR"/>
        </w:rPr>
        <w:t>.</w:t>
      </w:r>
      <w:r w:rsidR="000F57D3" w:rsidRPr="000F57D3">
        <w:rPr>
          <w:i/>
          <w:lang w:eastAsia="fr-FR"/>
        </w:rPr>
        <w:t xml:space="preserve"> Secretary of State for the Home Department (No.2) </w:t>
      </w:r>
      <w:r w:rsidR="000F57D3" w:rsidRPr="000F57D3">
        <w:rPr>
          <w:lang w:eastAsia="fr-FR"/>
        </w:rPr>
        <w:t>(2006)</w:t>
      </w:r>
      <w:r w:rsidR="000F57D3" w:rsidRPr="000F57D3">
        <w:rPr>
          <w:i/>
          <w:lang w:eastAsia="fr-FR"/>
        </w:rPr>
        <w:t xml:space="preserve"> </w:t>
      </w:r>
      <w:r w:rsidR="000F57D3" w:rsidRPr="000F57D3">
        <w:rPr>
          <w:lang w:eastAsia="fr-FR"/>
        </w:rPr>
        <w:t>which makes clear that evidence obtained by torture is inadmissible in any legal proceedings</w:t>
      </w:r>
      <w:r w:rsidR="000F57D3" w:rsidRPr="000F57D3">
        <w:rPr>
          <w:vertAlign w:val="superscript"/>
          <w:lang w:eastAsia="fr-FR"/>
        </w:rPr>
        <w:footnoteReference w:id="25"/>
      </w:r>
      <w:r w:rsidR="000F57D3" w:rsidRPr="000F57D3">
        <w:rPr>
          <w:lang w:eastAsia="fr-FR"/>
        </w:rPr>
        <w:t xml:space="preserve"> was reflected in formal fashion, such as through legislative incorporation or by undertaking to Parliament. Please also provide examples of any case in which evidence was deemed inadmissible on the grounds that it was obtained through torture.</w:t>
      </w:r>
      <w:r w:rsidR="000F57D3" w:rsidRPr="000F57D3">
        <w:rPr>
          <w:vertAlign w:val="superscript"/>
          <w:lang w:eastAsia="fr-FR"/>
        </w:rPr>
        <w:footnoteReference w:id="26"/>
      </w:r>
    </w:p>
    <w:p w:rsidR="000F57D3" w:rsidRPr="000F57D3" w:rsidRDefault="00937F9B" w:rsidP="00192ACD">
      <w:pPr>
        <w:pStyle w:val="SingleTxtG"/>
        <w:rPr>
          <w:lang w:eastAsia="fr-FR"/>
        </w:rPr>
      </w:pPr>
      <w:r>
        <w:rPr>
          <w:lang w:eastAsia="fr-FR"/>
        </w:rPr>
        <w:t>3</w:t>
      </w:r>
      <w:r w:rsidR="00A9222A">
        <w:rPr>
          <w:lang w:eastAsia="fr-FR"/>
        </w:rPr>
        <w:t>1</w:t>
      </w:r>
      <w:r w:rsidR="00CD36FD" w:rsidRPr="000F57D3">
        <w:rPr>
          <w:lang w:eastAsia="fr-FR"/>
        </w:rPr>
        <w:t>.</w:t>
      </w:r>
      <w:r w:rsidR="00CD36FD" w:rsidRPr="000F57D3">
        <w:rPr>
          <w:lang w:eastAsia="fr-FR"/>
        </w:rPr>
        <w:tab/>
      </w:r>
      <w:r w:rsidR="000F57D3" w:rsidRPr="000F57D3">
        <w:rPr>
          <w:lang w:eastAsia="fr-FR"/>
        </w:rPr>
        <w:t>Please indicate if the State party modified the Special Advocate System</w:t>
      </w:r>
      <w:r w:rsidR="000F57D3" w:rsidRPr="000F57D3">
        <w:rPr>
          <w:vertAlign w:val="superscript"/>
          <w:lang w:eastAsia="fr-FR"/>
        </w:rPr>
        <w:footnoteReference w:id="27"/>
      </w:r>
      <w:r w:rsidR="000F57D3" w:rsidRPr="000F57D3">
        <w:rPr>
          <w:lang w:eastAsia="fr-FR"/>
        </w:rPr>
        <w:t xml:space="preserve"> to guarantee fully effective legal representation following the determination by the European Court of Human Rights in </w:t>
      </w:r>
      <w:r w:rsidR="000F57D3" w:rsidRPr="000F57D3">
        <w:rPr>
          <w:i/>
          <w:lang w:eastAsia="fr-FR"/>
        </w:rPr>
        <w:t>A et Al.</w:t>
      </w:r>
      <w:r w:rsidR="000F57D3" w:rsidRPr="00D57F25">
        <w:rPr>
          <w:iCs/>
          <w:lang w:eastAsia="fr-FR"/>
        </w:rPr>
        <w:t xml:space="preserve"> v</w:t>
      </w:r>
      <w:r w:rsidR="000F57D3" w:rsidRPr="00D57F25">
        <w:rPr>
          <w:iCs/>
          <w:lang w:val="en-US" w:eastAsia="fr-FR"/>
        </w:rPr>
        <w:t>.</w:t>
      </w:r>
      <w:r w:rsidR="000F57D3" w:rsidRPr="000F57D3">
        <w:rPr>
          <w:i/>
          <w:lang w:val="en-US" w:eastAsia="fr-FR"/>
        </w:rPr>
        <w:t xml:space="preserve"> </w:t>
      </w:r>
      <w:smartTag w:uri="urn:schemas-microsoft-com:office:smarttags" w:element="country-region">
        <w:smartTag w:uri="urn:schemas-microsoft-com:office:smarttags" w:element="place">
          <w:r w:rsidR="000F57D3" w:rsidRPr="000F57D3">
            <w:rPr>
              <w:i/>
              <w:lang w:val="en-US" w:eastAsia="fr-FR"/>
            </w:rPr>
            <w:t>UK</w:t>
          </w:r>
        </w:smartTag>
      </w:smartTag>
      <w:r w:rsidR="000F57D3" w:rsidRPr="000F57D3">
        <w:rPr>
          <w:i/>
          <w:lang w:val="en-US" w:eastAsia="fr-FR"/>
        </w:rPr>
        <w:t xml:space="preserve"> </w:t>
      </w:r>
      <w:r w:rsidR="000F57D3" w:rsidRPr="000F57D3">
        <w:rPr>
          <w:lang w:val="en-US" w:eastAsia="fr-FR"/>
        </w:rPr>
        <w:t>(application no. 3455/05) that the system was insufficient to safeguard detainees’ rights.</w:t>
      </w:r>
      <w:r w:rsidR="003929DA">
        <w:rPr>
          <w:lang w:val="en-US" w:eastAsia="fr-FR"/>
        </w:rPr>
        <w:t xml:space="preserve"> </w:t>
      </w:r>
      <w:r w:rsidR="000F57D3" w:rsidRPr="000F57D3">
        <w:rPr>
          <w:lang w:eastAsia="fr-FR"/>
        </w:rPr>
        <w:t>Given the above, please explain the rationale for the State party’s proposal to extend the use of closed proceedings to civil cases involving sensitive material and indicate whether, given the forceful criticism against this proposal from Special Advocates and civil society organizations, the State party is considering its withdrawal.</w:t>
      </w:r>
      <w:r w:rsidR="003929DA">
        <w:rPr>
          <w:lang w:eastAsia="fr-FR"/>
        </w:rPr>
        <w:t xml:space="preserve"> </w:t>
      </w:r>
    </w:p>
    <w:p w:rsidR="000F57D3" w:rsidRPr="000F57D3" w:rsidRDefault="00192ACD" w:rsidP="00192ACD">
      <w:pPr>
        <w:pStyle w:val="H23G"/>
        <w:rPr>
          <w:lang w:eastAsia="fr-FR"/>
        </w:rPr>
      </w:pPr>
      <w:r>
        <w:rPr>
          <w:lang w:eastAsia="fr-FR"/>
        </w:rPr>
        <w:tab/>
      </w:r>
      <w:r>
        <w:rPr>
          <w:lang w:eastAsia="fr-FR"/>
        </w:rPr>
        <w:tab/>
      </w:r>
      <w:r w:rsidR="000F57D3" w:rsidRPr="000F57D3">
        <w:rPr>
          <w:lang w:eastAsia="fr-FR"/>
        </w:rPr>
        <w:t xml:space="preserve">Article 16 </w:t>
      </w:r>
    </w:p>
    <w:p w:rsidR="000F57D3" w:rsidRPr="000F57D3" w:rsidRDefault="00CD36FD" w:rsidP="003929DA">
      <w:pPr>
        <w:pStyle w:val="SingleTxtG"/>
        <w:rPr>
          <w:lang w:eastAsia="fr-FR"/>
        </w:rPr>
      </w:pPr>
      <w:r w:rsidRPr="000F57D3">
        <w:rPr>
          <w:lang w:eastAsia="fr-FR"/>
        </w:rPr>
        <w:t>3</w:t>
      </w:r>
      <w:r w:rsidR="00A9222A">
        <w:rPr>
          <w:lang w:eastAsia="fr-FR"/>
        </w:rPr>
        <w:t>2</w:t>
      </w:r>
      <w:r w:rsidRPr="000F57D3">
        <w:rPr>
          <w:lang w:eastAsia="fr-FR"/>
        </w:rPr>
        <w:t>.</w:t>
      </w:r>
      <w:r w:rsidRPr="000F57D3">
        <w:rPr>
          <w:lang w:eastAsia="fr-FR"/>
        </w:rPr>
        <w:tab/>
      </w:r>
      <w:r w:rsidR="000F57D3" w:rsidRPr="000F57D3">
        <w:rPr>
          <w:lang w:eastAsia="fr-FR"/>
        </w:rPr>
        <w:t xml:space="preserve">The report of the State party mentions that the European Committee for the Prevention of Torture and Inhuman or Degrading Treatment or Punishment (CPT) has made several visits to the </w:t>
      </w:r>
      <w:smartTag w:uri="urn:schemas-microsoft-com:office:smarttags" w:element="country-region">
        <w:r w:rsidR="000F57D3" w:rsidRPr="000F57D3">
          <w:rPr>
            <w:lang w:eastAsia="fr-FR"/>
          </w:rPr>
          <w:t>United Kingdom</w:t>
        </w:r>
      </w:smartTag>
      <w:r w:rsidR="000F57D3" w:rsidRPr="000F57D3">
        <w:rPr>
          <w:lang w:eastAsia="fr-FR"/>
        </w:rPr>
        <w:t xml:space="preserve">, </w:t>
      </w:r>
      <w:smartTag w:uri="urn:schemas-microsoft-com:office:smarttags" w:element="country-region">
        <w:r w:rsidR="000F57D3" w:rsidRPr="000F57D3">
          <w:rPr>
            <w:lang w:eastAsia="fr-FR"/>
          </w:rPr>
          <w:t>Northern Ireland</w:t>
        </w:r>
      </w:smartTag>
      <w:r w:rsidR="000F57D3" w:rsidRPr="000F57D3">
        <w:rPr>
          <w:lang w:eastAsia="fr-FR"/>
        </w:rPr>
        <w:t xml:space="preserve">, Guernsey and </w:t>
      </w:r>
      <w:smartTag w:uri="urn:schemas-microsoft-com:office:smarttags" w:element="place">
        <w:r w:rsidR="000F57D3" w:rsidRPr="000F57D3">
          <w:rPr>
            <w:lang w:eastAsia="fr-FR"/>
          </w:rPr>
          <w:t>Jersey</w:t>
        </w:r>
      </w:smartTag>
      <w:r w:rsidR="000F57D3" w:rsidRPr="000F57D3">
        <w:rPr>
          <w:lang w:eastAsia="fr-FR"/>
        </w:rPr>
        <w:t xml:space="preserve"> since 2004</w:t>
      </w:r>
      <w:r w:rsidR="000F57D3" w:rsidRPr="000F57D3">
        <w:rPr>
          <w:vertAlign w:val="superscript"/>
          <w:lang w:eastAsia="fr-FR"/>
        </w:rPr>
        <w:footnoteReference w:id="28"/>
      </w:r>
      <w:r w:rsidR="000F57D3" w:rsidRPr="000F57D3">
        <w:rPr>
          <w:lang w:eastAsia="fr-FR"/>
        </w:rPr>
        <w:t xml:space="preserve">. In response to the recommendations made by CPT, the State party committed to </w:t>
      </w:r>
      <w:r w:rsidR="00D57F25">
        <w:rPr>
          <w:lang w:eastAsia="fr-FR"/>
        </w:rPr>
        <w:t>(a)</w:t>
      </w:r>
      <w:r w:rsidR="000F57D3" w:rsidRPr="000F57D3">
        <w:rPr>
          <w:lang w:eastAsia="fr-FR"/>
        </w:rPr>
        <w:t xml:space="preserve"> reviewing the conditions of detention at Rouge Bouillon Police Station (</w:t>
      </w:r>
      <w:smartTag w:uri="urn:schemas-microsoft-com:office:smarttags" w:element="place">
        <w:r w:rsidR="000F57D3" w:rsidRPr="000F57D3">
          <w:rPr>
            <w:lang w:eastAsia="fr-FR"/>
          </w:rPr>
          <w:t>Jersey</w:t>
        </w:r>
      </w:smartTag>
      <w:r w:rsidR="000F57D3" w:rsidRPr="000F57D3">
        <w:rPr>
          <w:lang w:eastAsia="fr-FR"/>
        </w:rPr>
        <w:t>)</w:t>
      </w:r>
      <w:r w:rsidR="004D163A">
        <w:rPr>
          <w:lang w:eastAsia="fr-FR"/>
        </w:rPr>
        <w:t>,</w:t>
      </w:r>
      <w:r w:rsidR="000F57D3" w:rsidRPr="000F57D3">
        <w:rPr>
          <w:vertAlign w:val="superscript"/>
          <w:lang w:eastAsia="fr-FR"/>
        </w:rPr>
        <w:footnoteReference w:id="29"/>
      </w:r>
      <w:r w:rsidR="00D57F25">
        <w:rPr>
          <w:lang w:eastAsia="fr-FR"/>
        </w:rPr>
        <w:t xml:space="preserve"> (b)</w:t>
      </w:r>
      <w:r w:rsidR="000F57D3" w:rsidRPr="000F57D3">
        <w:rPr>
          <w:lang w:eastAsia="fr-FR"/>
        </w:rPr>
        <w:t xml:space="preserve"> amending the definition of “juvenile” to ensure that it includes all persons below the age of 18</w:t>
      </w:r>
      <w:r w:rsidR="000F57D3" w:rsidRPr="000F57D3">
        <w:rPr>
          <w:vertAlign w:val="superscript"/>
          <w:lang w:eastAsia="fr-FR"/>
        </w:rPr>
        <w:footnoteReference w:id="30"/>
      </w:r>
      <w:r w:rsidR="000F57D3" w:rsidRPr="000F57D3">
        <w:rPr>
          <w:lang w:eastAsia="fr-FR"/>
        </w:rPr>
        <w:t xml:space="preserve"> and </w:t>
      </w:r>
      <w:r w:rsidR="00D57F25">
        <w:rPr>
          <w:lang w:eastAsia="fr-FR"/>
        </w:rPr>
        <w:t xml:space="preserve">(c) </w:t>
      </w:r>
      <w:r w:rsidR="000F57D3" w:rsidRPr="000F57D3">
        <w:rPr>
          <w:lang w:eastAsia="fr-FR"/>
        </w:rPr>
        <w:t>increasing accessibility of information on rights and entitlements to detainees.</w:t>
      </w:r>
      <w:r w:rsidR="000F57D3" w:rsidRPr="000F57D3">
        <w:rPr>
          <w:vertAlign w:val="superscript"/>
          <w:lang w:eastAsia="fr-FR"/>
        </w:rPr>
        <w:footnoteReference w:id="31"/>
      </w:r>
      <w:r w:rsidR="000F57D3" w:rsidRPr="000F57D3">
        <w:rPr>
          <w:lang w:eastAsia="fr-FR"/>
        </w:rPr>
        <w:t xml:space="preserve"> Please provide information on the steps taken to implement these and other recommendations made by CPT.</w:t>
      </w:r>
    </w:p>
    <w:p w:rsidR="000F57D3" w:rsidRPr="000F57D3" w:rsidRDefault="00CD36FD" w:rsidP="00192ACD">
      <w:pPr>
        <w:pStyle w:val="SingleTxtG"/>
        <w:rPr>
          <w:lang w:eastAsia="fr-FR"/>
        </w:rPr>
      </w:pPr>
      <w:r w:rsidRPr="000F57D3">
        <w:rPr>
          <w:lang w:eastAsia="fr-FR"/>
        </w:rPr>
        <w:t>3</w:t>
      </w:r>
      <w:r w:rsidR="00A9222A">
        <w:rPr>
          <w:lang w:eastAsia="fr-FR"/>
        </w:rPr>
        <w:t>3</w:t>
      </w:r>
      <w:r w:rsidRPr="000F57D3">
        <w:rPr>
          <w:lang w:eastAsia="fr-FR"/>
        </w:rPr>
        <w:t>.</w:t>
      </w:r>
      <w:r w:rsidRPr="000F57D3">
        <w:rPr>
          <w:lang w:eastAsia="fr-FR"/>
        </w:rPr>
        <w:tab/>
      </w:r>
      <w:r w:rsidR="000F57D3" w:rsidRPr="000F57D3">
        <w:rPr>
          <w:lang w:eastAsia="fr-FR"/>
        </w:rPr>
        <w:t xml:space="preserve">What steps are being taken to implement the recommendations of the Corston </w:t>
      </w:r>
      <w:r w:rsidR="000F57D3" w:rsidRPr="00CE7218">
        <w:rPr>
          <w:lang w:eastAsia="fr-FR"/>
        </w:rPr>
        <w:t>Report</w:t>
      </w:r>
      <w:r w:rsidR="000F57D3" w:rsidRPr="00CE7218">
        <w:rPr>
          <w:vertAlign w:val="superscript"/>
          <w:lang w:val="fr-FR" w:eastAsia="fr-FR"/>
        </w:rPr>
        <w:footnoteReference w:id="32"/>
      </w:r>
      <w:r w:rsidR="000F57D3" w:rsidRPr="00CE7218">
        <w:rPr>
          <w:lang w:eastAsia="fr-FR"/>
        </w:rPr>
        <w:t xml:space="preserve"> regarding improvement in the conditions for women in prison? What efforts are</w:t>
      </w:r>
      <w:r w:rsidR="000F57D3" w:rsidRPr="000F57D3">
        <w:rPr>
          <w:lang w:eastAsia="fr-FR"/>
        </w:rPr>
        <w:t xml:space="preserve"> being made to improve general health and mental health services for women in prison?</w:t>
      </w:r>
    </w:p>
    <w:p w:rsidR="000F57D3" w:rsidRPr="000F57D3" w:rsidRDefault="00CD36FD" w:rsidP="00192ACD">
      <w:pPr>
        <w:pStyle w:val="SingleTxtG"/>
        <w:rPr>
          <w:lang w:eastAsia="fr-FR"/>
        </w:rPr>
      </w:pPr>
      <w:r w:rsidRPr="000F57D3">
        <w:rPr>
          <w:lang w:eastAsia="fr-FR"/>
        </w:rPr>
        <w:t>3</w:t>
      </w:r>
      <w:r w:rsidR="00A9222A">
        <w:rPr>
          <w:lang w:eastAsia="fr-FR"/>
        </w:rPr>
        <w:t>4</w:t>
      </w:r>
      <w:r w:rsidRPr="000F57D3">
        <w:rPr>
          <w:lang w:eastAsia="fr-FR"/>
        </w:rPr>
        <w:t>.</w:t>
      </w:r>
      <w:r w:rsidRPr="000F57D3">
        <w:rPr>
          <w:lang w:eastAsia="fr-FR"/>
        </w:rPr>
        <w:tab/>
      </w:r>
      <w:r w:rsidR="000F57D3" w:rsidRPr="000F57D3">
        <w:rPr>
          <w:lang w:eastAsia="fr-FR"/>
        </w:rPr>
        <w:t>In its report, the State party recognizes that “even if its sentencing and rehabilitation reforms are successful in reducing the prison population, it will not be possible to create enough prison places to fully address the problem of overcrowding.” How will this problem be addressed when prisons are closed and plans to renew the prison estate put on hold</w:t>
      </w:r>
      <w:r w:rsidR="003929DA">
        <w:rPr>
          <w:lang w:eastAsia="fr-FR"/>
        </w:rPr>
        <w:t>?</w:t>
      </w:r>
      <w:r w:rsidR="000F57D3" w:rsidRPr="000F57D3">
        <w:rPr>
          <w:vertAlign w:val="superscript"/>
          <w:lang w:eastAsia="fr-FR"/>
        </w:rPr>
        <w:footnoteReference w:id="33"/>
      </w:r>
      <w:r w:rsidR="000F57D3" w:rsidRPr="000F57D3">
        <w:rPr>
          <w:lang w:eastAsia="fr-FR"/>
        </w:rPr>
        <w:t xml:space="preserve"> Please also provide information for </w:t>
      </w:r>
      <w:smartTag w:uri="urn:schemas-microsoft-com:office:smarttags" w:element="country-region">
        <w:r w:rsidR="000F57D3" w:rsidRPr="000F57D3">
          <w:rPr>
            <w:lang w:eastAsia="fr-FR"/>
          </w:rPr>
          <w:t>Scotland</w:t>
        </w:r>
      </w:smartTag>
      <w:r w:rsidR="000F57D3" w:rsidRPr="000F57D3">
        <w:rPr>
          <w:lang w:eastAsia="fr-FR"/>
        </w:rPr>
        <w:t xml:space="preserve"> and </w:t>
      </w:r>
      <w:smartTag w:uri="urn:schemas-microsoft-com:office:smarttags" w:element="place">
        <w:smartTag w:uri="urn:schemas-microsoft-com:office:smarttags" w:element="country-region">
          <w:r w:rsidR="000F57D3" w:rsidRPr="000F57D3">
            <w:rPr>
              <w:lang w:eastAsia="fr-FR"/>
            </w:rPr>
            <w:t>Northern Ireland</w:t>
          </w:r>
        </w:smartTag>
      </w:smartTag>
      <w:r w:rsidR="000F57D3" w:rsidRPr="000F57D3">
        <w:rPr>
          <w:lang w:eastAsia="fr-FR"/>
        </w:rPr>
        <w:t>.</w:t>
      </w:r>
    </w:p>
    <w:p w:rsidR="000F57D3" w:rsidRPr="000F57D3" w:rsidRDefault="00CD36FD" w:rsidP="00192ACD">
      <w:pPr>
        <w:pStyle w:val="SingleTxtG"/>
        <w:rPr>
          <w:lang w:eastAsia="fr-FR"/>
        </w:rPr>
      </w:pPr>
      <w:r w:rsidRPr="000F57D3">
        <w:rPr>
          <w:lang w:eastAsia="fr-FR"/>
        </w:rPr>
        <w:t>3</w:t>
      </w:r>
      <w:r w:rsidR="00A9222A">
        <w:rPr>
          <w:lang w:eastAsia="fr-FR"/>
        </w:rPr>
        <w:t>5</w:t>
      </w:r>
      <w:r w:rsidRPr="000F57D3">
        <w:rPr>
          <w:lang w:eastAsia="fr-FR"/>
        </w:rPr>
        <w:t>.</w:t>
      </w:r>
      <w:r w:rsidRPr="000F57D3">
        <w:rPr>
          <w:lang w:eastAsia="fr-FR"/>
        </w:rPr>
        <w:tab/>
      </w:r>
      <w:r w:rsidR="000F57D3" w:rsidRPr="000F57D3">
        <w:rPr>
          <w:lang w:eastAsia="fr-FR"/>
        </w:rPr>
        <w:t>Please provide details of cases involving mistreatment of prisoners dealt by internal complaints systems or the Ombudsman, including the nature of the allegations and the level of disciplinary or judicial award</w:t>
      </w:r>
      <w:r w:rsidR="003929DA">
        <w:rPr>
          <w:lang w:eastAsia="fr-FR"/>
        </w:rPr>
        <w:t>.</w:t>
      </w:r>
      <w:r w:rsidR="000F57D3" w:rsidRPr="000F57D3">
        <w:rPr>
          <w:vertAlign w:val="superscript"/>
          <w:lang w:eastAsia="fr-FR"/>
        </w:rPr>
        <w:footnoteReference w:id="34"/>
      </w:r>
    </w:p>
    <w:p w:rsidR="000F57D3" w:rsidRPr="000F57D3" w:rsidRDefault="00CD36FD" w:rsidP="00192ACD">
      <w:pPr>
        <w:pStyle w:val="SingleTxtG"/>
        <w:rPr>
          <w:lang w:eastAsia="fr-FR"/>
        </w:rPr>
      </w:pPr>
      <w:r w:rsidRPr="000F57D3">
        <w:rPr>
          <w:lang w:eastAsia="fr-FR"/>
        </w:rPr>
        <w:t>3</w:t>
      </w:r>
      <w:r w:rsidR="00A9222A">
        <w:rPr>
          <w:lang w:eastAsia="fr-FR"/>
        </w:rPr>
        <w:t>6</w:t>
      </w:r>
      <w:r w:rsidRPr="000F57D3">
        <w:rPr>
          <w:lang w:eastAsia="fr-FR"/>
        </w:rPr>
        <w:t>.</w:t>
      </w:r>
      <w:r w:rsidRPr="000F57D3">
        <w:rPr>
          <w:lang w:eastAsia="fr-FR"/>
        </w:rPr>
        <w:tab/>
      </w:r>
      <w:r w:rsidR="000F57D3" w:rsidRPr="000F57D3">
        <w:rPr>
          <w:lang w:eastAsia="fr-FR"/>
        </w:rPr>
        <w:t xml:space="preserve">The Human Rights Review 2012 of the Equality and Human Rights Commission </w:t>
      </w:r>
      <w:r w:rsidR="000F57D3" w:rsidRPr="00CE7218">
        <w:rPr>
          <w:lang w:eastAsia="fr-FR"/>
        </w:rPr>
        <w:t>found that police do not always use the minimum level of force when policing protests</w:t>
      </w:r>
      <w:r w:rsidR="000F57D3" w:rsidRPr="00CE7218">
        <w:rPr>
          <w:vertAlign w:val="superscript"/>
          <w:lang w:val="fr-FR" w:eastAsia="fr-FR"/>
        </w:rPr>
        <w:footnoteReference w:id="35"/>
      </w:r>
      <w:r w:rsidR="000F57D3" w:rsidRPr="00CE7218">
        <w:rPr>
          <w:lang w:eastAsia="fr-FR"/>
        </w:rPr>
        <w:t>.</w:t>
      </w:r>
      <w:r w:rsidR="003929DA">
        <w:rPr>
          <w:lang w:eastAsia="fr-FR"/>
        </w:rPr>
        <w:t xml:space="preserve"> </w:t>
      </w:r>
      <w:r w:rsidR="000F57D3" w:rsidRPr="00CE7218">
        <w:rPr>
          <w:lang w:eastAsia="fr-FR"/>
        </w:rPr>
        <w:t>Her Majesty’s Inspectorate of Constabulary (HMIC) has similarly concluded that there is no consistent doctrine around the use of force by the police</w:t>
      </w:r>
      <w:r w:rsidR="003929DA">
        <w:rPr>
          <w:lang w:eastAsia="fr-FR"/>
        </w:rPr>
        <w:t>.</w:t>
      </w:r>
      <w:r w:rsidR="000F57D3" w:rsidRPr="00C44135">
        <w:rPr>
          <w:vertAlign w:val="superscript"/>
          <w:lang w:val="fr-FR" w:eastAsia="fr-FR"/>
        </w:rPr>
        <w:footnoteReference w:id="36"/>
      </w:r>
      <w:r w:rsidR="000F57D3" w:rsidRPr="00C44135">
        <w:rPr>
          <w:lang w:eastAsia="fr-FR"/>
        </w:rPr>
        <w:t xml:space="preserve"> What steps are being tak</w:t>
      </w:r>
      <w:r w:rsidR="000F57D3" w:rsidRPr="00E06263">
        <w:rPr>
          <w:lang w:eastAsia="fr-FR"/>
        </w:rPr>
        <w:t>en to</w:t>
      </w:r>
      <w:r w:rsidR="000F57D3" w:rsidRPr="000F57D3">
        <w:rPr>
          <w:lang w:eastAsia="fr-FR"/>
        </w:rPr>
        <w:t xml:space="preserve"> implement the recommendations of HMIC to adopt an overarching set of principles on the use of force? </w:t>
      </w:r>
    </w:p>
    <w:p w:rsidR="000F57D3" w:rsidRPr="00C44135" w:rsidRDefault="00CD36FD" w:rsidP="00043B22">
      <w:pPr>
        <w:pStyle w:val="SingleTxtG"/>
        <w:rPr>
          <w:lang w:eastAsia="fr-FR"/>
        </w:rPr>
      </w:pPr>
      <w:r w:rsidRPr="00CE7218">
        <w:rPr>
          <w:lang w:eastAsia="fr-FR"/>
        </w:rPr>
        <w:t>3</w:t>
      </w:r>
      <w:r w:rsidR="00A9222A">
        <w:rPr>
          <w:lang w:eastAsia="fr-FR"/>
        </w:rPr>
        <w:t>7</w:t>
      </w:r>
      <w:r w:rsidRPr="00CE7218">
        <w:rPr>
          <w:lang w:eastAsia="fr-FR"/>
        </w:rPr>
        <w:t>.</w:t>
      </w:r>
      <w:r w:rsidRPr="00CE7218">
        <w:rPr>
          <w:lang w:eastAsia="fr-FR"/>
        </w:rPr>
        <w:tab/>
      </w:r>
      <w:r w:rsidR="000F57D3" w:rsidRPr="00CE7218">
        <w:rPr>
          <w:lang w:eastAsia="fr-FR"/>
        </w:rPr>
        <w:t>The Home Affairs Select Committee (HASC) has recommended</w:t>
      </w:r>
      <w:r w:rsidR="000F57D3" w:rsidRPr="00CE7218">
        <w:rPr>
          <w:vertAlign w:val="superscript"/>
          <w:lang w:val="fr-FR" w:eastAsia="fr-FR"/>
        </w:rPr>
        <w:footnoteReference w:id="37"/>
      </w:r>
      <w:r w:rsidR="000F57D3" w:rsidRPr="00CE7218">
        <w:rPr>
          <w:lang w:eastAsia="fr-FR"/>
        </w:rPr>
        <w:t xml:space="preserve"> that the Home Office commission research into various types of restraints and provide guidance to st</w:t>
      </w:r>
      <w:r w:rsidR="000F57D3" w:rsidRPr="00C44135">
        <w:rPr>
          <w:lang w:eastAsia="fr-FR"/>
        </w:rPr>
        <w:t xml:space="preserve">aff in enforced removals. Please, provide information on the implementation by the State party of the HASC’s recommendations. How many detainees have sustained injuries in the last </w:t>
      </w:r>
      <w:r w:rsidR="00043B22">
        <w:rPr>
          <w:lang w:eastAsia="fr-FR"/>
        </w:rPr>
        <w:t>three</w:t>
      </w:r>
      <w:r w:rsidR="00043B22" w:rsidRPr="00C44135">
        <w:rPr>
          <w:lang w:eastAsia="fr-FR"/>
        </w:rPr>
        <w:t xml:space="preserve"> </w:t>
      </w:r>
      <w:r w:rsidR="000F57D3" w:rsidRPr="00C44135">
        <w:rPr>
          <w:lang w:eastAsia="fr-FR"/>
        </w:rPr>
        <w:t xml:space="preserve">years as a result of the use of force or restraint </w:t>
      </w:r>
      <w:r w:rsidR="000F57D3" w:rsidRPr="00994B90">
        <w:rPr>
          <w:lang w:eastAsia="fr-FR"/>
        </w:rPr>
        <w:t>by UK Border Agency's emp</w:t>
      </w:r>
      <w:r w:rsidR="000F57D3" w:rsidRPr="00C44135">
        <w:rPr>
          <w:lang w:eastAsia="fr-FR"/>
        </w:rPr>
        <w:t xml:space="preserve">loyees or private contractors, both in immigration detention and during removal or attempted removal? </w:t>
      </w:r>
    </w:p>
    <w:p w:rsidR="000F57D3" w:rsidRPr="000F57D3" w:rsidRDefault="00CD36FD" w:rsidP="00192ACD">
      <w:pPr>
        <w:pStyle w:val="SingleTxtG"/>
        <w:rPr>
          <w:lang w:eastAsia="fr-FR"/>
        </w:rPr>
      </w:pPr>
      <w:r w:rsidRPr="009D6A3A">
        <w:rPr>
          <w:lang w:eastAsia="fr-FR"/>
        </w:rPr>
        <w:t>3</w:t>
      </w:r>
      <w:r w:rsidR="00A9222A">
        <w:rPr>
          <w:lang w:eastAsia="fr-FR"/>
        </w:rPr>
        <w:t>8</w:t>
      </w:r>
      <w:r w:rsidRPr="00A9222A">
        <w:rPr>
          <w:lang w:eastAsia="fr-FR"/>
        </w:rPr>
        <w:t>.</w:t>
      </w:r>
      <w:r w:rsidRPr="00A9222A">
        <w:rPr>
          <w:lang w:eastAsia="fr-FR"/>
        </w:rPr>
        <w:tab/>
      </w:r>
      <w:r w:rsidR="000F57D3" w:rsidRPr="00A9222A">
        <w:rPr>
          <w:lang w:eastAsia="fr-FR"/>
        </w:rPr>
        <w:t xml:space="preserve">Since the introduction of the </w:t>
      </w:r>
      <w:r w:rsidR="000F57D3" w:rsidRPr="00A9222A">
        <w:rPr>
          <w:i/>
          <w:lang w:eastAsia="fr-FR"/>
        </w:rPr>
        <w:t xml:space="preserve">2010 </w:t>
      </w:r>
      <w:smartTag w:uri="urn:schemas-microsoft-com:office:smarttags" w:element="place">
        <w:smartTag w:uri="urn:schemas-microsoft-com:office:smarttags" w:element="country-region">
          <w:r w:rsidR="000F57D3" w:rsidRPr="00A9222A">
            <w:rPr>
              <w:i/>
              <w:lang w:eastAsia="fr-FR"/>
            </w:rPr>
            <w:t>UK</w:t>
          </w:r>
        </w:smartTag>
      </w:smartTag>
      <w:r w:rsidR="000F57D3" w:rsidRPr="00A9222A">
        <w:rPr>
          <w:i/>
          <w:lang w:eastAsia="fr-FR"/>
        </w:rPr>
        <w:t xml:space="preserve"> Border Agency Enforcement Instructions and Guidance</w:t>
      </w:r>
      <w:r w:rsidR="000F57D3" w:rsidRPr="00C44135">
        <w:rPr>
          <w:lang w:eastAsia="fr-FR"/>
        </w:rPr>
        <w:t>, the court found in three cases that the detention of mentally ill persons in immigration detention centres amounted to inhuman or degrading treatment</w:t>
      </w:r>
      <w:r w:rsidR="000F57D3" w:rsidRPr="009D6A3A">
        <w:rPr>
          <w:vertAlign w:val="superscript"/>
          <w:lang w:val="fr-FR" w:eastAsia="fr-FR"/>
        </w:rPr>
        <w:footnoteReference w:id="38"/>
      </w:r>
      <w:r w:rsidR="000F57D3" w:rsidRPr="00CE7218">
        <w:rPr>
          <w:lang w:eastAsia="fr-FR"/>
        </w:rPr>
        <w:t>. Please,</w:t>
      </w:r>
      <w:r w:rsidR="000F57D3" w:rsidRPr="000F57D3">
        <w:rPr>
          <w:lang w:eastAsia="fr-FR"/>
        </w:rPr>
        <w:t xml:space="preserve"> indicate whether the State party intends to amend its policy with regard to the detention of people with mental illness so that these people can only be detained in very exceptional circumstances, as provided previously in the 2008 Guidance. </w:t>
      </w:r>
    </w:p>
    <w:p w:rsidR="000F57D3" w:rsidRPr="000F57D3" w:rsidRDefault="00CD36FD" w:rsidP="00192ACD">
      <w:pPr>
        <w:pStyle w:val="SingleTxtG"/>
        <w:rPr>
          <w:b/>
          <w:lang w:eastAsia="fr-FR"/>
        </w:rPr>
      </w:pPr>
      <w:r w:rsidRPr="000F57D3">
        <w:rPr>
          <w:lang w:eastAsia="fr-FR"/>
        </w:rPr>
        <w:t>3</w:t>
      </w:r>
      <w:r w:rsidR="00A9222A">
        <w:rPr>
          <w:lang w:eastAsia="fr-FR"/>
        </w:rPr>
        <w:t>9</w:t>
      </w:r>
      <w:r w:rsidRPr="000F57D3">
        <w:rPr>
          <w:lang w:eastAsia="fr-FR"/>
        </w:rPr>
        <w:t>.</w:t>
      </w:r>
      <w:r w:rsidRPr="000F57D3">
        <w:rPr>
          <w:lang w:eastAsia="fr-FR"/>
        </w:rPr>
        <w:tab/>
      </w:r>
      <w:r w:rsidR="000F57D3" w:rsidRPr="000F57D3">
        <w:rPr>
          <w:lang w:eastAsia="fr-FR"/>
        </w:rPr>
        <w:t xml:space="preserve">Please provide information on the number of children detained for immigration related purposes in </w:t>
      </w:r>
      <w:smartTag w:uri="urn:schemas-microsoft-com:office:smarttags" w:element="country-region">
        <w:r w:rsidR="000F57D3" w:rsidRPr="000F57D3">
          <w:rPr>
            <w:lang w:eastAsia="fr-FR"/>
          </w:rPr>
          <w:t>England</w:t>
        </w:r>
      </w:smartTag>
      <w:r w:rsidR="000F57D3" w:rsidRPr="000F57D3">
        <w:rPr>
          <w:lang w:eastAsia="fr-FR"/>
        </w:rPr>
        <w:t xml:space="preserve">, </w:t>
      </w:r>
      <w:smartTag w:uri="urn:schemas-microsoft-com:office:smarttags" w:element="country-region">
        <w:r w:rsidR="000F57D3" w:rsidRPr="000F57D3">
          <w:rPr>
            <w:lang w:eastAsia="fr-FR"/>
          </w:rPr>
          <w:t>Scotland</w:t>
        </w:r>
      </w:smartTag>
      <w:r w:rsidR="000F57D3" w:rsidRPr="000F57D3">
        <w:rPr>
          <w:lang w:eastAsia="fr-FR"/>
        </w:rPr>
        <w:t xml:space="preserve">, </w:t>
      </w:r>
      <w:smartTag w:uri="urn:schemas-microsoft-com:office:smarttags" w:element="country-region">
        <w:r w:rsidR="000F57D3" w:rsidRPr="000F57D3">
          <w:rPr>
            <w:lang w:eastAsia="fr-FR"/>
          </w:rPr>
          <w:t>Wales</w:t>
        </w:r>
      </w:smartTag>
      <w:r w:rsidR="000F57D3" w:rsidRPr="000F57D3">
        <w:rPr>
          <w:lang w:eastAsia="fr-FR"/>
        </w:rPr>
        <w:t xml:space="preserve"> and </w:t>
      </w:r>
      <w:smartTag w:uri="urn:schemas-microsoft-com:office:smarttags" w:element="country-region">
        <w:smartTag w:uri="urn:schemas-microsoft-com:office:smarttags" w:element="place">
          <w:r w:rsidR="000F57D3" w:rsidRPr="000F57D3">
            <w:rPr>
              <w:lang w:eastAsia="fr-FR"/>
            </w:rPr>
            <w:t>Northern Ireland</w:t>
          </w:r>
        </w:smartTag>
      </w:smartTag>
      <w:r w:rsidR="000F57D3" w:rsidRPr="000F57D3">
        <w:rPr>
          <w:lang w:eastAsia="fr-FR"/>
        </w:rPr>
        <w:t xml:space="preserve">, including prior to deportation and on arrival in the </w:t>
      </w:r>
      <w:r w:rsidR="00E06263">
        <w:rPr>
          <w:lang w:eastAsia="fr-FR"/>
        </w:rPr>
        <w:t>State party</w:t>
      </w:r>
      <w:r w:rsidR="000F57D3" w:rsidRPr="000F57D3">
        <w:rPr>
          <w:lang w:eastAsia="fr-FR"/>
        </w:rPr>
        <w:t xml:space="preserve">, since the closure of the family unit at Yarl’s Wood. Please also indicate the length and the purpose of detention and provide information on the number of immigrant children held in detention with adults due to doubts about their age. </w:t>
      </w:r>
    </w:p>
    <w:p w:rsidR="000F57D3" w:rsidRPr="000F57D3" w:rsidRDefault="00A9222A" w:rsidP="003929DA">
      <w:pPr>
        <w:pStyle w:val="SingleTxtG"/>
        <w:rPr>
          <w:lang w:eastAsia="fr-FR"/>
        </w:rPr>
      </w:pPr>
      <w:r>
        <w:rPr>
          <w:lang w:eastAsia="fr-FR"/>
        </w:rPr>
        <w:t>40</w:t>
      </w:r>
      <w:r w:rsidR="00CD36FD" w:rsidRPr="000F57D3">
        <w:rPr>
          <w:lang w:eastAsia="fr-FR"/>
        </w:rPr>
        <w:t>.</w:t>
      </w:r>
      <w:r w:rsidR="00CD36FD" w:rsidRPr="000F57D3">
        <w:rPr>
          <w:lang w:eastAsia="fr-FR"/>
        </w:rPr>
        <w:tab/>
      </w:r>
      <w:r w:rsidR="000F57D3" w:rsidRPr="000F57D3">
        <w:rPr>
          <w:lang w:eastAsia="fr-FR"/>
        </w:rPr>
        <w:t>Concerning corporal punishment in the home</w:t>
      </w:r>
      <w:r w:rsidR="003929DA">
        <w:rPr>
          <w:lang w:eastAsia="fr-FR"/>
        </w:rPr>
        <w:t>,</w:t>
      </w:r>
      <w:r w:rsidR="000F57D3" w:rsidRPr="000F57D3">
        <w:rPr>
          <w:vertAlign w:val="superscript"/>
          <w:lang w:eastAsia="fr-FR"/>
        </w:rPr>
        <w:footnoteReference w:id="39"/>
      </w:r>
      <w:r w:rsidR="000F57D3" w:rsidRPr="000F57D3">
        <w:rPr>
          <w:lang w:eastAsia="fr-FR"/>
        </w:rPr>
        <w:t xml:space="preserve"> a 2007 review of Section 58 of the Children Act showed that the defence of “reasonable punishment” was not well understood by parents and those working with children and families. In addition, practitioners found difficult to give advice to parents as Section 58 is seen as </w:t>
      </w:r>
      <w:r w:rsidR="00043B22" w:rsidRPr="000F57D3">
        <w:rPr>
          <w:lang w:eastAsia="fr-FR"/>
        </w:rPr>
        <w:t>legali</w:t>
      </w:r>
      <w:r w:rsidR="00043B22">
        <w:rPr>
          <w:lang w:eastAsia="fr-FR"/>
        </w:rPr>
        <w:t>z</w:t>
      </w:r>
      <w:r w:rsidR="00043B22" w:rsidRPr="000F57D3">
        <w:rPr>
          <w:lang w:eastAsia="fr-FR"/>
        </w:rPr>
        <w:t xml:space="preserve">ing </w:t>
      </w:r>
      <w:r w:rsidR="000F57D3" w:rsidRPr="000F57D3">
        <w:rPr>
          <w:lang w:eastAsia="fr-FR"/>
        </w:rPr>
        <w:t xml:space="preserve">and </w:t>
      </w:r>
      <w:r w:rsidR="00043B22" w:rsidRPr="000F57D3">
        <w:rPr>
          <w:lang w:eastAsia="fr-FR"/>
        </w:rPr>
        <w:t>legitimi</w:t>
      </w:r>
      <w:r w:rsidR="00043B22">
        <w:rPr>
          <w:lang w:eastAsia="fr-FR"/>
        </w:rPr>
        <w:t>z</w:t>
      </w:r>
      <w:r w:rsidR="00043B22" w:rsidRPr="000F57D3">
        <w:rPr>
          <w:lang w:eastAsia="fr-FR"/>
        </w:rPr>
        <w:t xml:space="preserve">ing </w:t>
      </w:r>
      <w:r w:rsidR="000F57D3" w:rsidRPr="00CE7218">
        <w:rPr>
          <w:lang w:eastAsia="fr-FR"/>
        </w:rPr>
        <w:t>smacking</w:t>
      </w:r>
      <w:r w:rsidR="003929DA">
        <w:rPr>
          <w:lang w:eastAsia="fr-FR"/>
        </w:rPr>
        <w:t>.</w:t>
      </w:r>
      <w:r w:rsidR="000F57D3" w:rsidRPr="00CE7218">
        <w:rPr>
          <w:vertAlign w:val="superscript"/>
          <w:lang w:eastAsia="fr-FR"/>
        </w:rPr>
        <w:footnoteReference w:id="40"/>
      </w:r>
      <w:r w:rsidR="000F57D3" w:rsidRPr="00CE7218">
        <w:rPr>
          <w:lang w:eastAsia="fr-FR"/>
        </w:rPr>
        <w:t xml:space="preserve"> Please explain the steps taken, if any, to address the lack of understanding of</w:t>
      </w:r>
      <w:r w:rsidR="000F57D3" w:rsidRPr="000F57D3">
        <w:rPr>
          <w:lang w:eastAsia="fr-FR"/>
        </w:rPr>
        <w:t xml:space="preserve"> the law and raise awareness of the Children Act’s limits amongst the general public? </w:t>
      </w:r>
    </w:p>
    <w:p w:rsidR="000F57D3" w:rsidRPr="00AB7A54" w:rsidRDefault="00192ACD" w:rsidP="00D76743">
      <w:pPr>
        <w:pStyle w:val="H23G"/>
        <w:rPr>
          <w:lang w:eastAsia="fr-FR"/>
        </w:rPr>
      </w:pPr>
      <w:r w:rsidRPr="00AB7A54">
        <w:rPr>
          <w:lang w:eastAsia="fr-FR"/>
        </w:rPr>
        <w:tab/>
      </w:r>
      <w:r w:rsidRPr="00AB7A54">
        <w:rPr>
          <w:lang w:eastAsia="fr-FR"/>
        </w:rPr>
        <w:tab/>
      </w:r>
      <w:r w:rsidR="000F57D3" w:rsidRPr="00AB7A54">
        <w:rPr>
          <w:lang w:eastAsia="fr-FR"/>
        </w:rPr>
        <w:t xml:space="preserve">Other </w:t>
      </w:r>
      <w:r w:rsidR="00D76743">
        <w:rPr>
          <w:lang w:eastAsia="fr-FR"/>
        </w:rPr>
        <w:t>i</w:t>
      </w:r>
      <w:r w:rsidR="00D76743" w:rsidRPr="00AB7A54">
        <w:rPr>
          <w:lang w:eastAsia="fr-FR"/>
        </w:rPr>
        <w:t>ssues</w:t>
      </w:r>
    </w:p>
    <w:p w:rsidR="000F57D3" w:rsidRPr="000F57D3" w:rsidRDefault="00937F9B" w:rsidP="00192ACD">
      <w:pPr>
        <w:pStyle w:val="SingleTxtG"/>
        <w:rPr>
          <w:lang w:eastAsia="fr-FR"/>
        </w:rPr>
      </w:pPr>
      <w:r>
        <w:rPr>
          <w:lang w:eastAsia="fr-FR"/>
        </w:rPr>
        <w:t>4</w:t>
      </w:r>
      <w:r w:rsidR="00A9222A">
        <w:rPr>
          <w:lang w:eastAsia="fr-FR"/>
        </w:rPr>
        <w:t>1</w:t>
      </w:r>
      <w:r w:rsidR="00CD36FD" w:rsidRPr="000F57D3">
        <w:rPr>
          <w:lang w:eastAsia="fr-FR"/>
        </w:rPr>
        <w:t>.</w:t>
      </w:r>
      <w:r w:rsidR="00CD36FD" w:rsidRPr="000F57D3">
        <w:rPr>
          <w:lang w:eastAsia="fr-FR"/>
        </w:rPr>
        <w:tab/>
      </w:r>
      <w:r w:rsidR="000F57D3" w:rsidRPr="000F57D3">
        <w:rPr>
          <w:lang w:eastAsia="fr-FR"/>
        </w:rPr>
        <w:t xml:space="preserve">Please respond to the issues raised by the Rapporteur for follow-up on concluding observations of the Committee against Torture in her letter dated 29 April 2009. </w:t>
      </w:r>
    </w:p>
    <w:p w:rsidR="000F57D3" w:rsidRPr="000F57D3" w:rsidRDefault="00CD36FD" w:rsidP="00367BB2">
      <w:pPr>
        <w:pStyle w:val="SingleTxtG"/>
        <w:rPr>
          <w:lang w:eastAsia="fr-FR"/>
        </w:rPr>
      </w:pPr>
      <w:r w:rsidRPr="000F57D3">
        <w:rPr>
          <w:lang w:eastAsia="fr-FR"/>
        </w:rPr>
        <w:t>4</w:t>
      </w:r>
      <w:r w:rsidR="00A9222A">
        <w:rPr>
          <w:lang w:eastAsia="fr-FR"/>
        </w:rPr>
        <w:t>2</w:t>
      </w:r>
      <w:r w:rsidRPr="000F57D3">
        <w:rPr>
          <w:lang w:eastAsia="fr-FR"/>
        </w:rPr>
        <w:t>.</w:t>
      </w:r>
      <w:r w:rsidRPr="000F57D3">
        <w:rPr>
          <w:lang w:eastAsia="fr-FR"/>
        </w:rPr>
        <w:tab/>
      </w:r>
      <w:r w:rsidR="000F57D3" w:rsidRPr="000F57D3">
        <w:rPr>
          <w:lang w:eastAsia="fr-FR"/>
        </w:rPr>
        <w:t xml:space="preserve">Both the Joint Committee on Human Rights (JCHR) </w:t>
      </w:r>
      <w:r w:rsidR="000F57D3" w:rsidRPr="00367BB2">
        <w:rPr>
          <w:lang w:eastAsia="fr-FR"/>
        </w:rPr>
        <w:t>of the Parliament</w:t>
      </w:r>
      <w:r w:rsidR="00367BB2" w:rsidRPr="00367BB2">
        <w:rPr>
          <w:lang w:eastAsia="fr-FR"/>
        </w:rPr>
        <w:t xml:space="preserve"> of t</w:t>
      </w:r>
      <w:r w:rsidR="00367BB2">
        <w:rPr>
          <w:lang w:eastAsia="fr-FR"/>
        </w:rPr>
        <w:t xml:space="preserve">he </w:t>
      </w:r>
      <w:smartTag w:uri="urn:schemas-microsoft-com:office:smarttags" w:element="country-region">
        <w:r w:rsidR="00367BB2">
          <w:rPr>
            <w:lang w:eastAsia="fr-FR"/>
          </w:rPr>
          <w:t>United Kingdom</w:t>
        </w:r>
      </w:smartTag>
      <w:r w:rsidR="000F57D3" w:rsidRPr="000F57D3">
        <w:rPr>
          <w:lang w:eastAsia="fr-FR"/>
        </w:rPr>
        <w:t xml:space="preserve"> and the Equality and Human Rights Commission believe that “the </w:t>
      </w:r>
      <w:smartTag w:uri="urn:schemas-microsoft-com:office:smarttags" w:element="country-region">
        <w:smartTag w:uri="urn:schemas-microsoft-com:office:smarttags" w:element="place">
          <w:r w:rsidR="000F57D3" w:rsidRPr="000F57D3">
            <w:rPr>
              <w:lang w:eastAsia="fr-FR"/>
            </w:rPr>
            <w:t>UK</w:t>
          </w:r>
        </w:smartTag>
      </w:smartTag>
      <w:r w:rsidR="000F57D3" w:rsidRPr="000F57D3">
        <w:rPr>
          <w:lang w:eastAsia="fr-FR"/>
        </w:rPr>
        <w:t xml:space="preserve">’s slow progress in accepting individual petition […] undermines its credibility in the promotion and protection of human </w:t>
      </w:r>
      <w:r w:rsidR="000F57D3" w:rsidRPr="00CE7218">
        <w:rPr>
          <w:lang w:eastAsia="fr-FR"/>
        </w:rPr>
        <w:t>rights internationally”</w:t>
      </w:r>
      <w:r w:rsidR="003929DA">
        <w:rPr>
          <w:lang w:eastAsia="fr-FR"/>
        </w:rPr>
        <w:t>.</w:t>
      </w:r>
      <w:r w:rsidR="000F57D3" w:rsidRPr="00CE7218">
        <w:rPr>
          <w:vertAlign w:val="superscript"/>
          <w:lang w:val="fr-FR" w:eastAsia="fr-FR"/>
        </w:rPr>
        <w:footnoteReference w:id="41"/>
      </w:r>
      <w:r w:rsidR="000F57D3" w:rsidRPr="00CE7218">
        <w:rPr>
          <w:lang w:eastAsia="fr-FR"/>
        </w:rPr>
        <w:t xml:space="preserve"> Please, comment on the above and explain whether it intends to</w:t>
      </w:r>
      <w:r w:rsidR="000F57D3" w:rsidRPr="000F57D3">
        <w:rPr>
          <w:lang w:eastAsia="fr-FR"/>
        </w:rPr>
        <w:t xml:space="preserve"> reconsider its position with regard to making a declaration under </w:t>
      </w:r>
      <w:r w:rsidR="00D76743">
        <w:rPr>
          <w:lang w:eastAsia="fr-FR"/>
        </w:rPr>
        <w:t>a</w:t>
      </w:r>
      <w:r w:rsidR="00D76743" w:rsidRPr="000F57D3">
        <w:rPr>
          <w:lang w:eastAsia="fr-FR"/>
        </w:rPr>
        <w:t xml:space="preserve">rticle </w:t>
      </w:r>
      <w:r w:rsidR="000F57D3" w:rsidRPr="000F57D3">
        <w:rPr>
          <w:lang w:eastAsia="fr-FR"/>
        </w:rPr>
        <w:t xml:space="preserve">22 of the Convention? </w:t>
      </w:r>
    </w:p>
    <w:p w:rsidR="000F57D3" w:rsidRPr="000F57D3" w:rsidRDefault="00192ACD" w:rsidP="00137AEB">
      <w:pPr>
        <w:pStyle w:val="H1G"/>
        <w:rPr>
          <w:lang w:eastAsia="fr-FR"/>
        </w:rPr>
      </w:pPr>
      <w:r>
        <w:rPr>
          <w:lang w:eastAsia="fr-FR"/>
        </w:rPr>
        <w:tab/>
      </w:r>
      <w:r w:rsidR="00137AEB">
        <w:rPr>
          <w:lang w:eastAsia="fr-FR"/>
        </w:rPr>
        <w:t>II.</w:t>
      </w:r>
      <w:r>
        <w:rPr>
          <w:lang w:eastAsia="fr-FR"/>
        </w:rPr>
        <w:tab/>
      </w:r>
      <w:r w:rsidR="000F57D3" w:rsidRPr="000F57D3">
        <w:rPr>
          <w:lang w:eastAsia="fr-FR"/>
        </w:rPr>
        <w:t>Crown Dependencies and Overseas Territories</w:t>
      </w:r>
    </w:p>
    <w:p w:rsidR="000F57D3" w:rsidRPr="000F57D3" w:rsidRDefault="00CD36FD" w:rsidP="00192ACD">
      <w:pPr>
        <w:pStyle w:val="SingleTxtG"/>
        <w:rPr>
          <w:lang w:eastAsia="fr-FR"/>
        </w:rPr>
      </w:pPr>
      <w:r w:rsidRPr="000F57D3">
        <w:rPr>
          <w:lang w:eastAsia="fr-FR"/>
        </w:rPr>
        <w:t>4</w:t>
      </w:r>
      <w:r w:rsidR="00A9222A">
        <w:rPr>
          <w:lang w:eastAsia="fr-FR"/>
        </w:rPr>
        <w:t>3</w:t>
      </w:r>
      <w:r w:rsidRPr="000F57D3">
        <w:rPr>
          <w:lang w:eastAsia="fr-FR"/>
        </w:rPr>
        <w:t>.</w:t>
      </w:r>
      <w:r w:rsidRPr="000F57D3">
        <w:rPr>
          <w:lang w:eastAsia="fr-FR"/>
        </w:rPr>
        <w:tab/>
      </w:r>
      <w:r w:rsidR="000F57D3" w:rsidRPr="000F57D3">
        <w:rPr>
          <w:lang w:eastAsia="fr-FR"/>
        </w:rPr>
        <w:t xml:space="preserve">Please explain if corporal punishment is prohibited in the home, schools, the penal system and all care settings in the British Crown Dependencies and </w:t>
      </w:r>
      <w:smartTag w:uri="urn:schemas-microsoft-com:office:smarttags" w:element="place">
        <w:smartTag w:uri="urn:schemas-microsoft-com:office:smarttags" w:element="PlaceName">
          <w:r w:rsidR="000F57D3" w:rsidRPr="000F57D3">
            <w:rPr>
              <w:lang w:eastAsia="fr-FR"/>
            </w:rPr>
            <w:t>British</w:t>
          </w:r>
        </w:smartTag>
        <w:r w:rsidR="000F57D3" w:rsidRPr="000F57D3">
          <w:rPr>
            <w:lang w:eastAsia="fr-FR"/>
          </w:rPr>
          <w:t xml:space="preserve"> </w:t>
        </w:r>
        <w:smartTag w:uri="urn:schemas-microsoft-com:office:smarttags" w:element="PlaceName">
          <w:r w:rsidR="000F57D3" w:rsidRPr="000F57D3">
            <w:rPr>
              <w:lang w:eastAsia="fr-FR"/>
            </w:rPr>
            <w:t>Overseas</w:t>
          </w:r>
        </w:smartTag>
        <w:r w:rsidR="000F57D3" w:rsidRPr="000F57D3">
          <w:rPr>
            <w:lang w:eastAsia="fr-FR"/>
          </w:rPr>
          <w:t xml:space="preserve"> </w:t>
        </w:r>
        <w:smartTag w:uri="urn:schemas-microsoft-com:office:smarttags" w:element="PlaceType">
          <w:r w:rsidR="000F57D3" w:rsidRPr="000F57D3">
            <w:rPr>
              <w:lang w:eastAsia="fr-FR"/>
            </w:rPr>
            <w:t>Territories</w:t>
          </w:r>
        </w:smartTag>
      </w:smartTag>
      <w:r w:rsidR="000F57D3" w:rsidRPr="000F57D3">
        <w:rPr>
          <w:lang w:eastAsia="fr-FR"/>
        </w:rPr>
        <w:t xml:space="preserve">. If not, please explain whether there are plans to extend the prohibition to a level which is at least as protective as the one in the </w:t>
      </w:r>
      <w:smartTag w:uri="urn:schemas-microsoft-com:office:smarttags" w:element="place">
        <w:smartTag w:uri="urn:schemas-microsoft-com:office:smarttags" w:element="PlaceName">
          <w:r w:rsidR="000F57D3" w:rsidRPr="000F57D3">
            <w:rPr>
              <w:lang w:eastAsia="fr-FR"/>
            </w:rPr>
            <w:t>Metropolitan</w:t>
          </w:r>
        </w:smartTag>
        <w:r w:rsidR="000F57D3" w:rsidRPr="000F57D3">
          <w:rPr>
            <w:lang w:eastAsia="fr-FR"/>
          </w:rPr>
          <w:t xml:space="preserve"> </w:t>
        </w:r>
        <w:smartTag w:uri="urn:schemas-microsoft-com:office:smarttags" w:element="PlaceType">
          <w:r w:rsidR="000F57D3" w:rsidRPr="000F57D3">
            <w:rPr>
              <w:lang w:eastAsia="fr-FR"/>
            </w:rPr>
            <w:t>Territory</w:t>
          </w:r>
        </w:smartTag>
      </w:smartTag>
      <w:r w:rsidR="000F57D3" w:rsidRPr="000F57D3">
        <w:rPr>
          <w:lang w:eastAsia="fr-FR"/>
        </w:rPr>
        <w:t xml:space="preserve">. </w:t>
      </w:r>
    </w:p>
    <w:p w:rsidR="000F57D3" w:rsidRPr="000F57D3" w:rsidRDefault="00CD36FD" w:rsidP="00192ACD">
      <w:pPr>
        <w:pStyle w:val="SingleTxtG"/>
        <w:rPr>
          <w:lang w:eastAsia="fr-FR"/>
        </w:rPr>
      </w:pPr>
      <w:r w:rsidRPr="000F57D3">
        <w:rPr>
          <w:lang w:eastAsia="fr-FR"/>
        </w:rPr>
        <w:t>4</w:t>
      </w:r>
      <w:r w:rsidR="00A9222A">
        <w:rPr>
          <w:lang w:eastAsia="fr-FR"/>
        </w:rPr>
        <w:t>4</w:t>
      </w:r>
      <w:r w:rsidRPr="000F57D3">
        <w:rPr>
          <w:lang w:eastAsia="fr-FR"/>
        </w:rPr>
        <w:t>.</w:t>
      </w:r>
      <w:r w:rsidRPr="000F57D3">
        <w:rPr>
          <w:lang w:eastAsia="fr-FR"/>
        </w:rPr>
        <w:tab/>
      </w:r>
      <w:r w:rsidR="000F57D3" w:rsidRPr="000F57D3">
        <w:rPr>
          <w:lang w:eastAsia="fr-FR"/>
        </w:rPr>
        <w:t xml:space="preserve">Please provide information on the compliance of Crown Dependencies and </w:t>
      </w:r>
      <w:smartTag w:uri="urn:schemas-microsoft-com:office:smarttags" w:element="place">
        <w:smartTag w:uri="urn:schemas-microsoft-com:office:smarttags" w:element="PlaceName">
          <w:r w:rsidR="000F57D3" w:rsidRPr="000F57D3">
            <w:rPr>
              <w:lang w:eastAsia="fr-FR"/>
            </w:rPr>
            <w:t>Overseas</w:t>
          </w:r>
        </w:smartTag>
        <w:r w:rsidR="000F57D3" w:rsidRPr="000F57D3">
          <w:rPr>
            <w:lang w:eastAsia="fr-FR"/>
          </w:rPr>
          <w:t xml:space="preserve"> </w:t>
        </w:r>
        <w:smartTag w:uri="urn:schemas-microsoft-com:office:smarttags" w:element="PlaceType">
          <w:r w:rsidR="000F57D3" w:rsidRPr="000F57D3">
            <w:rPr>
              <w:lang w:eastAsia="fr-FR"/>
            </w:rPr>
            <w:t>Territories</w:t>
          </w:r>
        </w:smartTag>
      </w:smartTag>
      <w:r w:rsidR="000F57D3" w:rsidRPr="000F57D3">
        <w:rPr>
          <w:lang w:eastAsia="fr-FR"/>
        </w:rPr>
        <w:t xml:space="preserve">’ legislations with article 15 of the Convention. </w:t>
      </w:r>
    </w:p>
    <w:p w:rsidR="000F57D3" w:rsidRPr="000F57D3" w:rsidRDefault="00192ACD" w:rsidP="00192ACD">
      <w:pPr>
        <w:pStyle w:val="H23G"/>
        <w:rPr>
          <w:lang w:eastAsia="fr-FR"/>
        </w:rPr>
      </w:pPr>
      <w:r>
        <w:rPr>
          <w:lang w:eastAsia="fr-FR"/>
        </w:rPr>
        <w:tab/>
      </w:r>
      <w:r>
        <w:rPr>
          <w:lang w:eastAsia="fr-FR"/>
        </w:rPr>
        <w:tab/>
      </w:r>
      <w:r w:rsidR="000F57D3" w:rsidRPr="000F57D3">
        <w:rPr>
          <w:lang w:eastAsia="fr-FR"/>
        </w:rPr>
        <w:t>Crown Dependencies</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Guernsey</w:t>
        </w:r>
      </w:smartTag>
    </w:p>
    <w:p w:rsidR="000F57D3" w:rsidRPr="000F57D3" w:rsidRDefault="00CD36FD" w:rsidP="00192ACD">
      <w:pPr>
        <w:pStyle w:val="SingleTxtG"/>
        <w:rPr>
          <w:lang w:eastAsia="fr-FR"/>
        </w:rPr>
      </w:pPr>
      <w:r w:rsidRPr="000F57D3">
        <w:rPr>
          <w:lang w:eastAsia="fr-FR"/>
        </w:rPr>
        <w:t>4</w:t>
      </w:r>
      <w:r w:rsidR="00A9222A">
        <w:rPr>
          <w:lang w:eastAsia="fr-FR"/>
        </w:rPr>
        <w:t>5</w:t>
      </w:r>
      <w:r w:rsidRPr="000F57D3">
        <w:rPr>
          <w:lang w:eastAsia="fr-FR"/>
        </w:rPr>
        <w:t>.</w:t>
      </w:r>
      <w:r w:rsidRPr="000F57D3">
        <w:rPr>
          <w:lang w:eastAsia="fr-FR"/>
        </w:rPr>
        <w:tab/>
      </w:r>
      <w:r w:rsidR="000F57D3" w:rsidRPr="000F57D3">
        <w:rPr>
          <w:lang w:eastAsia="fr-FR"/>
        </w:rPr>
        <w:t>Please indicate how many times since the last concluding observations was the right to access a lawyer delayed</w:t>
      </w:r>
      <w:r w:rsidR="000F57D3" w:rsidRPr="000F57D3">
        <w:rPr>
          <w:vertAlign w:val="superscript"/>
          <w:lang w:eastAsia="fr-FR"/>
        </w:rPr>
        <w:footnoteReference w:id="42"/>
      </w:r>
      <w:r w:rsidR="000F57D3" w:rsidRPr="000F57D3">
        <w:rPr>
          <w:lang w:eastAsia="fr-FR"/>
        </w:rPr>
        <w:t xml:space="preserve"> and explain if Guernsey intends to amend Section 66 of the </w:t>
      </w:r>
      <w:r w:rsidR="000F57D3" w:rsidRPr="000F57D3">
        <w:rPr>
          <w:i/>
          <w:lang w:eastAsia="fr-FR"/>
        </w:rPr>
        <w:t>Police Powers and Criminal Evidence (Bailiwick of Guernsey) Law, 2003</w:t>
      </w:r>
      <w:r w:rsidR="000F57D3" w:rsidRPr="000F57D3">
        <w:rPr>
          <w:lang w:eastAsia="fr-FR"/>
        </w:rPr>
        <w:t xml:space="preserve"> so as to bring it in line with international standards.</w:t>
      </w:r>
    </w:p>
    <w:p w:rsidR="000F57D3" w:rsidRPr="000F57D3" w:rsidRDefault="00CD36FD" w:rsidP="00192ACD">
      <w:pPr>
        <w:pStyle w:val="SingleTxtG"/>
        <w:rPr>
          <w:lang w:eastAsia="fr-FR"/>
        </w:rPr>
      </w:pPr>
      <w:r w:rsidRPr="000F57D3">
        <w:rPr>
          <w:lang w:eastAsia="fr-FR"/>
        </w:rPr>
        <w:t>4</w:t>
      </w:r>
      <w:r w:rsidR="00A9222A">
        <w:rPr>
          <w:lang w:eastAsia="fr-FR"/>
        </w:rPr>
        <w:t>6</w:t>
      </w:r>
      <w:r w:rsidRPr="000F57D3">
        <w:rPr>
          <w:lang w:eastAsia="fr-FR"/>
        </w:rPr>
        <w:t>.</w:t>
      </w:r>
      <w:r w:rsidRPr="000F57D3">
        <w:rPr>
          <w:lang w:eastAsia="fr-FR"/>
        </w:rPr>
        <w:tab/>
      </w:r>
      <w:r w:rsidR="000F57D3" w:rsidRPr="000F57D3">
        <w:rPr>
          <w:lang w:eastAsia="fr-FR"/>
        </w:rPr>
        <w:t xml:space="preserve">Please explain if the Part of the </w:t>
      </w:r>
      <w:r w:rsidR="000F57D3" w:rsidRPr="000F57D3">
        <w:rPr>
          <w:i/>
          <w:lang w:eastAsia="fr-FR"/>
        </w:rPr>
        <w:t xml:space="preserve">Legal Aid (Bailiwick of </w:t>
      </w:r>
      <w:smartTag w:uri="urn:schemas-microsoft-com:office:smarttags" w:element="place">
        <w:r w:rsidR="000F57D3" w:rsidRPr="000F57D3">
          <w:rPr>
            <w:i/>
            <w:lang w:eastAsia="fr-FR"/>
          </w:rPr>
          <w:t>Guernsey</w:t>
        </w:r>
      </w:smartTag>
      <w:r w:rsidR="000F57D3" w:rsidRPr="000F57D3">
        <w:rPr>
          <w:i/>
          <w:lang w:eastAsia="fr-FR"/>
        </w:rPr>
        <w:t xml:space="preserve">) Law, 2003 </w:t>
      </w:r>
      <w:r w:rsidR="000F57D3" w:rsidRPr="000F57D3">
        <w:rPr>
          <w:lang w:eastAsia="fr-FR"/>
        </w:rPr>
        <w:t>which</w:t>
      </w:r>
      <w:r w:rsidR="000F57D3" w:rsidRPr="000F57D3">
        <w:rPr>
          <w:i/>
          <w:lang w:eastAsia="fr-FR"/>
        </w:rPr>
        <w:t xml:space="preserve"> </w:t>
      </w:r>
      <w:r w:rsidR="000F57D3" w:rsidRPr="000F57D3">
        <w:rPr>
          <w:lang w:eastAsia="fr-FR"/>
        </w:rPr>
        <w:t>introduces statutory legal aid scheme has been brought into force.</w:t>
      </w:r>
    </w:p>
    <w:p w:rsidR="000F57D3" w:rsidRPr="000F57D3" w:rsidRDefault="00CD36FD" w:rsidP="00192ACD">
      <w:pPr>
        <w:pStyle w:val="SingleTxtG"/>
        <w:rPr>
          <w:lang w:eastAsia="fr-FR"/>
        </w:rPr>
      </w:pPr>
      <w:r w:rsidRPr="000F57D3">
        <w:rPr>
          <w:lang w:eastAsia="fr-FR"/>
        </w:rPr>
        <w:t>4</w:t>
      </w:r>
      <w:r w:rsidR="00A9222A">
        <w:rPr>
          <w:lang w:eastAsia="fr-FR"/>
        </w:rPr>
        <w:t>7</w:t>
      </w:r>
      <w:r w:rsidRPr="000F57D3">
        <w:rPr>
          <w:lang w:eastAsia="fr-FR"/>
        </w:rPr>
        <w:t>.</w:t>
      </w:r>
      <w:r w:rsidRPr="000F57D3">
        <w:rPr>
          <w:lang w:eastAsia="fr-FR"/>
        </w:rPr>
        <w:tab/>
      </w:r>
      <w:r w:rsidR="000F57D3" w:rsidRPr="000F57D3">
        <w:rPr>
          <w:lang w:eastAsia="fr-FR"/>
        </w:rPr>
        <w:t>Please provide details about the number of investigations being dealt with by the Guernsey Police Complaints Commission.</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Jersey</w:t>
        </w:r>
      </w:smartTag>
    </w:p>
    <w:p w:rsidR="000F57D3" w:rsidRPr="000F57D3" w:rsidRDefault="00CD36FD" w:rsidP="00043B22">
      <w:pPr>
        <w:pStyle w:val="SingleTxtG"/>
        <w:rPr>
          <w:lang w:eastAsia="fr-FR"/>
        </w:rPr>
      </w:pPr>
      <w:r w:rsidRPr="000F57D3">
        <w:rPr>
          <w:lang w:eastAsia="fr-FR"/>
        </w:rPr>
        <w:t>4</w:t>
      </w:r>
      <w:r w:rsidR="00A9222A">
        <w:rPr>
          <w:lang w:eastAsia="fr-FR"/>
        </w:rPr>
        <w:t>8</w:t>
      </w:r>
      <w:r w:rsidRPr="000F57D3">
        <w:rPr>
          <w:lang w:eastAsia="fr-FR"/>
        </w:rPr>
        <w:t>.</w:t>
      </w:r>
      <w:r w:rsidRPr="000F57D3">
        <w:rPr>
          <w:lang w:eastAsia="fr-FR"/>
        </w:rPr>
        <w:tab/>
      </w:r>
      <w:r w:rsidR="000F57D3" w:rsidRPr="000F57D3">
        <w:rPr>
          <w:lang w:eastAsia="fr-FR"/>
        </w:rPr>
        <w:t xml:space="preserve">Please provide information for the last </w:t>
      </w:r>
      <w:r w:rsidR="00043B22">
        <w:rPr>
          <w:lang w:eastAsia="fr-FR"/>
        </w:rPr>
        <w:t>five</w:t>
      </w:r>
      <w:r w:rsidR="00043B22" w:rsidRPr="000F57D3">
        <w:rPr>
          <w:lang w:eastAsia="fr-FR"/>
        </w:rPr>
        <w:t xml:space="preserve"> </w:t>
      </w:r>
      <w:r w:rsidR="000F57D3" w:rsidRPr="000F57D3">
        <w:rPr>
          <w:lang w:eastAsia="fr-FR"/>
        </w:rPr>
        <w:t>years on the number of immigrants held in detention at HM Prison La Moye, their age, and the length of their detention. Please indicate if detained immigrants can seek judicial review of their detention.</w:t>
      </w:r>
      <w:r w:rsidR="000F57D3" w:rsidRPr="000F57D3">
        <w:rPr>
          <w:vertAlign w:val="superscript"/>
          <w:lang w:eastAsia="fr-FR"/>
        </w:rPr>
        <w:t xml:space="preserve"> </w:t>
      </w:r>
      <w:r w:rsidR="000F57D3" w:rsidRPr="000F57D3">
        <w:rPr>
          <w:vertAlign w:val="superscript"/>
          <w:lang w:eastAsia="fr-FR"/>
        </w:rPr>
        <w:footnoteReference w:id="43"/>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Isle of Man</w:t>
        </w:r>
      </w:smartTag>
    </w:p>
    <w:p w:rsidR="000F57D3" w:rsidRPr="000F57D3" w:rsidRDefault="00CD36FD" w:rsidP="00367BB2">
      <w:pPr>
        <w:pStyle w:val="SingleTxtG"/>
        <w:rPr>
          <w:lang w:eastAsia="fr-FR"/>
        </w:rPr>
      </w:pPr>
      <w:r w:rsidRPr="000F57D3">
        <w:rPr>
          <w:lang w:eastAsia="fr-FR"/>
        </w:rPr>
        <w:t>4</w:t>
      </w:r>
      <w:r w:rsidR="00A9222A">
        <w:rPr>
          <w:lang w:eastAsia="fr-FR"/>
        </w:rPr>
        <w:t>9</w:t>
      </w:r>
      <w:r w:rsidRPr="000F57D3">
        <w:rPr>
          <w:lang w:eastAsia="fr-FR"/>
        </w:rPr>
        <w:t>.</w:t>
      </w:r>
      <w:r w:rsidRPr="000F57D3">
        <w:rPr>
          <w:lang w:eastAsia="fr-FR"/>
        </w:rPr>
        <w:tab/>
      </w:r>
      <w:r w:rsidR="000F57D3" w:rsidRPr="000F57D3">
        <w:rPr>
          <w:lang w:eastAsia="fr-FR"/>
        </w:rPr>
        <w:t xml:space="preserve">Please provide an update on the request of the Isle of Man to the </w:t>
      </w:r>
      <w:r w:rsidR="000F57D3" w:rsidRPr="00367BB2">
        <w:rPr>
          <w:lang w:eastAsia="fr-FR"/>
        </w:rPr>
        <w:t xml:space="preserve">Government </w:t>
      </w:r>
      <w:r w:rsidR="00367BB2" w:rsidRPr="00367BB2">
        <w:rPr>
          <w:lang w:eastAsia="fr-FR"/>
        </w:rPr>
        <w:t>of</w:t>
      </w:r>
      <w:r w:rsidR="00367BB2">
        <w:rPr>
          <w:lang w:eastAsia="fr-FR"/>
        </w:rPr>
        <w:t xml:space="preserve"> the </w:t>
      </w:r>
      <w:smartTag w:uri="urn:schemas-microsoft-com:office:smarttags" w:element="country-region">
        <w:smartTag w:uri="urn:schemas-microsoft-com:office:smarttags" w:element="place">
          <w:r w:rsidR="00367BB2">
            <w:rPr>
              <w:lang w:eastAsia="fr-FR"/>
            </w:rPr>
            <w:t>United Kingdom</w:t>
          </w:r>
        </w:smartTag>
      </w:smartTag>
      <w:r w:rsidR="00367BB2">
        <w:rPr>
          <w:lang w:eastAsia="fr-FR"/>
        </w:rPr>
        <w:t xml:space="preserve"> </w:t>
      </w:r>
      <w:r w:rsidR="000F57D3" w:rsidRPr="000F57D3">
        <w:rPr>
          <w:lang w:eastAsia="fr-FR"/>
        </w:rPr>
        <w:t>to extend the scope of its ratification of the Optional Protocol to the Convention against Torture to include the Isle of Man</w:t>
      </w:r>
      <w:r w:rsidR="003929DA">
        <w:rPr>
          <w:lang w:eastAsia="fr-FR"/>
        </w:rPr>
        <w:t>.</w:t>
      </w:r>
      <w:r w:rsidR="000F57D3" w:rsidRPr="000F57D3">
        <w:rPr>
          <w:vertAlign w:val="superscript"/>
          <w:lang w:val="fr-FR" w:eastAsia="fr-FR"/>
        </w:rPr>
        <w:footnoteReference w:id="44"/>
      </w:r>
      <w:r w:rsidR="000F57D3" w:rsidRPr="000F57D3">
        <w:rPr>
          <w:lang w:eastAsia="fr-FR"/>
        </w:rPr>
        <w:t xml:space="preserve"> </w:t>
      </w:r>
    </w:p>
    <w:p w:rsidR="000F57D3" w:rsidRPr="000F57D3" w:rsidRDefault="00192ACD" w:rsidP="00192ACD">
      <w:pPr>
        <w:pStyle w:val="H23G"/>
        <w:rPr>
          <w:lang w:eastAsia="fr-FR"/>
        </w:rPr>
      </w:pPr>
      <w:r>
        <w:rPr>
          <w:lang w:eastAsia="fr-FR"/>
        </w:rPr>
        <w:tab/>
      </w:r>
      <w:r>
        <w:rPr>
          <w:lang w:eastAsia="fr-FR"/>
        </w:rPr>
        <w:tab/>
      </w:r>
      <w:r w:rsidR="000F57D3" w:rsidRPr="000F57D3">
        <w:rPr>
          <w:lang w:eastAsia="fr-FR"/>
        </w:rPr>
        <w:t>Overseas Territories</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Anguilla</w:t>
        </w:r>
      </w:smartTag>
    </w:p>
    <w:p w:rsidR="000F57D3" w:rsidRPr="000F57D3" w:rsidRDefault="00A9222A" w:rsidP="00192ACD">
      <w:pPr>
        <w:pStyle w:val="SingleTxtG"/>
        <w:rPr>
          <w:lang w:eastAsia="fr-FR"/>
        </w:rPr>
      </w:pPr>
      <w:r>
        <w:rPr>
          <w:lang w:eastAsia="fr-FR"/>
        </w:rPr>
        <w:t>50</w:t>
      </w:r>
      <w:r w:rsidR="00CD36FD" w:rsidRPr="000F57D3">
        <w:rPr>
          <w:lang w:eastAsia="fr-FR"/>
        </w:rPr>
        <w:t>.</w:t>
      </w:r>
      <w:r w:rsidR="00CD36FD" w:rsidRPr="000F57D3">
        <w:rPr>
          <w:lang w:eastAsia="fr-FR"/>
        </w:rPr>
        <w:tab/>
      </w:r>
      <w:r w:rsidR="000F57D3" w:rsidRPr="000F57D3">
        <w:rPr>
          <w:lang w:eastAsia="fr-FR"/>
        </w:rPr>
        <w:t xml:space="preserve">In </w:t>
      </w:r>
      <w:smartTag w:uri="urn:schemas-microsoft-com:office:smarttags" w:element="place">
        <w:r w:rsidR="000F57D3" w:rsidRPr="000F57D3">
          <w:rPr>
            <w:lang w:eastAsia="fr-FR"/>
          </w:rPr>
          <w:t>Anguilla</w:t>
        </w:r>
      </w:smartTag>
      <w:r w:rsidR="000F57D3" w:rsidRPr="000F57D3">
        <w:rPr>
          <w:lang w:eastAsia="fr-FR"/>
        </w:rPr>
        <w:t>, mentally ill patients are housed in prison</w:t>
      </w:r>
      <w:r w:rsidR="003929DA">
        <w:rPr>
          <w:lang w:eastAsia="fr-FR"/>
        </w:rPr>
        <w:t>.</w:t>
      </w:r>
      <w:r w:rsidR="000F57D3" w:rsidRPr="000F57D3">
        <w:rPr>
          <w:vertAlign w:val="superscript"/>
          <w:lang w:eastAsia="fr-FR"/>
        </w:rPr>
        <w:footnoteReference w:id="45"/>
      </w:r>
      <w:r w:rsidR="000F57D3" w:rsidRPr="000F57D3">
        <w:rPr>
          <w:lang w:eastAsia="fr-FR"/>
        </w:rPr>
        <w:t xml:space="preserve"> Please explain measures envisaged to remedy this situation. </w:t>
      </w:r>
    </w:p>
    <w:p w:rsidR="000F57D3" w:rsidRPr="000F57D3" w:rsidRDefault="004F3B55" w:rsidP="00192ACD">
      <w:pPr>
        <w:pStyle w:val="SingleTxtG"/>
        <w:rPr>
          <w:lang w:eastAsia="fr-FR"/>
        </w:rPr>
      </w:pPr>
      <w:r>
        <w:rPr>
          <w:lang w:eastAsia="fr-FR"/>
        </w:rPr>
        <w:t>5</w:t>
      </w:r>
      <w:r w:rsidR="00A9222A">
        <w:rPr>
          <w:lang w:eastAsia="fr-FR"/>
        </w:rPr>
        <w:t>1</w:t>
      </w:r>
      <w:r w:rsidR="00CD36FD" w:rsidRPr="000F57D3">
        <w:rPr>
          <w:lang w:eastAsia="fr-FR"/>
        </w:rPr>
        <w:t>.</w:t>
      </w:r>
      <w:r w:rsidR="00CD36FD" w:rsidRPr="000F57D3">
        <w:rPr>
          <w:lang w:eastAsia="fr-FR"/>
        </w:rPr>
        <w:tab/>
      </w:r>
      <w:r w:rsidR="000F57D3" w:rsidRPr="000F57D3">
        <w:rPr>
          <w:lang w:eastAsia="fr-FR"/>
        </w:rPr>
        <w:t xml:space="preserve">Please provide data on breaches of the </w:t>
      </w:r>
      <w:r w:rsidR="000F57D3" w:rsidRPr="000F57D3">
        <w:rPr>
          <w:i/>
          <w:lang w:eastAsia="fr-FR"/>
        </w:rPr>
        <w:t>Code of Discipline for Prison Officers</w:t>
      </w:r>
      <w:r w:rsidR="000F57D3" w:rsidRPr="000F57D3">
        <w:rPr>
          <w:i/>
          <w:vertAlign w:val="superscript"/>
          <w:lang w:eastAsia="fr-FR"/>
        </w:rPr>
        <w:footnoteReference w:id="46"/>
      </w:r>
      <w:r w:rsidR="00264C27">
        <w:rPr>
          <w:i/>
          <w:lang w:eastAsia="fr-FR"/>
        </w:rPr>
        <w:t xml:space="preserve"> </w:t>
      </w:r>
      <w:r w:rsidR="000F57D3" w:rsidRPr="000F57D3">
        <w:rPr>
          <w:lang w:eastAsia="fr-FR"/>
        </w:rPr>
        <w:t xml:space="preserve">in violation of the Convention, including the nature of the allegations and the level of disciplinary or judicial award. </w:t>
      </w:r>
    </w:p>
    <w:p w:rsidR="000F57D3" w:rsidRPr="000F57D3" w:rsidRDefault="00CD36FD" w:rsidP="00043B22">
      <w:pPr>
        <w:pStyle w:val="SingleTxtG"/>
        <w:rPr>
          <w:lang w:eastAsia="fr-FR"/>
        </w:rPr>
      </w:pPr>
      <w:r w:rsidRPr="000F57D3">
        <w:rPr>
          <w:lang w:eastAsia="fr-FR"/>
        </w:rPr>
        <w:t>5</w:t>
      </w:r>
      <w:r w:rsidR="00A9222A">
        <w:rPr>
          <w:lang w:eastAsia="fr-FR"/>
        </w:rPr>
        <w:t>2</w:t>
      </w:r>
      <w:r w:rsidRPr="000F57D3">
        <w:rPr>
          <w:lang w:eastAsia="fr-FR"/>
        </w:rPr>
        <w:t>.</w:t>
      </w:r>
      <w:r w:rsidRPr="000F57D3">
        <w:rPr>
          <w:lang w:eastAsia="fr-FR"/>
        </w:rPr>
        <w:tab/>
      </w:r>
      <w:r w:rsidR="000F57D3" w:rsidRPr="000F57D3">
        <w:rPr>
          <w:lang w:eastAsia="fr-FR"/>
        </w:rPr>
        <w:t>Please provide information on measures (if any) to address</w:t>
      </w:r>
      <w:r w:rsidR="003929DA">
        <w:rPr>
          <w:lang w:eastAsia="fr-FR"/>
        </w:rPr>
        <w:t xml:space="preserve"> </w:t>
      </w:r>
      <w:r w:rsidR="000F57D3" w:rsidRPr="000F57D3">
        <w:rPr>
          <w:lang w:eastAsia="fr-FR"/>
        </w:rPr>
        <w:t>overcrowding</w:t>
      </w:r>
      <w:r w:rsidR="00043B22" w:rsidRPr="00043B22">
        <w:rPr>
          <w:lang w:eastAsia="fr-FR"/>
        </w:rPr>
        <w:t xml:space="preserve"> </w:t>
      </w:r>
      <w:r w:rsidR="00043B22">
        <w:rPr>
          <w:lang w:eastAsia="fr-FR"/>
        </w:rPr>
        <w:t xml:space="preserve">in </w:t>
      </w:r>
      <w:r w:rsidR="003929DA">
        <w:rPr>
          <w:lang w:eastAsia="fr-FR"/>
        </w:rPr>
        <w:t>prisons.</w:t>
      </w:r>
      <w:r w:rsidR="000F57D3" w:rsidRPr="000F57D3">
        <w:rPr>
          <w:vertAlign w:val="superscript"/>
          <w:lang w:eastAsia="fr-FR"/>
        </w:rPr>
        <w:footnoteReference w:id="47"/>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Bermuda</w:t>
        </w:r>
      </w:smartTag>
    </w:p>
    <w:p w:rsidR="000F57D3" w:rsidRPr="000F57D3" w:rsidRDefault="00CD36FD" w:rsidP="00192ACD">
      <w:pPr>
        <w:pStyle w:val="SingleTxtG"/>
        <w:rPr>
          <w:lang w:eastAsia="fr-FR"/>
        </w:rPr>
      </w:pPr>
      <w:r w:rsidRPr="000F57D3">
        <w:rPr>
          <w:lang w:eastAsia="fr-FR"/>
        </w:rPr>
        <w:t>5</w:t>
      </w:r>
      <w:r w:rsidR="00A9222A">
        <w:rPr>
          <w:lang w:eastAsia="fr-FR"/>
        </w:rPr>
        <w:t>3</w:t>
      </w:r>
      <w:r w:rsidRPr="000F57D3">
        <w:rPr>
          <w:lang w:eastAsia="fr-FR"/>
        </w:rPr>
        <w:t>.</w:t>
      </w:r>
      <w:r w:rsidRPr="000F57D3">
        <w:rPr>
          <w:lang w:eastAsia="fr-FR"/>
        </w:rPr>
        <w:tab/>
      </w:r>
      <w:r w:rsidR="000F57D3" w:rsidRPr="000F57D3">
        <w:rPr>
          <w:lang w:eastAsia="fr-FR"/>
        </w:rPr>
        <w:t xml:space="preserve">Please provide information on the number of cases presented to the Police Complaints Authority and the results of those investigations. </w:t>
      </w:r>
    </w:p>
    <w:p w:rsidR="000F57D3" w:rsidRPr="000F57D3" w:rsidRDefault="00CD36FD" w:rsidP="00192ACD">
      <w:pPr>
        <w:pStyle w:val="SingleTxtG"/>
        <w:rPr>
          <w:lang w:eastAsia="fr-FR"/>
        </w:rPr>
      </w:pPr>
      <w:r w:rsidRPr="000F57D3">
        <w:rPr>
          <w:lang w:eastAsia="fr-FR"/>
        </w:rPr>
        <w:t>5</w:t>
      </w:r>
      <w:r w:rsidR="00A9222A">
        <w:rPr>
          <w:lang w:eastAsia="fr-FR"/>
        </w:rPr>
        <w:t>4</w:t>
      </w:r>
      <w:r w:rsidRPr="000F57D3">
        <w:rPr>
          <w:lang w:eastAsia="fr-FR"/>
        </w:rPr>
        <w:t>.</w:t>
      </w:r>
      <w:r w:rsidRPr="000F57D3">
        <w:rPr>
          <w:lang w:eastAsia="fr-FR"/>
        </w:rPr>
        <w:tab/>
      </w:r>
      <w:r w:rsidR="000F57D3" w:rsidRPr="000F57D3">
        <w:rPr>
          <w:lang w:eastAsia="fr-FR"/>
        </w:rPr>
        <w:t>Please indicate how many times since the last concluding observations was the right to access a lawyer delayed</w:t>
      </w:r>
      <w:r w:rsidR="000F57D3" w:rsidRPr="000F57D3">
        <w:rPr>
          <w:vertAlign w:val="superscript"/>
          <w:lang w:eastAsia="fr-FR"/>
        </w:rPr>
        <w:footnoteReference w:id="48"/>
      </w:r>
      <w:r w:rsidR="000F57D3" w:rsidRPr="000F57D3">
        <w:rPr>
          <w:lang w:eastAsia="fr-FR"/>
        </w:rPr>
        <w:t xml:space="preserve"> and explain if Bermuda intends to amend its legislation so as to bring it in line with international standards.</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British Virgin Islands</w:t>
        </w:r>
      </w:smartTag>
    </w:p>
    <w:p w:rsidR="000F57D3" w:rsidRPr="000F57D3" w:rsidRDefault="00CD36FD" w:rsidP="00192ACD">
      <w:pPr>
        <w:pStyle w:val="SingleTxtG"/>
        <w:rPr>
          <w:lang w:eastAsia="fr-FR"/>
        </w:rPr>
      </w:pPr>
      <w:r w:rsidRPr="000F57D3">
        <w:rPr>
          <w:lang w:eastAsia="fr-FR"/>
        </w:rPr>
        <w:t>5</w:t>
      </w:r>
      <w:r w:rsidR="00A9222A">
        <w:rPr>
          <w:lang w:eastAsia="fr-FR"/>
        </w:rPr>
        <w:t>5</w:t>
      </w:r>
      <w:r w:rsidRPr="000F57D3">
        <w:rPr>
          <w:lang w:eastAsia="fr-FR"/>
        </w:rPr>
        <w:t>.</w:t>
      </w:r>
      <w:r w:rsidRPr="000F57D3">
        <w:rPr>
          <w:lang w:eastAsia="fr-FR"/>
        </w:rPr>
        <w:tab/>
      </w:r>
      <w:r w:rsidR="000F57D3" w:rsidRPr="000F57D3">
        <w:rPr>
          <w:lang w:eastAsia="fr-FR"/>
        </w:rPr>
        <w:t>Please, provide updated information on the review of the 1999 Prison Rules</w:t>
      </w:r>
      <w:r w:rsidR="002A7EFE">
        <w:rPr>
          <w:lang w:eastAsia="fr-FR"/>
        </w:rPr>
        <w:t>.</w:t>
      </w:r>
      <w:r w:rsidR="000F57D3" w:rsidRPr="000F57D3">
        <w:rPr>
          <w:vertAlign w:val="superscript"/>
          <w:lang w:eastAsia="fr-FR"/>
        </w:rPr>
        <w:footnoteReference w:id="49"/>
      </w:r>
    </w:p>
    <w:p w:rsidR="000F57D3" w:rsidRPr="000F57D3" w:rsidRDefault="00CD36FD" w:rsidP="00192ACD">
      <w:pPr>
        <w:pStyle w:val="SingleTxtG"/>
        <w:rPr>
          <w:lang w:eastAsia="fr-FR"/>
        </w:rPr>
      </w:pPr>
      <w:r w:rsidRPr="000F57D3">
        <w:rPr>
          <w:lang w:eastAsia="fr-FR"/>
        </w:rPr>
        <w:t>5</w:t>
      </w:r>
      <w:r w:rsidR="00A9222A">
        <w:rPr>
          <w:lang w:eastAsia="fr-FR"/>
        </w:rPr>
        <w:t>6</w:t>
      </w:r>
      <w:r w:rsidRPr="000F57D3">
        <w:rPr>
          <w:lang w:eastAsia="fr-FR"/>
        </w:rPr>
        <w:t>.</w:t>
      </w:r>
      <w:r w:rsidRPr="000F57D3">
        <w:rPr>
          <w:lang w:eastAsia="fr-FR"/>
        </w:rPr>
        <w:tab/>
      </w:r>
      <w:r w:rsidR="000F57D3" w:rsidRPr="000F57D3">
        <w:rPr>
          <w:lang w:eastAsia="fr-FR"/>
        </w:rPr>
        <w:t>Please provide updated information on the construction of the immigration detention facility</w:t>
      </w:r>
      <w:r w:rsidR="000F57D3" w:rsidRPr="000F57D3">
        <w:rPr>
          <w:vertAlign w:val="superscript"/>
          <w:lang w:eastAsia="fr-FR"/>
        </w:rPr>
        <w:footnoteReference w:id="50"/>
      </w:r>
      <w:r w:rsidR="000F57D3" w:rsidRPr="000F57D3">
        <w:rPr>
          <w:lang w:eastAsia="fr-FR"/>
        </w:rPr>
        <w:t>.</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Montserrat</w:t>
        </w:r>
      </w:smartTag>
    </w:p>
    <w:p w:rsidR="000F57D3" w:rsidRPr="000F57D3" w:rsidRDefault="00CD36FD" w:rsidP="00192ACD">
      <w:pPr>
        <w:pStyle w:val="SingleTxtG"/>
        <w:rPr>
          <w:lang w:eastAsia="en-GB"/>
        </w:rPr>
      </w:pPr>
      <w:r w:rsidRPr="000F57D3">
        <w:rPr>
          <w:lang w:eastAsia="en-GB"/>
        </w:rPr>
        <w:t>5</w:t>
      </w:r>
      <w:r w:rsidR="00A9222A">
        <w:rPr>
          <w:lang w:eastAsia="en-GB"/>
        </w:rPr>
        <w:t>7</w:t>
      </w:r>
      <w:r w:rsidRPr="000F57D3">
        <w:rPr>
          <w:lang w:eastAsia="en-GB"/>
        </w:rPr>
        <w:t>.</w:t>
      </w:r>
      <w:r w:rsidRPr="000F57D3">
        <w:rPr>
          <w:lang w:eastAsia="en-GB"/>
        </w:rPr>
        <w:tab/>
      </w:r>
      <w:r w:rsidR="000F57D3" w:rsidRPr="000F57D3">
        <w:rPr>
          <w:lang w:eastAsia="en-GB"/>
        </w:rPr>
        <w:t xml:space="preserve"> Please provide updated information on the construction of a permanent prison on </w:t>
      </w:r>
      <w:smartTag w:uri="urn:schemas-microsoft-com:office:smarttags" w:element="place">
        <w:r w:rsidR="000F57D3" w:rsidRPr="000F57D3">
          <w:rPr>
            <w:lang w:eastAsia="en-GB"/>
          </w:rPr>
          <w:t>Montserrat</w:t>
        </w:r>
      </w:smartTag>
      <w:r w:rsidR="000F57D3" w:rsidRPr="000F57D3">
        <w:rPr>
          <w:lang w:eastAsia="en-GB"/>
        </w:rPr>
        <w:t xml:space="preserve"> so that all prisoners can serve their sentences on the island and maintain their family ties</w:t>
      </w:r>
      <w:r w:rsidR="003929DA">
        <w:rPr>
          <w:lang w:eastAsia="en-GB"/>
        </w:rPr>
        <w:t>.</w:t>
      </w:r>
      <w:r w:rsidR="000F57D3" w:rsidRPr="000F57D3">
        <w:rPr>
          <w:vertAlign w:val="superscript"/>
          <w:lang w:eastAsia="en-GB"/>
        </w:rPr>
        <w:footnoteReference w:id="51"/>
      </w:r>
    </w:p>
    <w:p w:rsidR="000F57D3" w:rsidRPr="000F57D3" w:rsidRDefault="00CD36FD" w:rsidP="00A545A7">
      <w:pPr>
        <w:pStyle w:val="SingleTxtG"/>
        <w:rPr>
          <w:lang w:eastAsia="fr-FR"/>
        </w:rPr>
      </w:pPr>
      <w:r w:rsidRPr="000F57D3">
        <w:rPr>
          <w:lang w:eastAsia="fr-FR"/>
        </w:rPr>
        <w:t>5</w:t>
      </w:r>
      <w:r w:rsidR="00A9222A">
        <w:rPr>
          <w:lang w:eastAsia="fr-FR"/>
        </w:rPr>
        <w:t>8</w:t>
      </w:r>
      <w:r w:rsidRPr="000F57D3">
        <w:rPr>
          <w:lang w:eastAsia="fr-FR"/>
        </w:rPr>
        <w:t>.</w:t>
      </w:r>
      <w:r w:rsidRPr="000F57D3">
        <w:rPr>
          <w:lang w:eastAsia="fr-FR"/>
        </w:rPr>
        <w:tab/>
      </w:r>
      <w:r w:rsidR="000F57D3" w:rsidRPr="000F57D3">
        <w:rPr>
          <w:lang w:eastAsia="en-GB"/>
        </w:rPr>
        <w:t xml:space="preserve">Please provide an update on the new Constitution of Montserrat envisaged in the </w:t>
      </w:r>
      <w:r w:rsidR="00A545A7">
        <w:rPr>
          <w:lang w:eastAsia="en-GB"/>
        </w:rPr>
        <w:t>fourth</w:t>
      </w:r>
      <w:r w:rsidR="00A545A7" w:rsidRPr="000F57D3">
        <w:rPr>
          <w:lang w:eastAsia="en-GB"/>
        </w:rPr>
        <w:t xml:space="preserve"> </w:t>
      </w:r>
      <w:r w:rsidR="000F57D3" w:rsidRPr="000F57D3">
        <w:rPr>
          <w:lang w:eastAsia="en-GB"/>
        </w:rPr>
        <w:t xml:space="preserve">periodic report, and on the establishment of the office of Ombudsman or Complaints Commissioner. </w:t>
      </w:r>
    </w:p>
    <w:p w:rsidR="000F57D3" w:rsidRPr="000F57D3" w:rsidRDefault="00192ACD" w:rsidP="00192ACD">
      <w:pPr>
        <w:pStyle w:val="H23G"/>
        <w:rPr>
          <w:lang w:eastAsia="fr-FR"/>
        </w:rPr>
      </w:pPr>
      <w:r>
        <w:rPr>
          <w:lang w:eastAsia="fr-FR"/>
        </w:rPr>
        <w:tab/>
      </w:r>
      <w:r>
        <w:rPr>
          <w:lang w:eastAsia="fr-FR"/>
        </w:rPr>
        <w:tab/>
      </w:r>
      <w:smartTag w:uri="urn:schemas-microsoft-com:office:smarttags" w:element="place">
        <w:r w:rsidR="000F57D3" w:rsidRPr="000F57D3">
          <w:rPr>
            <w:lang w:eastAsia="fr-FR"/>
          </w:rPr>
          <w:t>Turks and Caicos Islands</w:t>
        </w:r>
      </w:smartTag>
    </w:p>
    <w:p w:rsidR="000F57D3" w:rsidRPr="000F57D3" w:rsidRDefault="00CD36FD" w:rsidP="00192ACD">
      <w:pPr>
        <w:pStyle w:val="SingleTxtG"/>
        <w:rPr>
          <w:lang w:eastAsia="fr-FR"/>
        </w:rPr>
      </w:pPr>
      <w:r w:rsidRPr="000F57D3">
        <w:rPr>
          <w:lang w:eastAsia="fr-FR"/>
        </w:rPr>
        <w:t>5</w:t>
      </w:r>
      <w:r w:rsidR="00A9222A">
        <w:rPr>
          <w:lang w:eastAsia="fr-FR"/>
        </w:rPr>
        <w:t>9</w:t>
      </w:r>
      <w:r w:rsidRPr="000F57D3">
        <w:rPr>
          <w:lang w:eastAsia="fr-FR"/>
        </w:rPr>
        <w:t>.</w:t>
      </w:r>
      <w:r w:rsidRPr="000F57D3">
        <w:rPr>
          <w:lang w:eastAsia="fr-FR"/>
        </w:rPr>
        <w:tab/>
      </w:r>
      <w:r w:rsidR="000F57D3" w:rsidRPr="000F57D3">
        <w:rPr>
          <w:lang w:eastAsia="fr-FR"/>
        </w:rPr>
        <w:t>Please provide the Committee with the State party</w:t>
      </w:r>
      <w:r w:rsidR="00A545A7">
        <w:rPr>
          <w:lang w:eastAsia="fr-FR"/>
        </w:rPr>
        <w:t>’s</w:t>
      </w:r>
      <w:r w:rsidR="000F57D3" w:rsidRPr="000F57D3">
        <w:rPr>
          <w:lang w:eastAsia="fr-FR"/>
        </w:rPr>
        <w:t xml:space="preserve"> report from Turks and Caicos</w:t>
      </w:r>
      <w:r w:rsidR="003929DA">
        <w:rPr>
          <w:lang w:eastAsia="fr-FR"/>
        </w:rPr>
        <w:t>.</w:t>
      </w:r>
      <w:r w:rsidR="000F57D3" w:rsidRPr="000F57D3">
        <w:rPr>
          <w:vertAlign w:val="superscript"/>
          <w:lang w:eastAsia="fr-FR"/>
        </w:rPr>
        <w:footnoteReference w:id="52"/>
      </w:r>
    </w:p>
    <w:p w:rsidR="000F57D3" w:rsidRPr="000F57D3" w:rsidRDefault="000F57D3" w:rsidP="000F57D3">
      <w:pPr>
        <w:spacing w:before="240"/>
        <w:ind w:left="1134" w:right="1134"/>
        <w:jc w:val="center"/>
        <w:rPr>
          <w:i/>
          <w:sz w:val="22"/>
          <w:szCs w:val="22"/>
          <w:u w:val="single"/>
          <w:lang w:eastAsia="fr-FR"/>
        </w:rPr>
      </w:pPr>
      <w:r>
        <w:rPr>
          <w:i/>
          <w:sz w:val="22"/>
          <w:szCs w:val="22"/>
          <w:u w:val="single"/>
          <w:lang w:eastAsia="fr-FR"/>
        </w:rPr>
        <w:tab/>
      </w:r>
      <w:r>
        <w:rPr>
          <w:i/>
          <w:sz w:val="22"/>
          <w:szCs w:val="22"/>
          <w:u w:val="single"/>
          <w:lang w:eastAsia="fr-FR"/>
        </w:rPr>
        <w:tab/>
      </w:r>
      <w:r>
        <w:rPr>
          <w:i/>
          <w:sz w:val="22"/>
          <w:szCs w:val="22"/>
          <w:u w:val="single"/>
          <w:lang w:eastAsia="fr-FR"/>
        </w:rPr>
        <w:tab/>
      </w:r>
    </w:p>
    <w:sectPr w:rsidR="000F57D3" w:rsidRPr="000F57D3" w:rsidSect="00192A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97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A9" w:rsidRDefault="00300DA9"/>
  </w:endnote>
  <w:endnote w:type="continuationSeparator" w:id="0">
    <w:p w:rsidR="00300DA9" w:rsidRDefault="00300DA9"/>
  </w:endnote>
  <w:endnote w:type="continuationNotice" w:id="1">
    <w:p w:rsidR="00300DA9" w:rsidRDefault="00300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3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1" w:rsidRPr="00FD615B" w:rsidRDefault="007F7DF1"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92637C">
      <w:rPr>
        <w:b/>
        <w:noProof/>
        <w:sz w:val="18"/>
      </w:rPr>
      <w:t>8</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1" w:rsidRPr="00FD615B" w:rsidRDefault="007F7DF1"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92637C">
      <w:rPr>
        <w:b/>
        <w:noProof/>
        <w:sz w:val="18"/>
      </w:rPr>
      <w:t>9</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1" w:rsidRPr="00FD615B" w:rsidRDefault="007F7DF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A66365">
      <w:t>GE.13</w:t>
    </w:r>
    <w:r>
      <w:t>-</w:t>
    </w:r>
    <w:r w:rsidR="0092637C">
      <w:t>40317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A9" w:rsidRPr="000B175B" w:rsidRDefault="00300DA9" w:rsidP="000B175B">
      <w:pPr>
        <w:tabs>
          <w:tab w:val="right" w:pos="2155"/>
        </w:tabs>
        <w:spacing w:after="80"/>
        <w:ind w:left="680"/>
        <w:rPr>
          <w:u w:val="single"/>
        </w:rPr>
      </w:pPr>
      <w:r>
        <w:rPr>
          <w:u w:val="single"/>
        </w:rPr>
        <w:tab/>
      </w:r>
    </w:p>
  </w:footnote>
  <w:footnote w:type="continuationSeparator" w:id="0">
    <w:p w:rsidR="00300DA9" w:rsidRPr="00FC68B7" w:rsidRDefault="00300DA9" w:rsidP="00FC68B7">
      <w:pPr>
        <w:tabs>
          <w:tab w:val="left" w:pos="2155"/>
        </w:tabs>
        <w:spacing w:after="80"/>
        <w:ind w:left="680"/>
        <w:rPr>
          <w:u w:val="single"/>
        </w:rPr>
      </w:pPr>
      <w:r>
        <w:rPr>
          <w:u w:val="single"/>
        </w:rPr>
        <w:tab/>
      </w:r>
    </w:p>
  </w:footnote>
  <w:footnote w:type="continuationNotice" w:id="1">
    <w:p w:rsidR="00300DA9" w:rsidRDefault="00300DA9"/>
  </w:footnote>
  <w:footnote w:id="2">
    <w:p w:rsidR="007F7DF1" w:rsidRPr="00977520" w:rsidRDefault="007F7DF1" w:rsidP="00A66446">
      <w:pPr>
        <w:pStyle w:val="FootnoteText"/>
        <w:rPr>
          <w:szCs w:val="18"/>
        </w:rPr>
      </w:pPr>
      <w:r>
        <w:tab/>
      </w:r>
      <w:r w:rsidRPr="00977520">
        <w:rPr>
          <w:rStyle w:val="FootnoteReference"/>
        </w:rPr>
        <w:footnoteRef/>
      </w:r>
      <w:r>
        <w:tab/>
      </w:r>
      <w:r w:rsidRPr="00977520">
        <w:rPr>
          <w:szCs w:val="18"/>
        </w:rPr>
        <w:t>The issues raised under article 2 could also involve other articles of the Convention, including but not limited to</w:t>
      </w:r>
      <w:r>
        <w:rPr>
          <w:szCs w:val="18"/>
        </w:rPr>
        <w:t xml:space="preserve"> </w:t>
      </w:r>
      <w:r w:rsidRPr="00977520">
        <w:rPr>
          <w:szCs w:val="18"/>
        </w:rPr>
        <w:t xml:space="preserve">article 16. </w:t>
      </w:r>
      <w:r>
        <w:rPr>
          <w:szCs w:val="18"/>
        </w:rPr>
        <w:t>As</w:t>
      </w:r>
      <w:r w:rsidR="00A66446">
        <w:rPr>
          <w:szCs w:val="18"/>
        </w:rPr>
        <w:t xml:space="preserve"> stated in paragraph 3 of</w:t>
      </w:r>
      <w:r>
        <w:rPr>
          <w:szCs w:val="18"/>
        </w:rPr>
        <w:t xml:space="preserve"> g</w:t>
      </w:r>
      <w:r w:rsidRPr="00977520">
        <w:rPr>
          <w:szCs w:val="18"/>
        </w:rPr>
        <w:t>eneral comment No. 2(2007)</w:t>
      </w:r>
      <w:r>
        <w:rPr>
          <w:szCs w:val="18"/>
        </w:rPr>
        <w:t xml:space="preserve"> </w:t>
      </w:r>
      <w:r w:rsidRPr="00977520">
        <w:rPr>
          <w:szCs w:val="18"/>
        </w:rPr>
        <w:t xml:space="preserve">on </w:t>
      </w:r>
      <w:r w:rsidR="00A66446">
        <w:rPr>
          <w:szCs w:val="18"/>
        </w:rPr>
        <w:t xml:space="preserve">the </w:t>
      </w:r>
      <w:r w:rsidRPr="00977520">
        <w:rPr>
          <w:szCs w:val="18"/>
        </w:rPr>
        <w:t>implementation of article 2 by States parties: “</w:t>
      </w:r>
      <w:r>
        <w:rPr>
          <w:szCs w:val="18"/>
        </w:rPr>
        <w:t>T</w:t>
      </w:r>
      <w:r w:rsidRPr="00977520">
        <w:rPr>
          <w:szCs w:val="18"/>
        </w:rPr>
        <w:t xml:space="preserve">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 </w:t>
      </w:r>
      <w:r w:rsidRPr="003929DA">
        <w:rPr>
          <w:szCs w:val="18"/>
          <w:lang w:val="en-US"/>
        </w:rPr>
        <w:t>See</w:t>
      </w:r>
      <w:r w:rsidRPr="00977520">
        <w:rPr>
          <w:szCs w:val="18"/>
        </w:rPr>
        <w:t xml:space="preserve"> further chap</w:t>
      </w:r>
      <w:r>
        <w:rPr>
          <w:szCs w:val="18"/>
        </w:rPr>
        <w:t>ter</w:t>
      </w:r>
      <w:r w:rsidRPr="00977520">
        <w:rPr>
          <w:szCs w:val="18"/>
        </w:rPr>
        <w:t xml:space="preserve"> V of the same general comment.</w:t>
      </w:r>
      <w:r>
        <w:rPr>
          <w:szCs w:val="18"/>
        </w:rPr>
        <w:t xml:space="preserve"> </w:t>
      </w:r>
    </w:p>
  </w:footnote>
  <w:footnote w:id="3">
    <w:p w:rsidR="007F7DF1" w:rsidRPr="00977520" w:rsidRDefault="007F7DF1" w:rsidP="0052302F">
      <w:pPr>
        <w:pStyle w:val="FootnoteText"/>
        <w:rPr>
          <w:szCs w:val="18"/>
        </w:rPr>
      </w:pPr>
      <w:r>
        <w:rPr>
          <w:szCs w:val="18"/>
        </w:rPr>
        <w:tab/>
      </w:r>
      <w:r w:rsidRPr="00977520">
        <w:rPr>
          <w:rStyle w:val="FootnoteReference"/>
          <w:szCs w:val="18"/>
        </w:rPr>
        <w:footnoteRef/>
      </w:r>
      <w:r>
        <w:rPr>
          <w:szCs w:val="18"/>
        </w:rPr>
        <w:tab/>
      </w:r>
      <w:r w:rsidRPr="00977520">
        <w:rPr>
          <w:szCs w:val="18"/>
        </w:rPr>
        <w:t>CAT/C/G</w:t>
      </w:r>
      <w:r>
        <w:rPr>
          <w:szCs w:val="18"/>
        </w:rPr>
        <w:t>BR</w:t>
      </w:r>
      <w:r w:rsidRPr="00977520">
        <w:rPr>
          <w:szCs w:val="18"/>
        </w:rPr>
        <w:t>/5, para. 210.</w:t>
      </w:r>
    </w:p>
  </w:footnote>
  <w:footnote w:id="4">
    <w:p w:rsidR="007F7DF1" w:rsidRPr="00977520" w:rsidRDefault="007F7DF1" w:rsidP="005B1A1A">
      <w:pPr>
        <w:pStyle w:val="FootnoteText"/>
        <w:rPr>
          <w:szCs w:val="18"/>
          <w:lang w:val="en-US"/>
        </w:rPr>
      </w:pPr>
      <w:r>
        <w:rPr>
          <w:szCs w:val="18"/>
        </w:rPr>
        <w:tab/>
      </w:r>
      <w:r w:rsidRPr="00977520">
        <w:rPr>
          <w:rStyle w:val="FootnoteReference"/>
          <w:szCs w:val="18"/>
        </w:rPr>
        <w:footnoteRef/>
      </w:r>
      <w:r w:rsidRPr="00977520">
        <w:rPr>
          <w:szCs w:val="18"/>
        </w:rPr>
        <w:t xml:space="preserve"> </w:t>
      </w:r>
      <w:r>
        <w:rPr>
          <w:szCs w:val="18"/>
        </w:rPr>
        <w:tab/>
      </w:r>
      <w:r>
        <w:rPr>
          <w:szCs w:val="18"/>
          <w:lang w:val="en-US"/>
        </w:rPr>
        <w:t>Ibid., para. 29</w:t>
      </w:r>
      <w:r w:rsidRPr="00977520">
        <w:rPr>
          <w:szCs w:val="18"/>
          <w:lang w:val="en-US"/>
        </w:rPr>
        <w:t>.</w:t>
      </w:r>
    </w:p>
  </w:footnote>
  <w:footnote w:id="5">
    <w:p w:rsidR="007F7DF1" w:rsidRPr="00977520" w:rsidRDefault="007F7DF1" w:rsidP="000F57D3">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bookmarkStart w:id="0" w:name="OLE_LINK1"/>
      <w:bookmarkStart w:id="1" w:name="OLE_LINK2"/>
      <w:r w:rsidRPr="00977520">
        <w:rPr>
          <w:szCs w:val="18"/>
        </w:rPr>
        <w:t>CAT/C/GC/2.</w:t>
      </w:r>
      <w:bookmarkEnd w:id="0"/>
      <w:bookmarkEnd w:id="1"/>
    </w:p>
  </w:footnote>
  <w:footnote w:id="6">
    <w:p w:rsidR="007F7DF1" w:rsidRPr="00977520" w:rsidRDefault="007F7DF1" w:rsidP="00E23936">
      <w:pPr>
        <w:tabs>
          <w:tab w:val="left" w:pos="1000"/>
        </w:tabs>
        <w:autoSpaceDE w:val="0"/>
        <w:autoSpaceDN w:val="0"/>
        <w:adjustRightInd w:val="0"/>
        <w:rPr>
          <w:sz w:val="18"/>
          <w:szCs w:val="18"/>
        </w:rPr>
      </w:pPr>
      <w:r>
        <w:rPr>
          <w:sz w:val="18"/>
          <w:szCs w:val="18"/>
        </w:rPr>
        <w:tab/>
      </w:r>
      <w:r w:rsidRPr="00977520">
        <w:rPr>
          <w:rStyle w:val="FootnoteReference"/>
          <w:szCs w:val="18"/>
        </w:rPr>
        <w:footnoteRef/>
      </w:r>
      <w:r w:rsidRPr="00977520">
        <w:rPr>
          <w:sz w:val="18"/>
          <w:szCs w:val="18"/>
        </w:rPr>
        <w:t xml:space="preserve"> </w:t>
      </w:r>
      <w:r>
        <w:rPr>
          <w:sz w:val="18"/>
          <w:szCs w:val="18"/>
        </w:rPr>
        <w:t>See in particular CAT/C/GC/2, paragraphs 15 and 16.</w:t>
      </w:r>
      <w:r w:rsidRPr="00977520">
        <w:rPr>
          <w:sz w:val="18"/>
          <w:szCs w:val="18"/>
        </w:rPr>
        <w:t xml:space="preserve"> </w:t>
      </w:r>
    </w:p>
  </w:footnote>
  <w:footnote w:id="7">
    <w:p w:rsidR="007F7DF1" w:rsidRPr="00977520" w:rsidRDefault="007F7DF1" w:rsidP="000F57D3">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t xml:space="preserve">The Foreign and Common wealth Office’s </w:t>
      </w:r>
      <w:r w:rsidRPr="00CE7218">
        <w:rPr>
          <w:i/>
          <w:szCs w:val="18"/>
        </w:rPr>
        <w:t xml:space="preserve">Business and Human Rights Toolkit: How </w:t>
      </w:r>
      <w:smartTag w:uri="urn:schemas-microsoft-com:office:smarttags" w:element="country-region">
        <w:r w:rsidRPr="00CE7218">
          <w:rPr>
            <w:i/>
            <w:szCs w:val="18"/>
          </w:rPr>
          <w:t>UK</w:t>
        </w:r>
      </w:smartTag>
      <w:r w:rsidRPr="00CE7218">
        <w:rPr>
          <w:i/>
          <w:szCs w:val="18"/>
        </w:rPr>
        <w:t xml:space="preserve"> overseas missions can promote good conduct by </w:t>
      </w:r>
      <w:smartTag w:uri="urn:schemas-microsoft-com:office:smarttags" w:element="place">
        <w:smartTag w:uri="urn:schemas-microsoft-com:office:smarttags" w:element="country-region">
          <w:r w:rsidRPr="00CE7218">
            <w:rPr>
              <w:i/>
              <w:szCs w:val="18"/>
            </w:rPr>
            <w:t>UK</w:t>
          </w:r>
        </w:smartTag>
      </w:smartTag>
      <w:r w:rsidRPr="00CE7218">
        <w:rPr>
          <w:i/>
          <w:szCs w:val="18"/>
        </w:rPr>
        <w:t xml:space="preserve"> companies”</w:t>
      </w:r>
      <w:r w:rsidRPr="00C44135">
        <w:rPr>
          <w:szCs w:val="18"/>
        </w:rPr>
        <w:t>, October 2009, p</w:t>
      </w:r>
      <w:r>
        <w:rPr>
          <w:szCs w:val="18"/>
        </w:rPr>
        <w:t>.</w:t>
      </w:r>
      <w:r w:rsidRPr="00C44135">
        <w:rPr>
          <w:szCs w:val="18"/>
        </w:rPr>
        <w:t xml:space="preserve"> 4.</w:t>
      </w:r>
    </w:p>
  </w:footnote>
  <w:footnote w:id="8">
    <w:p w:rsidR="007F7DF1" w:rsidRPr="00A545A7" w:rsidRDefault="007F7DF1" w:rsidP="000F57D3">
      <w:pPr>
        <w:pStyle w:val="FootnoteText"/>
        <w:rPr>
          <w:szCs w:val="18"/>
          <w:lang w:val="es-ES_tradnl"/>
        </w:rPr>
      </w:pPr>
      <w:r>
        <w:rPr>
          <w:szCs w:val="18"/>
        </w:rPr>
        <w:tab/>
      </w:r>
      <w:r w:rsidRPr="00977520">
        <w:rPr>
          <w:rStyle w:val="FootnoteReference"/>
          <w:szCs w:val="18"/>
        </w:rPr>
        <w:footnoteRef/>
      </w:r>
      <w:r w:rsidRPr="00A545A7">
        <w:rPr>
          <w:szCs w:val="18"/>
          <w:lang w:val="es-ES_tradnl"/>
        </w:rPr>
        <w:t xml:space="preserve"> </w:t>
      </w:r>
      <w:r w:rsidRPr="00A545A7">
        <w:rPr>
          <w:szCs w:val="18"/>
          <w:lang w:val="es-ES_tradnl"/>
        </w:rPr>
        <w:tab/>
        <w:t>CAT/C/GBR/5, para. 28.</w:t>
      </w:r>
    </w:p>
  </w:footnote>
  <w:footnote w:id="9">
    <w:p w:rsidR="007F7DF1" w:rsidRPr="00A545A7" w:rsidRDefault="007F7DF1" w:rsidP="00A545A7">
      <w:pPr>
        <w:pStyle w:val="FootnoteText"/>
        <w:rPr>
          <w:szCs w:val="18"/>
          <w:lang w:val="es-ES_tradnl"/>
        </w:rPr>
      </w:pPr>
      <w:r w:rsidRPr="00A545A7">
        <w:rPr>
          <w:szCs w:val="18"/>
          <w:lang w:val="es-ES_tradnl"/>
        </w:rPr>
        <w:tab/>
      </w:r>
      <w:r w:rsidRPr="00977520">
        <w:rPr>
          <w:rStyle w:val="FootnoteReference"/>
          <w:szCs w:val="18"/>
        </w:rPr>
        <w:footnoteRef/>
      </w:r>
      <w:r w:rsidRPr="00A545A7">
        <w:rPr>
          <w:szCs w:val="18"/>
          <w:lang w:val="es-ES_tradnl"/>
        </w:rPr>
        <w:t xml:space="preserve"> </w:t>
      </w:r>
      <w:r w:rsidRPr="00A545A7">
        <w:rPr>
          <w:szCs w:val="18"/>
          <w:lang w:val="es-ES_tradnl"/>
        </w:rPr>
        <w:tab/>
        <w:t>Ibid., para. 281.</w:t>
      </w:r>
    </w:p>
  </w:footnote>
  <w:footnote w:id="10">
    <w:p w:rsidR="007F7DF1" w:rsidRPr="00977520" w:rsidRDefault="007F7DF1" w:rsidP="00A545A7">
      <w:pPr>
        <w:pStyle w:val="FootnoteText"/>
        <w:rPr>
          <w:szCs w:val="18"/>
        </w:rPr>
      </w:pPr>
      <w:r w:rsidRPr="00A545A7">
        <w:rPr>
          <w:szCs w:val="18"/>
          <w:lang w:val="es-ES_tradnl"/>
        </w:rPr>
        <w:tab/>
      </w:r>
      <w:r w:rsidRPr="00977520">
        <w:rPr>
          <w:rStyle w:val="FootnoteReference"/>
          <w:szCs w:val="18"/>
        </w:rPr>
        <w:footnoteRef/>
      </w:r>
      <w:r w:rsidRPr="00977520">
        <w:rPr>
          <w:szCs w:val="18"/>
        </w:rPr>
        <w:t xml:space="preserve"> </w:t>
      </w:r>
      <w:r>
        <w:rPr>
          <w:szCs w:val="18"/>
        </w:rPr>
        <w:tab/>
        <w:t>Ibid., para. 162.</w:t>
      </w:r>
      <w:r w:rsidRPr="00977520">
        <w:rPr>
          <w:szCs w:val="18"/>
        </w:rPr>
        <w:t xml:space="preserve"> </w:t>
      </w:r>
    </w:p>
  </w:footnote>
  <w:footnote w:id="11">
    <w:p w:rsidR="007F7DF1" w:rsidRPr="00AB7A54" w:rsidRDefault="007F7DF1" w:rsidP="0001115B">
      <w:pPr>
        <w:pStyle w:val="FootnoteText"/>
      </w:pPr>
      <w:r>
        <w:tab/>
      </w:r>
      <w:r>
        <w:rPr>
          <w:rStyle w:val="FootnoteReference"/>
        </w:rPr>
        <w:footnoteRef/>
      </w:r>
      <w:r>
        <w:t xml:space="preserve"> </w:t>
      </w:r>
      <w:r>
        <w:tab/>
      </w:r>
      <w:r w:rsidRPr="00977520">
        <w:rPr>
          <w:szCs w:val="18"/>
        </w:rPr>
        <w:t>CAT/C/CR/33/3, para. 5(i).</w:t>
      </w:r>
    </w:p>
  </w:footnote>
  <w:footnote w:id="12">
    <w:p w:rsidR="007F7DF1" w:rsidRPr="00977520" w:rsidRDefault="007F7DF1" w:rsidP="00195875">
      <w:pPr>
        <w:pStyle w:val="FootnoteText"/>
        <w:rPr>
          <w:szCs w:val="18"/>
          <w:lang w:val="en-US"/>
        </w:rPr>
      </w:pPr>
      <w:r>
        <w:rPr>
          <w:szCs w:val="18"/>
        </w:rPr>
        <w:tab/>
      </w:r>
      <w:r w:rsidRPr="00977520">
        <w:rPr>
          <w:rStyle w:val="FootnoteReference"/>
          <w:szCs w:val="18"/>
        </w:rPr>
        <w:footnoteRef/>
      </w:r>
      <w:r w:rsidRPr="00977520">
        <w:rPr>
          <w:szCs w:val="18"/>
        </w:rPr>
        <w:t xml:space="preserve"> </w:t>
      </w:r>
      <w:r>
        <w:rPr>
          <w:szCs w:val="18"/>
        </w:rPr>
        <w:tab/>
        <w:t>Ibid.</w:t>
      </w:r>
      <w:r w:rsidRPr="00977520">
        <w:rPr>
          <w:szCs w:val="18"/>
        </w:rPr>
        <w:t xml:space="preserve"> </w:t>
      </w:r>
    </w:p>
  </w:footnote>
  <w:footnote w:id="13">
    <w:p w:rsidR="007F7DF1" w:rsidRPr="00977520" w:rsidRDefault="007F7DF1" w:rsidP="0052302F">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CAT/C/G</w:t>
      </w:r>
      <w:r>
        <w:rPr>
          <w:szCs w:val="18"/>
        </w:rPr>
        <w:t>BR</w:t>
      </w:r>
      <w:r w:rsidRPr="00977520">
        <w:rPr>
          <w:szCs w:val="18"/>
        </w:rPr>
        <w:t>/5, para</w:t>
      </w:r>
      <w:r>
        <w:rPr>
          <w:szCs w:val="18"/>
        </w:rPr>
        <w:t>s</w:t>
      </w:r>
      <w:r w:rsidRPr="00977520">
        <w:rPr>
          <w:szCs w:val="18"/>
        </w:rPr>
        <w:t xml:space="preserve">. </w:t>
      </w:r>
      <w:r>
        <w:rPr>
          <w:szCs w:val="18"/>
        </w:rPr>
        <w:t>43-60</w:t>
      </w:r>
      <w:r w:rsidRPr="00977520">
        <w:rPr>
          <w:szCs w:val="18"/>
        </w:rPr>
        <w:t>.</w:t>
      </w:r>
    </w:p>
  </w:footnote>
  <w:footnote w:id="14">
    <w:p w:rsidR="007F7DF1" w:rsidRPr="00977520" w:rsidRDefault="007F7DF1" w:rsidP="00CE7218">
      <w:pPr>
        <w:pStyle w:val="FootnoteText"/>
        <w:tabs>
          <w:tab w:val="clear" w:pos="1021"/>
        </w:tabs>
        <w:ind w:hanging="283"/>
        <w:rPr>
          <w:szCs w:val="18"/>
        </w:rPr>
      </w:pPr>
      <w:r w:rsidRPr="00977520">
        <w:rPr>
          <w:rStyle w:val="FootnoteReference"/>
          <w:szCs w:val="18"/>
        </w:rPr>
        <w:footnoteRef/>
      </w:r>
      <w:r w:rsidRPr="00977520">
        <w:rPr>
          <w:szCs w:val="18"/>
        </w:rPr>
        <w:t xml:space="preserve"> </w:t>
      </w:r>
      <w:r>
        <w:rPr>
          <w:szCs w:val="18"/>
        </w:rPr>
        <w:tab/>
      </w:r>
      <w:r w:rsidRPr="00CE7218">
        <w:rPr>
          <w:szCs w:val="18"/>
          <w:lang w:val="en-US"/>
        </w:rPr>
        <w:t xml:space="preserve">Letter from the Committee’s Rapporteur for follow-up on concluding observations to the Permanent representative of the </w:t>
      </w:r>
      <w:smartTag w:uri="urn:schemas-microsoft-com:office:smarttags" w:element="place">
        <w:smartTag w:uri="urn:schemas-microsoft-com:office:smarttags" w:element="country-region">
          <w:r w:rsidRPr="00CE7218">
            <w:rPr>
              <w:szCs w:val="18"/>
              <w:lang w:val="en-US"/>
            </w:rPr>
            <w:t>United Kingdom</w:t>
          </w:r>
        </w:smartTag>
      </w:smartTag>
      <w:r w:rsidRPr="00CE7218">
        <w:rPr>
          <w:szCs w:val="18"/>
          <w:lang w:val="en-US"/>
        </w:rPr>
        <w:t>, 29 April 2009</w:t>
      </w:r>
      <w:r>
        <w:rPr>
          <w:szCs w:val="18"/>
          <w:lang w:val="en-US"/>
        </w:rPr>
        <w:t xml:space="preserve">, </w:t>
      </w:r>
      <w:r w:rsidRPr="00977520">
        <w:rPr>
          <w:szCs w:val="18"/>
        </w:rPr>
        <w:t>para</w:t>
      </w:r>
      <w:r>
        <w:rPr>
          <w:szCs w:val="18"/>
        </w:rPr>
        <w:t>.</w:t>
      </w:r>
      <w:r w:rsidRPr="00977520">
        <w:rPr>
          <w:szCs w:val="18"/>
        </w:rPr>
        <w:t xml:space="preserve"> 5(i).</w:t>
      </w:r>
    </w:p>
  </w:footnote>
  <w:footnote w:id="15">
    <w:p w:rsidR="007F7DF1" w:rsidRPr="00977520" w:rsidRDefault="007F7DF1" w:rsidP="0052302F">
      <w:pPr>
        <w:pStyle w:val="FootnoteText"/>
        <w:rPr>
          <w:szCs w:val="18"/>
          <w:lang w:val="en-US"/>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CAT/C/G</w:t>
      </w:r>
      <w:r>
        <w:rPr>
          <w:szCs w:val="18"/>
        </w:rPr>
        <w:t>BR</w:t>
      </w:r>
      <w:r w:rsidRPr="00977520">
        <w:rPr>
          <w:szCs w:val="18"/>
        </w:rPr>
        <w:t>/5, para. 56.</w:t>
      </w:r>
    </w:p>
  </w:footnote>
  <w:footnote w:id="16">
    <w:p w:rsidR="007F7DF1" w:rsidRPr="00977520" w:rsidRDefault="007F7DF1" w:rsidP="000F57D3">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hyperlink r:id="rId1" w:history="1">
        <w:r w:rsidRPr="00977520">
          <w:rPr>
            <w:rStyle w:val="Hyperlink"/>
            <w:szCs w:val="18"/>
          </w:rPr>
          <w:t>http://www.unhcr.org.uk/what-we-do-in-the-uk/quality-initiative-and-integration.html</w:t>
        </w:r>
      </w:hyperlink>
      <w:r>
        <w:rPr>
          <w:szCs w:val="18"/>
        </w:rPr>
        <w:t>.</w:t>
      </w:r>
    </w:p>
  </w:footnote>
  <w:footnote w:id="17">
    <w:p w:rsidR="007F7DF1" w:rsidRPr="00977520" w:rsidRDefault="007F7DF1" w:rsidP="003929DA">
      <w:pPr>
        <w:pStyle w:val="FootnoteText"/>
        <w:ind w:left="1078" w:hanging="182"/>
        <w:rPr>
          <w:szCs w:val="18"/>
        </w:rPr>
      </w:pPr>
      <w:r>
        <w:rPr>
          <w:szCs w:val="18"/>
        </w:rPr>
        <w:tab/>
      </w:r>
      <w:r w:rsidRPr="00977520">
        <w:rPr>
          <w:rStyle w:val="FootnoteReference"/>
          <w:szCs w:val="18"/>
        </w:rPr>
        <w:footnoteRef/>
      </w:r>
      <w:r>
        <w:rPr>
          <w:szCs w:val="18"/>
        </w:rPr>
        <w:t>.</w:t>
      </w:r>
      <w:hyperlink r:id="rId2" w:history="1">
        <w:r w:rsidRPr="00747382">
          <w:rPr>
            <w:rStyle w:val="Hyperlink"/>
            <w:szCs w:val="18"/>
          </w:rPr>
          <w:t>https://wcd.coe.int/ViewDoc.jsp?id=1339037&amp;Site=CommDH&amp;BackColorInternet=FEC65B&amp;BackColorIntranet=FEC65B&amp;BackColorLogged=FFC679</w:t>
        </w:r>
      </w:hyperlink>
      <w:r>
        <w:rPr>
          <w:szCs w:val="18"/>
        </w:rPr>
        <w:t>.</w:t>
      </w:r>
    </w:p>
  </w:footnote>
  <w:footnote w:id="18">
    <w:p w:rsidR="007F7DF1" w:rsidRPr="003929DA" w:rsidRDefault="007F7DF1" w:rsidP="0052302F">
      <w:pPr>
        <w:pStyle w:val="FootnoteText"/>
        <w:rPr>
          <w:szCs w:val="18"/>
          <w:lang w:val="en-US"/>
        </w:rPr>
      </w:pPr>
      <w:r>
        <w:rPr>
          <w:szCs w:val="18"/>
        </w:rPr>
        <w:tab/>
      </w:r>
      <w:r w:rsidRPr="00977520">
        <w:rPr>
          <w:rStyle w:val="FootnoteReference"/>
          <w:szCs w:val="18"/>
        </w:rPr>
        <w:footnoteRef/>
      </w:r>
      <w:r w:rsidRPr="003929DA">
        <w:rPr>
          <w:szCs w:val="18"/>
          <w:lang w:val="en-US"/>
        </w:rPr>
        <w:t xml:space="preserve"> </w:t>
      </w:r>
      <w:r w:rsidRPr="003929DA">
        <w:rPr>
          <w:szCs w:val="18"/>
          <w:lang w:val="en-US"/>
        </w:rPr>
        <w:tab/>
        <w:t>CAT/C/G</w:t>
      </w:r>
      <w:r>
        <w:rPr>
          <w:szCs w:val="18"/>
          <w:lang w:val="en-US"/>
        </w:rPr>
        <w:t>BR</w:t>
      </w:r>
      <w:r w:rsidRPr="003929DA">
        <w:rPr>
          <w:szCs w:val="18"/>
          <w:lang w:val="en-US"/>
        </w:rPr>
        <w:t>/5, paras.518-522.</w:t>
      </w:r>
    </w:p>
  </w:footnote>
  <w:footnote w:id="19">
    <w:p w:rsidR="007F7DF1" w:rsidRPr="00977520" w:rsidRDefault="007F7DF1" w:rsidP="00A545A7">
      <w:pPr>
        <w:pStyle w:val="FootnoteText"/>
        <w:rPr>
          <w:szCs w:val="18"/>
        </w:rPr>
      </w:pPr>
      <w:r w:rsidRPr="003929DA">
        <w:rPr>
          <w:szCs w:val="18"/>
          <w:lang w:val="en-US"/>
        </w:rPr>
        <w:tab/>
      </w:r>
      <w:r w:rsidRPr="00977520">
        <w:rPr>
          <w:rStyle w:val="FootnoteReference"/>
          <w:szCs w:val="18"/>
        </w:rPr>
        <w:footnoteRef/>
      </w:r>
      <w:r w:rsidRPr="003929DA">
        <w:rPr>
          <w:szCs w:val="18"/>
          <w:lang w:val="en-US"/>
        </w:rPr>
        <w:t xml:space="preserve"> </w:t>
      </w:r>
      <w:r w:rsidRPr="003929DA">
        <w:rPr>
          <w:szCs w:val="18"/>
          <w:lang w:val="en-US"/>
        </w:rPr>
        <w:tab/>
        <w:t xml:space="preserve">Ibid., para. </w:t>
      </w:r>
      <w:r w:rsidRPr="00977520">
        <w:rPr>
          <w:szCs w:val="18"/>
        </w:rPr>
        <w:t>144.</w:t>
      </w:r>
    </w:p>
  </w:footnote>
  <w:footnote w:id="20">
    <w:p w:rsidR="007F7DF1" w:rsidRPr="00AB7A54" w:rsidRDefault="007F7DF1" w:rsidP="00C44135">
      <w:pPr>
        <w:pStyle w:val="FootnoteText"/>
      </w:pPr>
      <w:r>
        <w:tab/>
      </w:r>
      <w:r>
        <w:rPr>
          <w:rStyle w:val="FootnoteReference"/>
        </w:rPr>
        <w:footnoteRef/>
      </w:r>
      <w:r>
        <w:t xml:space="preserve"> </w:t>
      </w:r>
      <w:r>
        <w:tab/>
      </w:r>
      <w:r w:rsidRPr="00CE7218">
        <w:rPr>
          <w:lang w:val="en-US"/>
        </w:rPr>
        <w:t xml:space="preserve">Letter from the Committee’s Rapporteur for follow-up on concluding observations to the Permanent representative of the </w:t>
      </w:r>
      <w:smartTag w:uri="urn:schemas-microsoft-com:office:smarttags" w:element="place">
        <w:smartTag w:uri="urn:schemas-microsoft-com:office:smarttags" w:element="country-region">
          <w:r w:rsidRPr="00CE7218">
            <w:rPr>
              <w:lang w:val="en-US"/>
            </w:rPr>
            <w:t>United Kingdom</w:t>
          </w:r>
        </w:smartTag>
      </w:smartTag>
      <w:r>
        <w:rPr>
          <w:lang w:val="en-US"/>
        </w:rPr>
        <w:t xml:space="preserve">, 29 April 2009, </w:t>
      </w:r>
      <w:r w:rsidRPr="00A11207">
        <w:t>para</w:t>
      </w:r>
      <w:r>
        <w:t>.</w:t>
      </w:r>
      <w:r w:rsidRPr="00A11207">
        <w:t xml:space="preserve"> 5(j).</w:t>
      </w:r>
    </w:p>
  </w:footnote>
  <w:footnote w:id="21">
    <w:p w:rsidR="007F7DF1" w:rsidRPr="006A6DCC" w:rsidRDefault="007F7DF1" w:rsidP="00BF41E8">
      <w:pPr>
        <w:pStyle w:val="FootnoteText"/>
        <w:tabs>
          <w:tab w:val="clear" w:pos="1021"/>
        </w:tabs>
        <w:ind w:hanging="238"/>
      </w:pPr>
      <w:r>
        <w:rPr>
          <w:rStyle w:val="FootnoteReference"/>
        </w:rPr>
        <w:footnoteRef/>
      </w:r>
      <w:r>
        <w:t xml:space="preserve"> </w:t>
      </w:r>
      <w:r>
        <w:tab/>
      </w:r>
      <w:r w:rsidRPr="006A6DCC">
        <w:t>CAT/C/GBR/5, para. 21.</w:t>
      </w:r>
    </w:p>
  </w:footnote>
  <w:footnote w:id="22">
    <w:p w:rsidR="007F7DF1" w:rsidRPr="00977520" w:rsidRDefault="007F7DF1" w:rsidP="00A545A7">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t>Ibid.</w:t>
      </w:r>
      <w:r w:rsidRPr="00977520">
        <w:rPr>
          <w:szCs w:val="18"/>
        </w:rPr>
        <w:t xml:space="preserve">, para. 496. </w:t>
      </w:r>
    </w:p>
  </w:footnote>
  <w:footnote w:id="23">
    <w:p w:rsidR="007F7DF1" w:rsidRPr="00977520" w:rsidRDefault="007F7DF1" w:rsidP="00DE05CF">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r>
      <w:hyperlink r:id="rId3" w:history="1">
        <w:r w:rsidRPr="00CE7218">
          <w:rPr>
            <w:rStyle w:val="Hyperlink"/>
            <w:szCs w:val="18"/>
          </w:rPr>
          <w:t>http://www.bahamousainquiry.org/f_report/vol%20iii/Part%20XVII/Part%20XVII.pdf</w:t>
        </w:r>
      </w:hyperlink>
      <w:r>
        <w:rPr>
          <w:szCs w:val="18"/>
        </w:rPr>
        <w:t>.</w:t>
      </w:r>
    </w:p>
  </w:footnote>
  <w:footnote w:id="24">
    <w:p w:rsidR="007F7DF1" w:rsidRPr="00977520" w:rsidRDefault="007F7DF1" w:rsidP="00A545A7">
      <w:pPr>
        <w:pStyle w:val="FootnoteText"/>
        <w:ind w:hanging="252"/>
        <w:rPr>
          <w:szCs w:val="18"/>
        </w:rPr>
      </w:pPr>
      <w:r>
        <w:rPr>
          <w:szCs w:val="18"/>
        </w:rPr>
        <w:tab/>
      </w:r>
      <w:r w:rsidRPr="00977520">
        <w:rPr>
          <w:rStyle w:val="FootnoteReference"/>
          <w:szCs w:val="18"/>
        </w:rPr>
        <w:footnoteRef/>
      </w:r>
      <w:r w:rsidRPr="00977520">
        <w:rPr>
          <w:szCs w:val="18"/>
        </w:rPr>
        <w:t xml:space="preserve"> </w:t>
      </w:r>
      <w:r w:rsidRPr="00E06263">
        <w:rPr>
          <w:szCs w:val="18"/>
        </w:rPr>
        <w:t>http://www.alsweadyinquiry.org/linkedfiles/alsweadyinquiry/hearings/190712directionshearing.pdf.</w:t>
      </w:r>
      <w:r w:rsidRPr="00977520">
        <w:rPr>
          <w:szCs w:val="18"/>
        </w:rPr>
        <w:t xml:space="preserve"> </w:t>
      </w:r>
    </w:p>
  </w:footnote>
  <w:footnote w:id="25">
    <w:p w:rsidR="007F7DF1" w:rsidRPr="00977520" w:rsidRDefault="007F7DF1" w:rsidP="0052302F">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CAT/C/G</w:t>
      </w:r>
      <w:r>
        <w:rPr>
          <w:szCs w:val="18"/>
        </w:rPr>
        <w:t>BR</w:t>
      </w:r>
      <w:r w:rsidRPr="00977520">
        <w:rPr>
          <w:szCs w:val="18"/>
        </w:rPr>
        <w:t>/5, para. 505.</w:t>
      </w:r>
    </w:p>
  </w:footnote>
  <w:footnote w:id="26">
    <w:p w:rsidR="007F7DF1" w:rsidRPr="00977520" w:rsidRDefault="007F7DF1" w:rsidP="00025795">
      <w:pPr>
        <w:pStyle w:val="FootnoteText"/>
        <w:rPr>
          <w:szCs w:val="18"/>
          <w:lang w:val="en-US"/>
        </w:rPr>
      </w:pPr>
      <w:r>
        <w:rPr>
          <w:szCs w:val="18"/>
        </w:rPr>
        <w:tab/>
      </w:r>
      <w:r w:rsidRPr="00977520">
        <w:rPr>
          <w:rStyle w:val="FootnoteReference"/>
          <w:szCs w:val="18"/>
        </w:rPr>
        <w:footnoteRef/>
      </w:r>
      <w:r w:rsidRPr="00977520">
        <w:rPr>
          <w:szCs w:val="18"/>
        </w:rPr>
        <w:t xml:space="preserve"> </w:t>
      </w:r>
      <w:r>
        <w:rPr>
          <w:szCs w:val="18"/>
        </w:rPr>
        <w:tab/>
      </w:r>
      <w:r w:rsidRPr="00977520">
        <w:rPr>
          <w:szCs w:val="18"/>
          <w:lang w:val="en-US"/>
        </w:rPr>
        <w:t xml:space="preserve">Letter </w:t>
      </w:r>
      <w:r>
        <w:rPr>
          <w:szCs w:val="18"/>
          <w:lang w:val="en-US"/>
        </w:rPr>
        <w:t>f</w:t>
      </w:r>
      <w:r w:rsidRPr="00977520">
        <w:rPr>
          <w:szCs w:val="18"/>
          <w:lang w:val="en-US"/>
        </w:rPr>
        <w:t>rom the Committee’s Rapporteur for follow-up on concluding observations</w:t>
      </w:r>
      <w:r>
        <w:rPr>
          <w:szCs w:val="18"/>
          <w:lang w:val="en-US"/>
        </w:rPr>
        <w:t xml:space="preserve"> </w:t>
      </w:r>
      <w:r w:rsidRPr="00977520">
        <w:rPr>
          <w:szCs w:val="18"/>
          <w:lang w:val="en-US"/>
        </w:rPr>
        <w:t xml:space="preserve">to the Permanent </w:t>
      </w:r>
      <w:r>
        <w:rPr>
          <w:szCs w:val="18"/>
          <w:lang w:val="en-US"/>
        </w:rPr>
        <w:t>R</w:t>
      </w:r>
      <w:r w:rsidRPr="00977520">
        <w:rPr>
          <w:szCs w:val="18"/>
          <w:lang w:val="en-US"/>
        </w:rPr>
        <w:t xml:space="preserve">epresentative of the </w:t>
      </w:r>
      <w:smartTag w:uri="urn:schemas-microsoft-com:office:smarttags" w:element="place">
        <w:smartTag w:uri="urn:schemas-microsoft-com:office:smarttags" w:element="country-region">
          <w:r w:rsidRPr="00977520">
            <w:rPr>
              <w:szCs w:val="18"/>
              <w:lang w:val="en-US"/>
            </w:rPr>
            <w:t>United Kingdom</w:t>
          </w:r>
        </w:smartTag>
      </w:smartTag>
      <w:r w:rsidRPr="00977520">
        <w:rPr>
          <w:szCs w:val="18"/>
          <w:lang w:val="en-US"/>
        </w:rPr>
        <w:t>, 29 April 2009.</w:t>
      </w:r>
    </w:p>
  </w:footnote>
  <w:footnote w:id="27">
    <w:p w:rsidR="007F7DF1" w:rsidRPr="00B12830" w:rsidRDefault="007F7DF1" w:rsidP="002A7EFE">
      <w:pPr>
        <w:pStyle w:val="FootnoteText"/>
        <w:rPr>
          <w:szCs w:val="18"/>
          <w:lang w:val="en-US"/>
        </w:rPr>
      </w:pPr>
      <w:r>
        <w:rPr>
          <w:szCs w:val="18"/>
        </w:rPr>
        <w:tab/>
      </w:r>
      <w:r w:rsidRPr="00977520">
        <w:rPr>
          <w:rStyle w:val="FootnoteReference"/>
          <w:szCs w:val="18"/>
        </w:rPr>
        <w:footnoteRef/>
      </w:r>
      <w:r w:rsidRPr="00977520">
        <w:rPr>
          <w:szCs w:val="18"/>
        </w:rPr>
        <w:t xml:space="preserve"> </w:t>
      </w:r>
      <w:r>
        <w:rPr>
          <w:szCs w:val="18"/>
        </w:rPr>
        <w:tab/>
        <w:t>Ibid.</w:t>
      </w:r>
    </w:p>
  </w:footnote>
  <w:footnote w:id="28">
    <w:p w:rsidR="007F7DF1" w:rsidRPr="00977520" w:rsidRDefault="007F7DF1" w:rsidP="0052302F">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CAT/C/G</w:t>
      </w:r>
      <w:r>
        <w:rPr>
          <w:szCs w:val="18"/>
        </w:rPr>
        <w:t>BR</w:t>
      </w:r>
      <w:r w:rsidRPr="00977520">
        <w:rPr>
          <w:szCs w:val="18"/>
        </w:rPr>
        <w:t>/5, para. 5.</w:t>
      </w:r>
    </w:p>
  </w:footnote>
  <w:footnote w:id="29">
    <w:p w:rsidR="007F7DF1" w:rsidRPr="00977520" w:rsidRDefault="007F7DF1" w:rsidP="000F57D3">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 xml:space="preserve">Response of the States of Jersey to the report of the European Committee for the Prevention of Torture and Inhuman or Degrading Treatment or Punishment (CPT) on its visit to the Bailiwick of Jersey from 15 to 18 March 2010, </w:t>
      </w:r>
      <w:hyperlink r:id="rId4" w:history="1">
        <w:r w:rsidRPr="00977520">
          <w:rPr>
            <w:rStyle w:val="Hyperlink"/>
            <w:szCs w:val="18"/>
          </w:rPr>
          <w:t>http://www.cpt.coe.int/documents/gbr/2010-36-inf-eng.pdf</w:t>
        </w:r>
      </w:hyperlink>
      <w:r w:rsidRPr="00977520">
        <w:rPr>
          <w:szCs w:val="18"/>
        </w:rPr>
        <w:t>, Page 11</w:t>
      </w:r>
      <w:r>
        <w:rPr>
          <w:szCs w:val="18"/>
        </w:rPr>
        <w:t>.</w:t>
      </w:r>
    </w:p>
  </w:footnote>
  <w:footnote w:id="30">
    <w:p w:rsidR="007F7DF1" w:rsidRPr="00977520" w:rsidRDefault="007F7DF1" w:rsidP="00A545A7">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 xml:space="preserve">Response of the United Kingdom Government to the report of the European Committee for the Prevention of Torture and Inhuman or Degrading Treatment or Punishment (CPT) following its visit to the United Kingdom from 18 November to 1 December 2008, </w:t>
      </w:r>
      <w:hyperlink r:id="rId5" w:history="1">
        <w:r w:rsidRPr="00977520">
          <w:rPr>
            <w:rStyle w:val="Hyperlink"/>
            <w:szCs w:val="18"/>
          </w:rPr>
          <w:t>http://www.cpt.coe.int/documents/gbr/2009-31-inf-eng.pdf</w:t>
        </w:r>
      </w:hyperlink>
      <w:r w:rsidRPr="00977520">
        <w:rPr>
          <w:szCs w:val="18"/>
        </w:rPr>
        <w:t xml:space="preserve">, </w:t>
      </w:r>
      <w:r>
        <w:rPr>
          <w:szCs w:val="18"/>
        </w:rPr>
        <w:t>p</w:t>
      </w:r>
      <w:r w:rsidRPr="00977520">
        <w:rPr>
          <w:szCs w:val="18"/>
        </w:rPr>
        <w:t>ara 51</w:t>
      </w:r>
      <w:r>
        <w:rPr>
          <w:szCs w:val="18"/>
        </w:rPr>
        <w:t>.</w:t>
      </w:r>
      <w:r w:rsidRPr="00977520">
        <w:rPr>
          <w:szCs w:val="18"/>
        </w:rPr>
        <w:t xml:space="preserve"> </w:t>
      </w:r>
    </w:p>
  </w:footnote>
  <w:footnote w:id="31">
    <w:p w:rsidR="007F7DF1" w:rsidRPr="00977520" w:rsidRDefault="007F7DF1" w:rsidP="002A7EFE">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I</w:t>
      </w:r>
      <w:r>
        <w:rPr>
          <w:szCs w:val="18"/>
        </w:rPr>
        <w:t>bid.,</w:t>
      </w:r>
      <w:r w:rsidRPr="00977520">
        <w:rPr>
          <w:szCs w:val="18"/>
        </w:rPr>
        <w:t xml:space="preserve"> </w:t>
      </w:r>
      <w:r>
        <w:rPr>
          <w:szCs w:val="18"/>
        </w:rPr>
        <w:t>p</w:t>
      </w:r>
      <w:r w:rsidRPr="00977520">
        <w:rPr>
          <w:szCs w:val="18"/>
        </w:rPr>
        <w:t>ara 35</w:t>
      </w:r>
      <w:r>
        <w:rPr>
          <w:szCs w:val="18"/>
        </w:rPr>
        <w:t>.</w:t>
      </w:r>
    </w:p>
  </w:footnote>
  <w:footnote w:id="32">
    <w:p w:rsidR="007F7DF1" w:rsidRPr="00CE7218" w:rsidRDefault="007F7DF1" w:rsidP="000F57D3">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t>A Report by Baroness Jean Corston of a review of women with particular vulnerabilities in the</w:t>
      </w:r>
    </w:p>
    <w:p w:rsidR="007F7DF1" w:rsidRPr="00977520" w:rsidRDefault="007F7DF1" w:rsidP="000F57D3">
      <w:pPr>
        <w:pStyle w:val="FootnoteText"/>
        <w:rPr>
          <w:szCs w:val="18"/>
        </w:rPr>
      </w:pPr>
      <w:r w:rsidRPr="00CE7218">
        <w:rPr>
          <w:szCs w:val="18"/>
        </w:rPr>
        <w:tab/>
      </w:r>
      <w:r w:rsidRPr="00CE7218">
        <w:rPr>
          <w:szCs w:val="18"/>
        </w:rPr>
        <w:tab/>
        <w:t>Criminal Justice system</w:t>
      </w:r>
      <w:r>
        <w:rPr>
          <w:szCs w:val="18"/>
        </w:rPr>
        <w:t>, March 2007,</w:t>
      </w:r>
      <w:r w:rsidRPr="00CE7218">
        <w:rPr>
          <w:szCs w:val="18"/>
        </w:rPr>
        <w:t xml:space="preserve"> </w:t>
      </w:r>
      <w:hyperlink r:id="rId6" w:history="1">
        <w:r w:rsidRPr="00CE7218">
          <w:rPr>
            <w:rStyle w:val="Hyperlink"/>
            <w:szCs w:val="18"/>
          </w:rPr>
          <w:t>http://www.justice.gov.uk/publications/docs/corston-report-march-2007.pdf</w:t>
        </w:r>
      </w:hyperlink>
      <w:r w:rsidRPr="00CE7218">
        <w:rPr>
          <w:szCs w:val="18"/>
        </w:rPr>
        <w:t>.</w:t>
      </w:r>
      <w:r w:rsidRPr="00977520">
        <w:rPr>
          <w:szCs w:val="18"/>
        </w:rPr>
        <w:t xml:space="preserve"> </w:t>
      </w:r>
    </w:p>
  </w:footnote>
  <w:footnote w:id="33">
    <w:p w:rsidR="007F7DF1" w:rsidRPr="00977520" w:rsidRDefault="007F7DF1" w:rsidP="0052302F">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r>
      <w:r w:rsidRPr="00977520">
        <w:rPr>
          <w:szCs w:val="18"/>
        </w:rPr>
        <w:t>CAT/C/G</w:t>
      </w:r>
      <w:r>
        <w:rPr>
          <w:szCs w:val="18"/>
        </w:rPr>
        <w:t>BR</w:t>
      </w:r>
      <w:r w:rsidRPr="00977520">
        <w:rPr>
          <w:szCs w:val="18"/>
        </w:rPr>
        <w:t>/5, para</w:t>
      </w:r>
      <w:r>
        <w:rPr>
          <w:szCs w:val="18"/>
        </w:rPr>
        <w:t>s</w:t>
      </w:r>
      <w:r w:rsidRPr="00977520">
        <w:rPr>
          <w:szCs w:val="18"/>
        </w:rPr>
        <w:t>. 511 and 520.</w:t>
      </w:r>
    </w:p>
  </w:footnote>
  <w:footnote w:id="34">
    <w:p w:rsidR="007F7DF1" w:rsidRPr="00977520" w:rsidRDefault="007F7DF1" w:rsidP="00A545A7">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t>Ibid.,</w:t>
      </w:r>
      <w:r w:rsidRPr="00977520">
        <w:rPr>
          <w:szCs w:val="18"/>
        </w:rPr>
        <w:t xml:space="preserve"> para. 472.</w:t>
      </w:r>
    </w:p>
  </w:footnote>
  <w:footnote w:id="35">
    <w:p w:rsidR="007F7DF1" w:rsidRPr="00CE7218" w:rsidRDefault="007F7DF1" w:rsidP="000F57D3">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t xml:space="preserve">EHRC Human Rights Review 2012, </w:t>
      </w:r>
      <w:hyperlink r:id="rId7" w:history="1">
        <w:r w:rsidRPr="00CE7218">
          <w:rPr>
            <w:rStyle w:val="Hyperlink"/>
            <w:szCs w:val="18"/>
          </w:rPr>
          <w:t>http://www.equalityhumanrights.com/human-rights/our-human-rights-work/human-rights-review/the-review/</w:t>
        </w:r>
      </w:hyperlink>
      <w:r w:rsidRPr="00CE7218">
        <w:rPr>
          <w:szCs w:val="18"/>
        </w:rPr>
        <w:t xml:space="preserve">. </w:t>
      </w:r>
    </w:p>
  </w:footnote>
  <w:footnote w:id="36">
    <w:p w:rsidR="007F7DF1" w:rsidRPr="00977520" w:rsidRDefault="007F7DF1" w:rsidP="000F57D3">
      <w:pPr>
        <w:pStyle w:val="FootnoteText"/>
        <w:rPr>
          <w:szCs w:val="18"/>
          <w:lang w:val="sv-SE"/>
        </w:rPr>
      </w:pPr>
      <w:r w:rsidRPr="00CE7218">
        <w:rPr>
          <w:szCs w:val="18"/>
        </w:rPr>
        <w:tab/>
      </w:r>
      <w:r w:rsidRPr="00CE7218">
        <w:rPr>
          <w:rStyle w:val="FootnoteReference"/>
          <w:szCs w:val="18"/>
        </w:rPr>
        <w:footnoteRef/>
      </w:r>
      <w:r w:rsidRPr="00CE7218">
        <w:rPr>
          <w:szCs w:val="18"/>
        </w:rPr>
        <w:t xml:space="preserve"> </w:t>
      </w:r>
      <w:r w:rsidRPr="00CE7218">
        <w:rPr>
          <w:szCs w:val="18"/>
        </w:rPr>
        <w:tab/>
        <w:t>HMI Constabulary, Adapting to protest – nurturing the British model of policing</w:t>
      </w:r>
      <w:r>
        <w:rPr>
          <w:szCs w:val="18"/>
        </w:rPr>
        <w:t xml:space="preserve">, </w:t>
      </w:r>
      <w:r w:rsidRPr="00CE7218">
        <w:rPr>
          <w:szCs w:val="18"/>
        </w:rPr>
        <w:t>2009</w:t>
      </w:r>
      <w:r w:rsidRPr="00CE7218">
        <w:rPr>
          <w:szCs w:val="18"/>
          <w:lang w:val="sv-SE"/>
        </w:rPr>
        <w:t xml:space="preserve">, </w:t>
      </w:r>
      <w:hyperlink r:id="rId8" w:history="1">
        <w:r w:rsidRPr="00CE7218">
          <w:rPr>
            <w:rStyle w:val="Hyperlink"/>
            <w:szCs w:val="18"/>
            <w:lang w:val="sv-SE"/>
          </w:rPr>
          <w:t>http://www.hmic.gov.uk/media/adapting-to-protest-nurturing-the-british-model-of-policing-20091125.pdf</w:t>
        </w:r>
      </w:hyperlink>
      <w:r w:rsidRPr="00CE7218">
        <w:rPr>
          <w:szCs w:val="18"/>
          <w:lang w:val="sv-SE"/>
        </w:rPr>
        <w:t xml:space="preserve">. </w:t>
      </w:r>
    </w:p>
  </w:footnote>
  <w:footnote w:id="37">
    <w:p w:rsidR="007F7DF1" w:rsidRPr="00CE7218" w:rsidRDefault="007F7DF1" w:rsidP="000F57D3">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t xml:space="preserve">House of Commons, Home Affairs Committee Rules governing enforced removals from the </w:t>
      </w:r>
      <w:smartTag w:uri="urn:schemas-microsoft-com:office:smarttags" w:element="place">
        <w:smartTag w:uri="urn:schemas-microsoft-com:office:smarttags" w:element="country-region">
          <w:r w:rsidRPr="00CE7218">
            <w:rPr>
              <w:szCs w:val="18"/>
            </w:rPr>
            <w:t>UK</w:t>
          </w:r>
        </w:smartTag>
      </w:smartTag>
      <w:r>
        <w:rPr>
          <w:szCs w:val="18"/>
        </w:rPr>
        <w:t xml:space="preserve"> </w:t>
      </w:r>
      <w:r w:rsidRPr="00CE7218">
        <w:rPr>
          <w:szCs w:val="18"/>
        </w:rPr>
        <w:t xml:space="preserve">– Eighteenth Report of Session 2010-12, </w:t>
      </w:r>
      <w:hyperlink r:id="rId9" w:history="1">
        <w:r w:rsidRPr="00CE7218">
          <w:rPr>
            <w:rStyle w:val="Hyperlink"/>
            <w:szCs w:val="18"/>
          </w:rPr>
          <w:t>http://www.parliament.uk/business/committees/committees-a-z/commons-select/home-affairs-committee/inquiries/parliament-2010/rules-governing-enforced-removals-from-the-uk/</w:t>
        </w:r>
      </w:hyperlink>
      <w:r w:rsidRPr="00CE7218">
        <w:rPr>
          <w:szCs w:val="18"/>
        </w:rPr>
        <w:t xml:space="preserve">. </w:t>
      </w:r>
    </w:p>
  </w:footnote>
  <w:footnote w:id="38">
    <w:p w:rsidR="007F7DF1" w:rsidRPr="00977520" w:rsidRDefault="007F7DF1" w:rsidP="000F57D3">
      <w:pPr>
        <w:pStyle w:val="FootnoteText"/>
        <w:rPr>
          <w:i/>
          <w:szCs w:val="18"/>
          <w:lang w:val="sv-SE"/>
        </w:rPr>
      </w:pPr>
      <w:r w:rsidRPr="00CE7218">
        <w:rPr>
          <w:szCs w:val="18"/>
          <w:lang w:val="sv-SE"/>
        </w:rPr>
        <w:tab/>
      </w:r>
      <w:r w:rsidRPr="00CE7218">
        <w:rPr>
          <w:rStyle w:val="FootnoteReference"/>
          <w:szCs w:val="18"/>
        </w:rPr>
        <w:footnoteRef/>
      </w:r>
      <w:r w:rsidRPr="00CE7218">
        <w:rPr>
          <w:szCs w:val="18"/>
          <w:lang w:val="sv-SE"/>
        </w:rPr>
        <w:t xml:space="preserve"> </w:t>
      </w:r>
      <w:r w:rsidRPr="00CE7218">
        <w:rPr>
          <w:szCs w:val="18"/>
          <w:lang w:val="sv-SE"/>
        </w:rPr>
        <w:tab/>
      </w:r>
      <w:r w:rsidRPr="00CE7218">
        <w:rPr>
          <w:i/>
          <w:szCs w:val="18"/>
          <w:lang w:val="sv-SE"/>
        </w:rPr>
        <w:t xml:space="preserve">R(HA (Nigeria)) </w:t>
      </w:r>
      <w:r w:rsidRPr="002B1C2E">
        <w:rPr>
          <w:iCs/>
          <w:szCs w:val="18"/>
          <w:lang w:val="sv-SE"/>
        </w:rPr>
        <w:t>v.</w:t>
      </w:r>
      <w:r w:rsidRPr="00CE7218">
        <w:rPr>
          <w:i/>
          <w:szCs w:val="18"/>
          <w:lang w:val="sv-SE"/>
        </w:rPr>
        <w:t xml:space="preserve"> S.S.H.D</w:t>
      </w:r>
      <w:r w:rsidRPr="00CE7218">
        <w:rPr>
          <w:szCs w:val="18"/>
          <w:lang w:val="sv-SE"/>
        </w:rPr>
        <w:t xml:space="preserve"> (2012), </w:t>
      </w:r>
      <w:r w:rsidRPr="00CE7218">
        <w:rPr>
          <w:i/>
          <w:szCs w:val="18"/>
          <w:lang w:val="sv-SE"/>
        </w:rPr>
        <w:t>R.(S.)</w:t>
      </w:r>
      <w:r w:rsidRPr="003929DA">
        <w:rPr>
          <w:iCs/>
          <w:szCs w:val="18"/>
          <w:lang w:val="sv-SE"/>
        </w:rPr>
        <w:t xml:space="preserve"> v</w:t>
      </w:r>
      <w:r>
        <w:rPr>
          <w:iCs/>
          <w:szCs w:val="18"/>
          <w:lang w:val="sv-SE"/>
        </w:rPr>
        <w:t>.</w:t>
      </w:r>
      <w:r w:rsidRPr="00CE7218">
        <w:rPr>
          <w:i/>
          <w:szCs w:val="18"/>
          <w:lang w:val="sv-SE"/>
        </w:rPr>
        <w:t xml:space="preserve"> S.S.H.D. (2011),and</w:t>
      </w:r>
      <w:r>
        <w:rPr>
          <w:i/>
          <w:szCs w:val="18"/>
          <w:lang w:val="sv-SE"/>
        </w:rPr>
        <w:t xml:space="preserve"> </w:t>
      </w:r>
      <w:r w:rsidRPr="00CE7218">
        <w:rPr>
          <w:i/>
          <w:szCs w:val="18"/>
          <w:lang w:val="sv-SE"/>
        </w:rPr>
        <w:t xml:space="preserve">R.(B.A.) </w:t>
      </w:r>
      <w:r w:rsidRPr="003929DA">
        <w:rPr>
          <w:iCs/>
          <w:szCs w:val="18"/>
          <w:lang w:val="sv-SE"/>
        </w:rPr>
        <w:t>v</w:t>
      </w:r>
      <w:r w:rsidRPr="00CE7218">
        <w:rPr>
          <w:i/>
          <w:szCs w:val="18"/>
          <w:lang w:val="sv-SE"/>
        </w:rPr>
        <w:t>. S.S.H.D. (2011).</w:t>
      </w:r>
    </w:p>
  </w:footnote>
  <w:footnote w:id="39">
    <w:p w:rsidR="007F7DF1" w:rsidRPr="00977520" w:rsidRDefault="007F7DF1" w:rsidP="000F57D3">
      <w:pPr>
        <w:pStyle w:val="FootnoteText"/>
        <w:rPr>
          <w:szCs w:val="18"/>
        </w:rPr>
      </w:pPr>
      <w:r w:rsidRPr="003929DA">
        <w:rPr>
          <w:szCs w:val="18"/>
          <w:lang w:val="sv-SE"/>
        </w:rPr>
        <w:tab/>
      </w:r>
      <w:r w:rsidRPr="00977520">
        <w:rPr>
          <w:rStyle w:val="FootnoteReference"/>
          <w:szCs w:val="18"/>
        </w:rPr>
        <w:footnoteRef/>
      </w:r>
      <w:r w:rsidRPr="00977520">
        <w:rPr>
          <w:szCs w:val="18"/>
        </w:rPr>
        <w:t xml:space="preserve"> </w:t>
      </w:r>
      <w:r>
        <w:rPr>
          <w:szCs w:val="18"/>
        </w:rPr>
        <w:tab/>
        <w:t>CAT/C/GBR/5, paras. 583-586.</w:t>
      </w:r>
    </w:p>
  </w:footnote>
  <w:footnote w:id="40">
    <w:p w:rsidR="007F7DF1" w:rsidRPr="00A9222A" w:rsidRDefault="007F7DF1" w:rsidP="000F57D3">
      <w:pPr>
        <w:pStyle w:val="FootnoteText"/>
        <w:rPr>
          <w:szCs w:val="18"/>
        </w:rPr>
      </w:pPr>
      <w:r>
        <w:rPr>
          <w:szCs w:val="18"/>
        </w:rPr>
        <w:tab/>
      </w:r>
      <w:r w:rsidRPr="00CE7218">
        <w:rPr>
          <w:rStyle w:val="FootnoteReference"/>
          <w:szCs w:val="18"/>
        </w:rPr>
        <w:footnoteRef/>
      </w:r>
      <w:r w:rsidRPr="00CE7218">
        <w:rPr>
          <w:szCs w:val="18"/>
        </w:rPr>
        <w:t xml:space="preserve"> </w:t>
      </w:r>
      <w:r w:rsidRPr="00CE7218">
        <w:rPr>
          <w:szCs w:val="18"/>
        </w:rPr>
        <w:tab/>
        <w:t>Department for Children, Schools and Families, 2007, 2007.</w:t>
      </w:r>
      <w:r>
        <w:rPr>
          <w:szCs w:val="18"/>
        </w:rPr>
        <w:t xml:space="preserve"> </w:t>
      </w:r>
      <w:r w:rsidRPr="00CE7218">
        <w:rPr>
          <w:i/>
          <w:szCs w:val="18"/>
        </w:rPr>
        <w:t>Review of Section 58 of the Children Act 2004</w:t>
      </w:r>
      <w:r>
        <w:rPr>
          <w:i/>
          <w:szCs w:val="18"/>
        </w:rPr>
        <w:t xml:space="preserve">, </w:t>
      </w:r>
      <w:hyperlink r:id="rId10" w:history="1">
        <w:r w:rsidRPr="009F4D79">
          <w:rPr>
            <w:rStyle w:val="Hyperlink"/>
            <w:szCs w:val="18"/>
          </w:rPr>
          <w:t>https://www.education.gov.uk/publications/eOrderingDownload/S58ReviewReport.pdf</w:t>
        </w:r>
      </w:hyperlink>
      <w:r>
        <w:rPr>
          <w:szCs w:val="18"/>
        </w:rPr>
        <w:t>.</w:t>
      </w:r>
    </w:p>
  </w:footnote>
  <w:footnote w:id="41">
    <w:p w:rsidR="007F7DF1" w:rsidRPr="00977520" w:rsidRDefault="007F7DF1" w:rsidP="000F57D3">
      <w:pPr>
        <w:pStyle w:val="FootnoteText"/>
        <w:rPr>
          <w:szCs w:val="18"/>
        </w:rPr>
      </w:pPr>
      <w:r w:rsidRPr="00C44135">
        <w:rPr>
          <w:szCs w:val="18"/>
        </w:rPr>
        <w:tab/>
      </w:r>
      <w:r w:rsidRPr="00CE7218">
        <w:rPr>
          <w:rStyle w:val="FootnoteReference"/>
          <w:szCs w:val="18"/>
        </w:rPr>
        <w:footnoteRef/>
      </w:r>
      <w:r w:rsidRPr="00CE7218">
        <w:rPr>
          <w:szCs w:val="18"/>
        </w:rPr>
        <w:t xml:space="preserve"> </w:t>
      </w:r>
      <w:r w:rsidRPr="00CE7218">
        <w:rPr>
          <w:szCs w:val="18"/>
        </w:rPr>
        <w:tab/>
        <w:t>Joint Committee on Human Rights 17</w:t>
      </w:r>
      <w:r w:rsidRPr="002B1C2E">
        <w:rPr>
          <w:szCs w:val="18"/>
        </w:rPr>
        <w:t>th</w:t>
      </w:r>
      <w:r w:rsidRPr="00CE7218">
        <w:rPr>
          <w:szCs w:val="18"/>
        </w:rPr>
        <w:t xml:space="preserve"> Report, session 2004-2005,</w:t>
      </w:r>
      <w:r>
        <w:rPr>
          <w:szCs w:val="18"/>
        </w:rPr>
        <w:t xml:space="preserve"> </w:t>
      </w:r>
      <w:r w:rsidRPr="00E06263">
        <w:rPr>
          <w:szCs w:val="18"/>
        </w:rPr>
        <w:t>http://www.publications.parliament.uk/pa/jt200405/jtselect/jtrights/99/9905.htm</w:t>
      </w:r>
      <w:r w:rsidRPr="00A9222A">
        <w:rPr>
          <w:szCs w:val="18"/>
        </w:rPr>
        <w:t>.</w:t>
      </w:r>
    </w:p>
  </w:footnote>
  <w:footnote w:id="42">
    <w:p w:rsidR="007F7DF1" w:rsidRPr="00977520" w:rsidRDefault="007F7DF1" w:rsidP="00300E36">
      <w:pPr>
        <w:pStyle w:val="FootnoteText"/>
        <w:rPr>
          <w:szCs w:val="18"/>
        </w:rPr>
      </w:pPr>
      <w:r>
        <w:rPr>
          <w:szCs w:val="18"/>
        </w:rPr>
        <w:tab/>
      </w:r>
      <w:r w:rsidRPr="00977520">
        <w:rPr>
          <w:rStyle w:val="FootnoteReference"/>
          <w:szCs w:val="18"/>
        </w:rPr>
        <w:footnoteRef/>
      </w:r>
      <w:r>
        <w:rPr>
          <w:szCs w:val="18"/>
        </w:rPr>
        <w:tab/>
      </w:r>
      <w:r w:rsidRPr="00977520">
        <w:rPr>
          <w:szCs w:val="18"/>
        </w:rPr>
        <w:t>CAT/C/G</w:t>
      </w:r>
      <w:r>
        <w:rPr>
          <w:szCs w:val="18"/>
        </w:rPr>
        <w:t>BR</w:t>
      </w:r>
      <w:r w:rsidRPr="00977520">
        <w:rPr>
          <w:szCs w:val="18"/>
        </w:rPr>
        <w:t xml:space="preserve">/5, </w:t>
      </w:r>
      <w:r>
        <w:rPr>
          <w:szCs w:val="18"/>
        </w:rPr>
        <w:t>a</w:t>
      </w:r>
      <w:r w:rsidRPr="00977520">
        <w:rPr>
          <w:szCs w:val="18"/>
        </w:rPr>
        <w:t>nnex I, para</w:t>
      </w:r>
      <w:r>
        <w:rPr>
          <w:szCs w:val="18"/>
        </w:rPr>
        <w:t>s</w:t>
      </w:r>
      <w:r w:rsidRPr="00977520">
        <w:rPr>
          <w:szCs w:val="18"/>
        </w:rPr>
        <w:t>. 10-12.</w:t>
      </w:r>
    </w:p>
  </w:footnote>
  <w:footnote w:id="43">
    <w:p w:rsidR="007F7DF1" w:rsidRPr="00977520" w:rsidRDefault="007F7DF1" w:rsidP="002A7EFE">
      <w:pPr>
        <w:pStyle w:val="FootnoteText"/>
        <w:rPr>
          <w:szCs w:val="18"/>
        </w:rPr>
      </w:pPr>
      <w:r>
        <w:rPr>
          <w:szCs w:val="18"/>
        </w:rPr>
        <w:tab/>
      </w:r>
      <w:r w:rsidRPr="00977520">
        <w:rPr>
          <w:rStyle w:val="FootnoteReference"/>
          <w:szCs w:val="18"/>
        </w:rPr>
        <w:footnoteRef/>
      </w:r>
      <w:r w:rsidRPr="00977520">
        <w:rPr>
          <w:szCs w:val="18"/>
        </w:rPr>
        <w:t xml:space="preserve"> </w:t>
      </w:r>
      <w:r>
        <w:rPr>
          <w:szCs w:val="18"/>
        </w:rPr>
        <w:tab/>
        <w:t>Ibid.</w:t>
      </w:r>
      <w:r w:rsidRPr="00977520">
        <w:rPr>
          <w:szCs w:val="18"/>
        </w:rPr>
        <w:t xml:space="preserve">, </w:t>
      </w:r>
      <w:r>
        <w:rPr>
          <w:szCs w:val="18"/>
        </w:rPr>
        <w:t>a</w:t>
      </w:r>
      <w:r w:rsidRPr="00977520">
        <w:rPr>
          <w:szCs w:val="18"/>
        </w:rPr>
        <w:t>nnex I, para</w:t>
      </w:r>
      <w:r>
        <w:rPr>
          <w:szCs w:val="18"/>
        </w:rPr>
        <w:t>s</w:t>
      </w:r>
      <w:r w:rsidRPr="00977520">
        <w:rPr>
          <w:szCs w:val="18"/>
        </w:rPr>
        <w:t>. 65 and 79-80.</w:t>
      </w:r>
    </w:p>
  </w:footnote>
  <w:footnote w:id="44">
    <w:p w:rsidR="007F7DF1" w:rsidRPr="00A545A7" w:rsidRDefault="007F7DF1" w:rsidP="00300E36">
      <w:pPr>
        <w:pStyle w:val="FootnoteText"/>
        <w:rPr>
          <w:szCs w:val="18"/>
          <w:lang w:val="es-ES_tradnl"/>
        </w:rPr>
      </w:pPr>
      <w:r>
        <w:rPr>
          <w:szCs w:val="18"/>
        </w:rPr>
        <w:tab/>
      </w:r>
      <w:r w:rsidRPr="00977520">
        <w:rPr>
          <w:rStyle w:val="FootnoteReference"/>
          <w:szCs w:val="18"/>
        </w:rPr>
        <w:footnoteRef/>
      </w:r>
      <w:r w:rsidRPr="00A545A7">
        <w:rPr>
          <w:szCs w:val="18"/>
          <w:lang w:val="es-ES_tradnl"/>
        </w:rPr>
        <w:t xml:space="preserve"> </w:t>
      </w:r>
      <w:r w:rsidRPr="00A545A7">
        <w:rPr>
          <w:szCs w:val="18"/>
          <w:lang w:val="es-ES_tradnl"/>
        </w:rPr>
        <w:tab/>
      </w:r>
      <w:r>
        <w:rPr>
          <w:szCs w:val="18"/>
        </w:rPr>
        <w:t>Ibid.</w:t>
      </w:r>
      <w:r>
        <w:rPr>
          <w:szCs w:val="18"/>
          <w:lang w:val="es-ES_tradnl"/>
        </w:rPr>
        <w:t xml:space="preserve">, </w:t>
      </w:r>
      <w:smartTag w:uri="urn:schemas-microsoft-com:office:smarttags" w:element="place">
        <w:smartTag w:uri="urn:schemas:contacts" w:element="Sn">
          <w:r>
            <w:rPr>
              <w:szCs w:val="18"/>
              <w:lang w:val="es-ES_tradnl"/>
            </w:rPr>
            <w:t>annex</w:t>
          </w:r>
        </w:smartTag>
        <w:r>
          <w:rPr>
            <w:szCs w:val="18"/>
            <w:lang w:val="es-ES_tradnl"/>
          </w:rPr>
          <w:t xml:space="preserve"> </w:t>
        </w:r>
        <w:smartTag w:uri="urn:schemas:contacts" w:element="Sn">
          <w:r>
            <w:rPr>
              <w:szCs w:val="18"/>
              <w:lang w:val="es-ES_tradnl"/>
            </w:rPr>
            <w:t>I.</w:t>
          </w:r>
        </w:smartTag>
      </w:smartTag>
      <w:r>
        <w:rPr>
          <w:szCs w:val="18"/>
          <w:lang w:val="es-ES_tradnl"/>
        </w:rPr>
        <w:t xml:space="preserve"> </w:t>
      </w:r>
      <w:r w:rsidRPr="00A545A7">
        <w:rPr>
          <w:szCs w:val="18"/>
          <w:lang w:val="es-ES_tradnl"/>
        </w:rPr>
        <w:t>para 9.</w:t>
      </w:r>
    </w:p>
  </w:footnote>
  <w:footnote w:id="45">
    <w:p w:rsidR="007F7DF1" w:rsidRPr="00A545A7" w:rsidRDefault="007F7DF1" w:rsidP="00300E36">
      <w:pPr>
        <w:pStyle w:val="FootnoteText"/>
        <w:rPr>
          <w:szCs w:val="18"/>
          <w:lang w:val="es-ES_tradnl"/>
        </w:rPr>
      </w:pPr>
      <w:r w:rsidRPr="00A545A7">
        <w:rPr>
          <w:szCs w:val="18"/>
          <w:lang w:val="es-ES_tradnl"/>
        </w:rPr>
        <w:tab/>
      </w:r>
      <w:r w:rsidRPr="00977520">
        <w:rPr>
          <w:rStyle w:val="FootnoteReference"/>
          <w:szCs w:val="18"/>
        </w:rPr>
        <w:footnoteRef/>
      </w:r>
      <w:r w:rsidRPr="00A545A7">
        <w:rPr>
          <w:szCs w:val="18"/>
          <w:lang w:val="es-ES_tradnl"/>
        </w:rPr>
        <w:t xml:space="preserve"> </w:t>
      </w:r>
      <w:r w:rsidRPr="00A545A7">
        <w:rPr>
          <w:szCs w:val="18"/>
          <w:lang w:val="es-ES_tradnl"/>
        </w:rPr>
        <w:tab/>
      </w:r>
      <w:r>
        <w:rPr>
          <w:szCs w:val="18"/>
        </w:rPr>
        <w:t>Ibid.</w:t>
      </w:r>
      <w:r w:rsidRPr="00A545A7">
        <w:rPr>
          <w:szCs w:val="18"/>
          <w:lang w:val="es-ES_tradnl"/>
        </w:rPr>
        <w:t xml:space="preserve">, </w:t>
      </w:r>
      <w:r>
        <w:rPr>
          <w:szCs w:val="18"/>
          <w:lang w:val="es-ES_tradnl"/>
        </w:rPr>
        <w:t>a</w:t>
      </w:r>
      <w:r w:rsidRPr="00A545A7">
        <w:rPr>
          <w:szCs w:val="18"/>
          <w:lang w:val="es-ES_tradnl"/>
        </w:rPr>
        <w:t xml:space="preserve">nnex II, para. 3. </w:t>
      </w:r>
    </w:p>
  </w:footnote>
  <w:footnote w:id="46">
    <w:p w:rsidR="007F7DF1" w:rsidRPr="00977520" w:rsidRDefault="007F7DF1" w:rsidP="00A545A7">
      <w:pPr>
        <w:pStyle w:val="FootnoteText"/>
        <w:rPr>
          <w:szCs w:val="18"/>
          <w:lang w:val="es-ES"/>
        </w:rPr>
      </w:pPr>
      <w:r w:rsidRPr="00A545A7">
        <w:rPr>
          <w:szCs w:val="18"/>
          <w:lang w:val="es-ES_tradnl"/>
        </w:rPr>
        <w:tab/>
      </w:r>
      <w:r w:rsidRPr="00977520">
        <w:rPr>
          <w:rStyle w:val="FootnoteReference"/>
          <w:szCs w:val="18"/>
        </w:rPr>
        <w:footnoteRef/>
      </w:r>
      <w:r w:rsidRPr="00A545A7">
        <w:rPr>
          <w:szCs w:val="18"/>
          <w:lang w:val="es-ES_tradnl"/>
        </w:rPr>
        <w:t xml:space="preserve"> </w:t>
      </w:r>
      <w:r w:rsidRPr="00A545A7">
        <w:rPr>
          <w:szCs w:val="18"/>
          <w:lang w:val="es-ES_tradnl"/>
        </w:rPr>
        <w:tab/>
      </w:r>
      <w:r>
        <w:rPr>
          <w:szCs w:val="18"/>
          <w:lang w:val="es-ES_tradnl"/>
        </w:rPr>
        <w:t>Ibid.</w:t>
      </w:r>
      <w:r w:rsidRPr="00977520">
        <w:rPr>
          <w:szCs w:val="18"/>
          <w:lang w:val="es-ES"/>
        </w:rPr>
        <w:t xml:space="preserve">, </w:t>
      </w:r>
      <w:r>
        <w:rPr>
          <w:szCs w:val="18"/>
          <w:lang w:val="es-ES"/>
        </w:rPr>
        <w:t>a</w:t>
      </w:r>
      <w:r w:rsidRPr="00977520">
        <w:rPr>
          <w:szCs w:val="18"/>
          <w:lang w:val="es-ES"/>
        </w:rPr>
        <w:t>nnex II, para. 4.</w:t>
      </w:r>
    </w:p>
  </w:footnote>
  <w:footnote w:id="47">
    <w:p w:rsidR="007F7DF1" w:rsidRPr="00977520" w:rsidRDefault="007F7DF1" w:rsidP="00A545A7">
      <w:pPr>
        <w:pStyle w:val="FootnoteText"/>
        <w:rPr>
          <w:szCs w:val="18"/>
          <w:lang w:val="es-ES"/>
        </w:rPr>
      </w:pPr>
      <w:r>
        <w:rPr>
          <w:szCs w:val="18"/>
          <w:lang w:val="es-ES"/>
        </w:rPr>
        <w:tab/>
      </w:r>
      <w:r w:rsidRPr="00977520">
        <w:rPr>
          <w:rStyle w:val="FootnoteReference"/>
          <w:szCs w:val="18"/>
        </w:rPr>
        <w:footnoteRef/>
      </w:r>
      <w:r w:rsidRPr="00977520">
        <w:rPr>
          <w:szCs w:val="18"/>
          <w:lang w:val="es-ES"/>
        </w:rPr>
        <w:t xml:space="preserve"> </w:t>
      </w:r>
      <w:r>
        <w:rPr>
          <w:szCs w:val="18"/>
          <w:lang w:val="es-ES"/>
        </w:rPr>
        <w:tab/>
        <w:t>Ibid.</w:t>
      </w:r>
      <w:r w:rsidRPr="00977520">
        <w:rPr>
          <w:szCs w:val="18"/>
          <w:lang w:val="es-ES"/>
        </w:rPr>
        <w:t xml:space="preserve">, </w:t>
      </w:r>
      <w:r>
        <w:rPr>
          <w:szCs w:val="18"/>
          <w:lang w:val="es-ES"/>
        </w:rPr>
        <w:t>a</w:t>
      </w:r>
      <w:r w:rsidRPr="00977520">
        <w:rPr>
          <w:szCs w:val="18"/>
          <w:lang w:val="es-ES"/>
        </w:rPr>
        <w:t>nnex II, para. 4.</w:t>
      </w:r>
    </w:p>
  </w:footnote>
  <w:footnote w:id="48">
    <w:p w:rsidR="007F7DF1" w:rsidRPr="00977520" w:rsidRDefault="007F7DF1" w:rsidP="00A545A7">
      <w:pPr>
        <w:pStyle w:val="FootnoteText"/>
        <w:rPr>
          <w:szCs w:val="18"/>
          <w:lang w:val="es-ES"/>
        </w:rPr>
      </w:pPr>
      <w:r>
        <w:rPr>
          <w:szCs w:val="18"/>
          <w:lang w:val="es-ES"/>
        </w:rPr>
        <w:tab/>
      </w:r>
      <w:r w:rsidRPr="00977520">
        <w:rPr>
          <w:rStyle w:val="FootnoteReference"/>
          <w:szCs w:val="18"/>
        </w:rPr>
        <w:footnoteRef/>
      </w:r>
      <w:r>
        <w:rPr>
          <w:szCs w:val="18"/>
          <w:lang w:val="es-ES"/>
        </w:rPr>
        <w:tab/>
        <w:t>Ibid.</w:t>
      </w:r>
      <w:r w:rsidRPr="00977520">
        <w:rPr>
          <w:szCs w:val="18"/>
          <w:lang w:val="es-ES"/>
        </w:rPr>
        <w:t xml:space="preserve">, </w:t>
      </w:r>
      <w:r>
        <w:rPr>
          <w:szCs w:val="18"/>
          <w:lang w:val="es-ES"/>
        </w:rPr>
        <w:t>a</w:t>
      </w:r>
      <w:r w:rsidRPr="00977520">
        <w:rPr>
          <w:szCs w:val="18"/>
          <w:lang w:val="es-ES"/>
        </w:rPr>
        <w:t>nnex II, para. 6.</w:t>
      </w:r>
    </w:p>
  </w:footnote>
  <w:footnote w:id="49">
    <w:p w:rsidR="007F7DF1" w:rsidRPr="00977520" w:rsidRDefault="007F7DF1" w:rsidP="00FB4307">
      <w:pPr>
        <w:pStyle w:val="FootnoteText"/>
        <w:rPr>
          <w:szCs w:val="18"/>
          <w:lang w:val="es-ES"/>
        </w:rPr>
      </w:pPr>
      <w:r>
        <w:rPr>
          <w:szCs w:val="18"/>
          <w:lang w:val="es-ES"/>
        </w:rPr>
        <w:tab/>
      </w:r>
      <w:r w:rsidRPr="00977520">
        <w:rPr>
          <w:rStyle w:val="FootnoteReference"/>
          <w:szCs w:val="18"/>
        </w:rPr>
        <w:footnoteRef/>
      </w:r>
      <w:r>
        <w:rPr>
          <w:szCs w:val="18"/>
          <w:lang w:val="es-ES"/>
        </w:rPr>
        <w:tab/>
        <w:t>Ibid.</w:t>
      </w:r>
      <w:r w:rsidRPr="00977520">
        <w:rPr>
          <w:szCs w:val="18"/>
          <w:lang w:val="es-ES"/>
        </w:rPr>
        <w:t xml:space="preserve">, </w:t>
      </w:r>
      <w:r>
        <w:rPr>
          <w:szCs w:val="18"/>
          <w:lang w:val="es-ES"/>
        </w:rPr>
        <w:t>a</w:t>
      </w:r>
      <w:r w:rsidRPr="00977520">
        <w:rPr>
          <w:szCs w:val="18"/>
          <w:lang w:val="es-ES"/>
        </w:rPr>
        <w:t>nnex II, para. 17.</w:t>
      </w:r>
    </w:p>
  </w:footnote>
  <w:footnote w:id="50">
    <w:p w:rsidR="007F7DF1" w:rsidRPr="00977520" w:rsidRDefault="007F7DF1" w:rsidP="00A545A7">
      <w:pPr>
        <w:pStyle w:val="FootnoteText"/>
        <w:rPr>
          <w:szCs w:val="18"/>
          <w:lang w:val="es-ES"/>
        </w:rPr>
      </w:pPr>
      <w:r>
        <w:rPr>
          <w:szCs w:val="18"/>
          <w:lang w:val="es-ES"/>
        </w:rPr>
        <w:tab/>
      </w:r>
      <w:r w:rsidRPr="00977520">
        <w:rPr>
          <w:rStyle w:val="FootnoteReference"/>
          <w:szCs w:val="18"/>
        </w:rPr>
        <w:footnoteRef/>
      </w:r>
      <w:r>
        <w:rPr>
          <w:szCs w:val="18"/>
          <w:lang w:val="es-ES"/>
        </w:rPr>
        <w:tab/>
        <w:t>Ibid.</w:t>
      </w:r>
      <w:r w:rsidRPr="00977520">
        <w:rPr>
          <w:szCs w:val="18"/>
          <w:lang w:val="es-ES"/>
        </w:rPr>
        <w:t xml:space="preserve">, </w:t>
      </w:r>
      <w:r>
        <w:rPr>
          <w:szCs w:val="18"/>
          <w:lang w:val="es-ES"/>
        </w:rPr>
        <w:t>a</w:t>
      </w:r>
      <w:r w:rsidRPr="00977520">
        <w:rPr>
          <w:szCs w:val="18"/>
          <w:lang w:val="es-ES"/>
        </w:rPr>
        <w:t>nnex II, para. 17.</w:t>
      </w:r>
    </w:p>
  </w:footnote>
  <w:footnote w:id="51">
    <w:p w:rsidR="007F7DF1" w:rsidRPr="00977520" w:rsidRDefault="007F7DF1" w:rsidP="00A545A7">
      <w:pPr>
        <w:pStyle w:val="FootnoteText"/>
        <w:rPr>
          <w:szCs w:val="18"/>
          <w:lang w:val="fr-CH"/>
        </w:rPr>
      </w:pPr>
      <w:r>
        <w:rPr>
          <w:szCs w:val="18"/>
          <w:lang w:val="es-ES"/>
        </w:rPr>
        <w:tab/>
      </w:r>
      <w:r w:rsidRPr="00977520">
        <w:rPr>
          <w:rStyle w:val="FootnoteReference"/>
          <w:szCs w:val="18"/>
        </w:rPr>
        <w:footnoteRef/>
      </w:r>
      <w:r>
        <w:rPr>
          <w:szCs w:val="18"/>
          <w:lang w:val="es-ES"/>
        </w:rPr>
        <w:tab/>
        <w:t>Ibid.</w:t>
      </w:r>
      <w:r w:rsidRPr="00977520">
        <w:rPr>
          <w:szCs w:val="18"/>
          <w:lang w:val="es-ES"/>
        </w:rPr>
        <w:t xml:space="preserve">, </w:t>
      </w:r>
      <w:r>
        <w:rPr>
          <w:szCs w:val="18"/>
          <w:lang w:val="es-ES"/>
        </w:rPr>
        <w:t>a</w:t>
      </w:r>
      <w:r w:rsidRPr="00977520">
        <w:rPr>
          <w:szCs w:val="18"/>
          <w:lang w:val="es-ES"/>
        </w:rPr>
        <w:t xml:space="preserve">nnex II, para. </w:t>
      </w:r>
      <w:r w:rsidRPr="00977520">
        <w:rPr>
          <w:szCs w:val="18"/>
          <w:lang w:val="fr-CH"/>
        </w:rPr>
        <w:t>36.</w:t>
      </w:r>
    </w:p>
  </w:footnote>
  <w:footnote w:id="52">
    <w:p w:rsidR="007F7DF1" w:rsidRPr="00977520" w:rsidRDefault="007F7DF1" w:rsidP="00A545A7">
      <w:pPr>
        <w:pStyle w:val="FootnoteText"/>
        <w:rPr>
          <w:szCs w:val="18"/>
          <w:lang w:val="fr-CH"/>
        </w:rPr>
      </w:pPr>
      <w:r w:rsidRPr="00A545A7">
        <w:rPr>
          <w:szCs w:val="18"/>
          <w:lang w:val="es-ES_tradnl"/>
        </w:rPr>
        <w:tab/>
      </w:r>
      <w:r w:rsidRPr="00977520">
        <w:rPr>
          <w:rStyle w:val="FootnoteReference"/>
          <w:szCs w:val="18"/>
        </w:rPr>
        <w:footnoteRef/>
      </w:r>
      <w:r w:rsidRPr="00A545A7">
        <w:rPr>
          <w:szCs w:val="18"/>
          <w:lang w:val="es-ES_tradnl"/>
        </w:rPr>
        <w:tab/>
      </w:r>
      <w:r>
        <w:rPr>
          <w:szCs w:val="18"/>
          <w:lang w:val="fr-CH"/>
        </w:rPr>
        <w:t>Ibid.</w:t>
      </w:r>
      <w:r w:rsidRPr="00977520">
        <w:rPr>
          <w:szCs w:val="18"/>
          <w:lang w:val="fr-CH"/>
        </w:rPr>
        <w:t xml:space="preserve">, </w:t>
      </w:r>
      <w:r>
        <w:rPr>
          <w:szCs w:val="18"/>
          <w:lang w:val="fr-CH"/>
        </w:rPr>
        <w:t>a</w:t>
      </w:r>
      <w:r w:rsidRPr="00977520">
        <w:rPr>
          <w:szCs w:val="18"/>
          <w:lang w:val="fr-CH"/>
        </w:rPr>
        <w:t>nnex II, para.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1" w:rsidRPr="00CD1EFB" w:rsidRDefault="007F7484" w:rsidP="00CD1EFB">
    <w:pPr>
      <w:pStyle w:val="Header"/>
      <w:rPr>
        <w:lang w:val="en-US"/>
      </w:rPr>
    </w:pPr>
    <w:r>
      <w:rPr>
        <w:lang w:val="en-US"/>
      </w:rPr>
      <w:t>CAT/C/GBR</w:t>
    </w:r>
    <w:r w:rsidR="007F7DF1">
      <w:rPr>
        <w:lang w:val="en-US"/>
      </w:rPr>
      <w:t>/Q/5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1" w:rsidRPr="00CD1EFB" w:rsidRDefault="007F7484" w:rsidP="00CD1EFB">
    <w:pPr>
      <w:pStyle w:val="Header"/>
      <w:jc w:val="right"/>
      <w:rPr>
        <w:lang w:val="en-US"/>
      </w:rPr>
    </w:pPr>
    <w:r>
      <w:rPr>
        <w:lang w:val="en-US"/>
      </w:rPr>
      <w:t>CAT/C/GBR</w:t>
    </w:r>
    <w:r w:rsidR="007F7DF1" w:rsidRPr="00CD1EFB">
      <w:rPr>
        <w:lang w:val="en-US"/>
      </w:rPr>
      <w:t>/Q/</w:t>
    </w:r>
    <w:r w:rsidR="007F7DF1">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6">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F52387E"/>
    <w:multiLevelType w:val="hybridMultilevel"/>
    <w:tmpl w:val="853A9322"/>
    <w:lvl w:ilvl="0" w:tplc="028AB93A">
      <w:start w:val="1"/>
      <w:numFmt w:val="lowerLetter"/>
      <w:lvlText w:val="(%1)"/>
      <w:lvlJc w:val="left"/>
      <w:pPr>
        <w:ind w:left="2706" w:hanging="100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B411A8"/>
    <w:multiLevelType w:val="hybridMultilevel"/>
    <w:tmpl w:val="DD022A16"/>
    <w:lvl w:ilvl="0" w:tplc="E2FEDFA8">
      <w:start w:val="1"/>
      <w:numFmt w:val="decimal"/>
      <w:lvlText w:val="%1."/>
      <w:lvlJc w:val="left"/>
      <w:pPr>
        <w:ind w:left="705" w:hanging="705"/>
      </w:pPr>
      <w:rPr>
        <w:rFonts w:ascii="Times New Roman" w:hAnsi="Times New Roman" w:cs="Times New Roman"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
  </w:num>
  <w:num w:numId="4">
    <w:abstractNumId w:val="3"/>
  </w:num>
  <w:num w:numId="5">
    <w:abstractNumId w:val="4"/>
  </w:num>
  <w:num w:numId="6">
    <w:abstractNumId w:val="8"/>
  </w:num>
  <w:num w:numId="7">
    <w:abstractNumId w:val="1"/>
  </w:num>
  <w:num w:numId="8">
    <w:abstractNumId w:val="6"/>
  </w:num>
  <w:num w:numId="9">
    <w:abstractNumId w:val="5"/>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7"/>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02C12"/>
    <w:rsid w:val="00004398"/>
    <w:rsid w:val="0001115B"/>
    <w:rsid w:val="00020012"/>
    <w:rsid w:val="00021707"/>
    <w:rsid w:val="00025795"/>
    <w:rsid w:val="00032187"/>
    <w:rsid w:val="000348AD"/>
    <w:rsid w:val="00043B22"/>
    <w:rsid w:val="00043BF4"/>
    <w:rsid w:val="00044C92"/>
    <w:rsid w:val="00050F6B"/>
    <w:rsid w:val="000517D1"/>
    <w:rsid w:val="00053386"/>
    <w:rsid w:val="00054EED"/>
    <w:rsid w:val="00057E97"/>
    <w:rsid w:val="00072C8C"/>
    <w:rsid w:val="00072E04"/>
    <w:rsid w:val="000733B5"/>
    <w:rsid w:val="00077365"/>
    <w:rsid w:val="00077471"/>
    <w:rsid w:val="00081815"/>
    <w:rsid w:val="00083EA4"/>
    <w:rsid w:val="00084DF3"/>
    <w:rsid w:val="000931C0"/>
    <w:rsid w:val="00093E99"/>
    <w:rsid w:val="00094B47"/>
    <w:rsid w:val="00095BC7"/>
    <w:rsid w:val="000A1CB7"/>
    <w:rsid w:val="000A23A3"/>
    <w:rsid w:val="000A3E40"/>
    <w:rsid w:val="000B0A8F"/>
    <w:rsid w:val="000B1667"/>
    <w:rsid w:val="000B175B"/>
    <w:rsid w:val="000B3382"/>
    <w:rsid w:val="000B3A0F"/>
    <w:rsid w:val="000B4EF7"/>
    <w:rsid w:val="000B57BE"/>
    <w:rsid w:val="000C2C03"/>
    <w:rsid w:val="000C2D2E"/>
    <w:rsid w:val="000D30CF"/>
    <w:rsid w:val="000D3BDC"/>
    <w:rsid w:val="000D5B3B"/>
    <w:rsid w:val="000E0415"/>
    <w:rsid w:val="000E1FCD"/>
    <w:rsid w:val="000E22A2"/>
    <w:rsid w:val="000F57D3"/>
    <w:rsid w:val="001026F3"/>
    <w:rsid w:val="001103AA"/>
    <w:rsid w:val="00110D4E"/>
    <w:rsid w:val="00112AED"/>
    <w:rsid w:val="00132734"/>
    <w:rsid w:val="001340A6"/>
    <w:rsid w:val="001342B2"/>
    <w:rsid w:val="00135208"/>
    <w:rsid w:val="00137AC8"/>
    <w:rsid w:val="00137AEB"/>
    <w:rsid w:val="001406BB"/>
    <w:rsid w:val="00144A72"/>
    <w:rsid w:val="001450BD"/>
    <w:rsid w:val="00153179"/>
    <w:rsid w:val="00154AE7"/>
    <w:rsid w:val="00165322"/>
    <w:rsid w:val="00165F3A"/>
    <w:rsid w:val="001671C5"/>
    <w:rsid w:val="00167967"/>
    <w:rsid w:val="00167EDB"/>
    <w:rsid w:val="001810D6"/>
    <w:rsid w:val="00183227"/>
    <w:rsid w:val="00184864"/>
    <w:rsid w:val="00185FA1"/>
    <w:rsid w:val="00192ACD"/>
    <w:rsid w:val="00195875"/>
    <w:rsid w:val="00197B02"/>
    <w:rsid w:val="001A040B"/>
    <w:rsid w:val="001A68BF"/>
    <w:rsid w:val="001B12A5"/>
    <w:rsid w:val="001B1FE3"/>
    <w:rsid w:val="001B4222"/>
    <w:rsid w:val="001B4B04"/>
    <w:rsid w:val="001B57BA"/>
    <w:rsid w:val="001C1F5C"/>
    <w:rsid w:val="001C2371"/>
    <w:rsid w:val="001C32AB"/>
    <w:rsid w:val="001C428A"/>
    <w:rsid w:val="001C6663"/>
    <w:rsid w:val="001C7895"/>
    <w:rsid w:val="001C79F4"/>
    <w:rsid w:val="001D0B77"/>
    <w:rsid w:val="001D0C8C"/>
    <w:rsid w:val="001D26DF"/>
    <w:rsid w:val="001D3A03"/>
    <w:rsid w:val="001D7A2D"/>
    <w:rsid w:val="001F05E1"/>
    <w:rsid w:val="001F4229"/>
    <w:rsid w:val="001F71F5"/>
    <w:rsid w:val="00202DA8"/>
    <w:rsid w:val="00202EB2"/>
    <w:rsid w:val="0020761A"/>
    <w:rsid w:val="002100AA"/>
    <w:rsid w:val="0021047E"/>
    <w:rsid w:val="00211E0B"/>
    <w:rsid w:val="002260BB"/>
    <w:rsid w:val="00244259"/>
    <w:rsid w:val="00245526"/>
    <w:rsid w:val="00256FCB"/>
    <w:rsid w:val="00264C27"/>
    <w:rsid w:val="002656DD"/>
    <w:rsid w:val="002657C0"/>
    <w:rsid w:val="00267CF0"/>
    <w:rsid w:val="00267F5F"/>
    <w:rsid w:val="002834B6"/>
    <w:rsid w:val="00286B4D"/>
    <w:rsid w:val="00287EEC"/>
    <w:rsid w:val="00294963"/>
    <w:rsid w:val="002955D6"/>
    <w:rsid w:val="002967C9"/>
    <w:rsid w:val="00297799"/>
    <w:rsid w:val="002A2A0A"/>
    <w:rsid w:val="002A733C"/>
    <w:rsid w:val="002A7EFE"/>
    <w:rsid w:val="002B1C2E"/>
    <w:rsid w:val="002B3C39"/>
    <w:rsid w:val="002B466B"/>
    <w:rsid w:val="002B54CB"/>
    <w:rsid w:val="002B7FC1"/>
    <w:rsid w:val="002C126A"/>
    <w:rsid w:val="002C2CB2"/>
    <w:rsid w:val="002D3742"/>
    <w:rsid w:val="002E3FAC"/>
    <w:rsid w:val="002F166E"/>
    <w:rsid w:val="002F175C"/>
    <w:rsid w:val="002F1A00"/>
    <w:rsid w:val="002F26C2"/>
    <w:rsid w:val="002F4257"/>
    <w:rsid w:val="002F4A6E"/>
    <w:rsid w:val="002F562E"/>
    <w:rsid w:val="002F753A"/>
    <w:rsid w:val="002F7CAE"/>
    <w:rsid w:val="00300AAD"/>
    <w:rsid w:val="00300DA9"/>
    <w:rsid w:val="00300E36"/>
    <w:rsid w:val="00306938"/>
    <w:rsid w:val="003079B4"/>
    <w:rsid w:val="00311246"/>
    <w:rsid w:val="003229D8"/>
    <w:rsid w:val="00327763"/>
    <w:rsid w:val="003374A8"/>
    <w:rsid w:val="00344E8F"/>
    <w:rsid w:val="00345601"/>
    <w:rsid w:val="00346274"/>
    <w:rsid w:val="00346488"/>
    <w:rsid w:val="00352709"/>
    <w:rsid w:val="00352F9F"/>
    <w:rsid w:val="00353D1C"/>
    <w:rsid w:val="003608D1"/>
    <w:rsid w:val="003653F5"/>
    <w:rsid w:val="00367BB2"/>
    <w:rsid w:val="00370A64"/>
    <w:rsid w:val="00371178"/>
    <w:rsid w:val="003717FC"/>
    <w:rsid w:val="00381333"/>
    <w:rsid w:val="00391A18"/>
    <w:rsid w:val="003929DA"/>
    <w:rsid w:val="003A029F"/>
    <w:rsid w:val="003A6771"/>
    <w:rsid w:val="003A6810"/>
    <w:rsid w:val="003B045A"/>
    <w:rsid w:val="003B20F3"/>
    <w:rsid w:val="003C01C7"/>
    <w:rsid w:val="003C2CC4"/>
    <w:rsid w:val="003C4023"/>
    <w:rsid w:val="003C5F9B"/>
    <w:rsid w:val="003D4B23"/>
    <w:rsid w:val="003E44DB"/>
    <w:rsid w:val="003F0C7B"/>
    <w:rsid w:val="003F2559"/>
    <w:rsid w:val="004077D0"/>
    <w:rsid w:val="00410C89"/>
    <w:rsid w:val="00416EAF"/>
    <w:rsid w:val="00420E6E"/>
    <w:rsid w:val="004228C0"/>
    <w:rsid w:val="00426B9B"/>
    <w:rsid w:val="004270F1"/>
    <w:rsid w:val="004325CB"/>
    <w:rsid w:val="00432BA9"/>
    <w:rsid w:val="00433414"/>
    <w:rsid w:val="00442A83"/>
    <w:rsid w:val="004437F2"/>
    <w:rsid w:val="00445BD2"/>
    <w:rsid w:val="0045339F"/>
    <w:rsid w:val="0045495B"/>
    <w:rsid w:val="00455672"/>
    <w:rsid w:val="00464162"/>
    <w:rsid w:val="004643BE"/>
    <w:rsid w:val="00471092"/>
    <w:rsid w:val="00475072"/>
    <w:rsid w:val="00475487"/>
    <w:rsid w:val="0047755C"/>
    <w:rsid w:val="0047772F"/>
    <w:rsid w:val="00487722"/>
    <w:rsid w:val="00491830"/>
    <w:rsid w:val="00492AD8"/>
    <w:rsid w:val="004A0AC3"/>
    <w:rsid w:val="004A10AA"/>
    <w:rsid w:val="004B3269"/>
    <w:rsid w:val="004B4C23"/>
    <w:rsid w:val="004B600F"/>
    <w:rsid w:val="004B6CF5"/>
    <w:rsid w:val="004B7802"/>
    <w:rsid w:val="004C07A7"/>
    <w:rsid w:val="004C2FAF"/>
    <w:rsid w:val="004C5077"/>
    <w:rsid w:val="004C71EB"/>
    <w:rsid w:val="004D097B"/>
    <w:rsid w:val="004D0D0F"/>
    <w:rsid w:val="004D0FCD"/>
    <w:rsid w:val="004D163A"/>
    <w:rsid w:val="004E3717"/>
    <w:rsid w:val="004E7541"/>
    <w:rsid w:val="004F3B55"/>
    <w:rsid w:val="004F7424"/>
    <w:rsid w:val="004F7BE3"/>
    <w:rsid w:val="0050341B"/>
    <w:rsid w:val="005045AB"/>
    <w:rsid w:val="00505B7D"/>
    <w:rsid w:val="0051623B"/>
    <w:rsid w:val="0052136D"/>
    <w:rsid w:val="0052302F"/>
    <w:rsid w:val="00523B72"/>
    <w:rsid w:val="00524668"/>
    <w:rsid w:val="0052775E"/>
    <w:rsid w:val="00533334"/>
    <w:rsid w:val="005343C1"/>
    <w:rsid w:val="00534F68"/>
    <w:rsid w:val="00536D5E"/>
    <w:rsid w:val="005420F2"/>
    <w:rsid w:val="00544481"/>
    <w:rsid w:val="0054483C"/>
    <w:rsid w:val="00561852"/>
    <w:rsid w:val="005628B6"/>
    <w:rsid w:val="005649D2"/>
    <w:rsid w:val="0056698D"/>
    <w:rsid w:val="005672B1"/>
    <w:rsid w:val="00567F83"/>
    <w:rsid w:val="005701B0"/>
    <w:rsid w:val="0057198D"/>
    <w:rsid w:val="005731C3"/>
    <w:rsid w:val="0057413B"/>
    <w:rsid w:val="00574CE2"/>
    <w:rsid w:val="00576543"/>
    <w:rsid w:val="0057703F"/>
    <w:rsid w:val="005802F0"/>
    <w:rsid w:val="005816D9"/>
    <w:rsid w:val="00586416"/>
    <w:rsid w:val="0058667D"/>
    <w:rsid w:val="00590400"/>
    <w:rsid w:val="005932A8"/>
    <w:rsid w:val="005979F8"/>
    <w:rsid w:val="005A7DC3"/>
    <w:rsid w:val="005B1A1A"/>
    <w:rsid w:val="005B21B4"/>
    <w:rsid w:val="005B3DB3"/>
    <w:rsid w:val="005B47BA"/>
    <w:rsid w:val="005D0FDF"/>
    <w:rsid w:val="005D1DD1"/>
    <w:rsid w:val="005D3536"/>
    <w:rsid w:val="005E46E3"/>
    <w:rsid w:val="005F0C4D"/>
    <w:rsid w:val="005F1353"/>
    <w:rsid w:val="005F26A5"/>
    <w:rsid w:val="005F7B75"/>
    <w:rsid w:val="006001EE"/>
    <w:rsid w:val="00601CD5"/>
    <w:rsid w:val="00601E87"/>
    <w:rsid w:val="00603274"/>
    <w:rsid w:val="00605042"/>
    <w:rsid w:val="00606478"/>
    <w:rsid w:val="00611FC4"/>
    <w:rsid w:val="006176FB"/>
    <w:rsid w:val="0062560F"/>
    <w:rsid w:val="00631539"/>
    <w:rsid w:val="00635DD8"/>
    <w:rsid w:val="006401F3"/>
    <w:rsid w:val="00640B26"/>
    <w:rsid w:val="00652D0A"/>
    <w:rsid w:val="00654E8E"/>
    <w:rsid w:val="00656F64"/>
    <w:rsid w:val="006577E4"/>
    <w:rsid w:val="00661985"/>
    <w:rsid w:val="00662BB6"/>
    <w:rsid w:val="00663385"/>
    <w:rsid w:val="00663F01"/>
    <w:rsid w:val="00664290"/>
    <w:rsid w:val="0066626D"/>
    <w:rsid w:val="00670A13"/>
    <w:rsid w:val="00684C21"/>
    <w:rsid w:val="00685D6C"/>
    <w:rsid w:val="0068754C"/>
    <w:rsid w:val="006A6DCC"/>
    <w:rsid w:val="006B29DA"/>
    <w:rsid w:val="006B2B77"/>
    <w:rsid w:val="006B456C"/>
    <w:rsid w:val="006C19AB"/>
    <w:rsid w:val="006C1A7E"/>
    <w:rsid w:val="006C2C24"/>
    <w:rsid w:val="006C7BD2"/>
    <w:rsid w:val="006D0671"/>
    <w:rsid w:val="006D37AF"/>
    <w:rsid w:val="006D45DE"/>
    <w:rsid w:val="006D51D0"/>
    <w:rsid w:val="006D7C58"/>
    <w:rsid w:val="006E435A"/>
    <w:rsid w:val="006E564B"/>
    <w:rsid w:val="006E717E"/>
    <w:rsid w:val="006E7191"/>
    <w:rsid w:val="006F0DCA"/>
    <w:rsid w:val="006F2E00"/>
    <w:rsid w:val="006F5689"/>
    <w:rsid w:val="00701CBC"/>
    <w:rsid w:val="00701D06"/>
    <w:rsid w:val="007024FC"/>
    <w:rsid w:val="00703577"/>
    <w:rsid w:val="00707280"/>
    <w:rsid w:val="00707661"/>
    <w:rsid w:val="0072632A"/>
    <w:rsid w:val="007309F0"/>
    <w:rsid w:val="00730AC6"/>
    <w:rsid w:val="007327D5"/>
    <w:rsid w:val="007404C0"/>
    <w:rsid w:val="007526C8"/>
    <w:rsid w:val="007629C8"/>
    <w:rsid w:val="0076617B"/>
    <w:rsid w:val="00766E40"/>
    <w:rsid w:val="0077353F"/>
    <w:rsid w:val="00785DE0"/>
    <w:rsid w:val="007872DA"/>
    <w:rsid w:val="00787970"/>
    <w:rsid w:val="007A3672"/>
    <w:rsid w:val="007A48D8"/>
    <w:rsid w:val="007A5259"/>
    <w:rsid w:val="007B18E6"/>
    <w:rsid w:val="007B1AC9"/>
    <w:rsid w:val="007B6BA5"/>
    <w:rsid w:val="007C1AED"/>
    <w:rsid w:val="007C1D3F"/>
    <w:rsid w:val="007C3390"/>
    <w:rsid w:val="007C36FB"/>
    <w:rsid w:val="007C4F4B"/>
    <w:rsid w:val="007C5CDB"/>
    <w:rsid w:val="007C6178"/>
    <w:rsid w:val="007E2DA1"/>
    <w:rsid w:val="007E3F0B"/>
    <w:rsid w:val="007E7672"/>
    <w:rsid w:val="007F2B30"/>
    <w:rsid w:val="007F5D0A"/>
    <w:rsid w:val="007F6611"/>
    <w:rsid w:val="007F7484"/>
    <w:rsid w:val="007F7DF1"/>
    <w:rsid w:val="00810686"/>
    <w:rsid w:val="00822A0E"/>
    <w:rsid w:val="0082365B"/>
    <w:rsid w:val="008242D7"/>
    <w:rsid w:val="008257B1"/>
    <w:rsid w:val="008257BD"/>
    <w:rsid w:val="008355E4"/>
    <w:rsid w:val="00843086"/>
    <w:rsid w:val="00843767"/>
    <w:rsid w:val="0084528C"/>
    <w:rsid w:val="00846DD3"/>
    <w:rsid w:val="00846F22"/>
    <w:rsid w:val="0085098B"/>
    <w:rsid w:val="00856EE1"/>
    <w:rsid w:val="00864067"/>
    <w:rsid w:val="008679D9"/>
    <w:rsid w:val="00871FAB"/>
    <w:rsid w:val="008772CE"/>
    <w:rsid w:val="00880F08"/>
    <w:rsid w:val="008979B1"/>
    <w:rsid w:val="008A6B25"/>
    <w:rsid w:val="008A6C4F"/>
    <w:rsid w:val="008A74EE"/>
    <w:rsid w:val="008A75AF"/>
    <w:rsid w:val="008B2335"/>
    <w:rsid w:val="008B4A4D"/>
    <w:rsid w:val="008D0B58"/>
    <w:rsid w:val="008D19AE"/>
    <w:rsid w:val="008D6A3F"/>
    <w:rsid w:val="008E0678"/>
    <w:rsid w:val="008E4285"/>
    <w:rsid w:val="008E599D"/>
    <w:rsid w:val="00903EF0"/>
    <w:rsid w:val="009223CA"/>
    <w:rsid w:val="0092637C"/>
    <w:rsid w:val="00927EC8"/>
    <w:rsid w:val="0093227A"/>
    <w:rsid w:val="00933A0A"/>
    <w:rsid w:val="00937F9B"/>
    <w:rsid w:val="00940F93"/>
    <w:rsid w:val="00945D3C"/>
    <w:rsid w:val="009465A6"/>
    <w:rsid w:val="00947DF0"/>
    <w:rsid w:val="00953EB1"/>
    <w:rsid w:val="009552B9"/>
    <w:rsid w:val="00960263"/>
    <w:rsid w:val="009615A0"/>
    <w:rsid w:val="00965A6C"/>
    <w:rsid w:val="00967211"/>
    <w:rsid w:val="009760F3"/>
    <w:rsid w:val="0098163E"/>
    <w:rsid w:val="00981CA2"/>
    <w:rsid w:val="00982876"/>
    <w:rsid w:val="00983135"/>
    <w:rsid w:val="00994B90"/>
    <w:rsid w:val="009A0E8D"/>
    <w:rsid w:val="009A1939"/>
    <w:rsid w:val="009A2535"/>
    <w:rsid w:val="009A7390"/>
    <w:rsid w:val="009B26E7"/>
    <w:rsid w:val="009B504A"/>
    <w:rsid w:val="009C40A2"/>
    <w:rsid w:val="009C53B2"/>
    <w:rsid w:val="009D5C2E"/>
    <w:rsid w:val="009D6A3A"/>
    <w:rsid w:val="009E236B"/>
    <w:rsid w:val="009E34EA"/>
    <w:rsid w:val="009E4D35"/>
    <w:rsid w:val="009F28F0"/>
    <w:rsid w:val="009F49A4"/>
    <w:rsid w:val="009F525D"/>
    <w:rsid w:val="009F773D"/>
    <w:rsid w:val="009F78E0"/>
    <w:rsid w:val="00A00A3F"/>
    <w:rsid w:val="00A01489"/>
    <w:rsid w:val="00A02B46"/>
    <w:rsid w:val="00A0699C"/>
    <w:rsid w:val="00A069A6"/>
    <w:rsid w:val="00A07661"/>
    <w:rsid w:val="00A079D3"/>
    <w:rsid w:val="00A11207"/>
    <w:rsid w:val="00A1423E"/>
    <w:rsid w:val="00A23D41"/>
    <w:rsid w:val="00A256AB"/>
    <w:rsid w:val="00A2641C"/>
    <w:rsid w:val="00A300B1"/>
    <w:rsid w:val="00A338F1"/>
    <w:rsid w:val="00A36C68"/>
    <w:rsid w:val="00A5214F"/>
    <w:rsid w:val="00A545A7"/>
    <w:rsid w:val="00A54DA8"/>
    <w:rsid w:val="00A56D6F"/>
    <w:rsid w:val="00A57D10"/>
    <w:rsid w:val="00A618E1"/>
    <w:rsid w:val="00A65A12"/>
    <w:rsid w:val="00A65A69"/>
    <w:rsid w:val="00A66365"/>
    <w:rsid w:val="00A66446"/>
    <w:rsid w:val="00A72F22"/>
    <w:rsid w:val="00A7360F"/>
    <w:rsid w:val="00A74207"/>
    <w:rsid w:val="00A748A6"/>
    <w:rsid w:val="00A769F4"/>
    <w:rsid w:val="00A776B4"/>
    <w:rsid w:val="00A8188A"/>
    <w:rsid w:val="00A830CD"/>
    <w:rsid w:val="00A90044"/>
    <w:rsid w:val="00A9222A"/>
    <w:rsid w:val="00A94361"/>
    <w:rsid w:val="00A94975"/>
    <w:rsid w:val="00AA0B1F"/>
    <w:rsid w:val="00AA293C"/>
    <w:rsid w:val="00AA3A49"/>
    <w:rsid w:val="00AA4781"/>
    <w:rsid w:val="00AB20EB"/>
    <w:rsid w:val="00AB3EE4"/>
    <w:rsid w:val="00AB7A54"/>
    <w:rsid w:val="00AC627A"/>
    <w:rsid w:val="00AC7E25"/>
    <w:rsid w:val="00AD61E8"/>
    <w:rsid w:val="00AE0D8C"/>
    <w:rsid w:val="00AE1CCA"/>
    <w:rsid w:val="00AE2AF0"/>
    <w:rsid w:val="00AE7FA8"/>
    <w:rsid w:val="00AF199B"/>
    <w:rsid w:val="00AF2A0B"/>
    <w:rsid w:val="00B0301A"/>
    <w:rsid w:val="00B03194"/>
    <w:rsid w:val="00B10203"/>
    <w:rsid w:val="00B12830"/>
    <w:rsid w:val="00B30179"/>
    <w:rsid w:val="00B43116"/>
    <w:rsid w:val="00B441DE"/>
    <w:rsid w:val="00B502F4"/>
    <w:rsid w:val="00B522E9"/>
    <w:rsid w:val="00B54F31"/>
    <w:rsid w:val="00B56E4A"/>
    <w:rsid w:val="00B56E9C"/>
    <w:rsid w:val="00B60D61"/>
    <w:rsid w:val="00B6405C"/>
    <w:rsid w:val="00B641C2"/>
    <w:rsid w:val="00B64B1F"/>
    <w:rsid w:val="00B6553F"/>
    <w:rsid w:val="00B74B47"/>
    <w:rsid w:val="00B77D05"/>
    <w:rsid w:val="00B81206"/>
    <w:rsid w:val="00B818A4"/>
    <w:rsid w:val="00B81E12"/>
    <w:rsid w:val="00B8245B"/>
    <w:rsid w:val="00B8250B"/>
    <w:rsid w:val="00B82ED6"/>
    <w:rsid w:val="00B917CA"/>
    <w:rsid w:val="00B92937"/>
    <w:rsid w:val="00B97532"/>
    <w:rsid w:val="00B97EE2"/>
    <w:rsid w:val="00BA10BB"/>
    <w:rsid w:val="00BA2BAD"/>
    <w:rsid w:val="00BA7249"/>
    <w:rsid w:val="00BB0853"/>
    <w:rsid w:val="00BB6AA8"/>
    <w:rsid w:val="00BC6F0D"/>
    <w:rsid w:val="00BC74E9"/>
    <w:rsid w:val="00BE0D86"/>
    <w:rsid w:val="00BE32C5"/>
    <w:rsid w:val="00BF41E8"/>
    <w:rsid w:val="00BF68A8"/>
    <w:rsid w:val="00BF6E30"/>
    <w:rsid w:val="00C00912"/>
    <w:rsid w:val="00C050C2"/>
    <w:rsid w:val="00C11A03"/>
    <w:rsid w:val="00C13750"/>
    <w:rsid w:val="00C1674D"/>
    <w:rsid w:val="00C22916"/>
    <w:rsid w:val="00C2685E"/>
    <w:rsid w:val="00C32322"/>
    <w:rsid w:val="00C33859"/>
    <w:rsid w:val="00C40514"/>
    <w:rsid w:val="00C42634"/>
    <w:rsid w:val="00C44135"/>
    <w:rsid w:val="00C463DD"/>
    <w:rsid w:val="00C46C98"/>
    <w:rsid w:val="00C4724C"/>
    <w:rsid w:val="00C5632E"/>
    <w:rsid w:val="00C56792"/>
    <w:rsid w:val="00C629A0"/>
    <w:rsid w:val="00C62AFE"/>
    <w:rsid w:val="00C639D4"/>
    <w:rsid w:val="00C745C3"/>
    <w:rsid w:val="00C81FFA"/>
    <w:rsid w:val="00C85A0C"/>
    <w:rsid w:val="00C90C3B"/>
    <w:rsid w:val="00C9732B"/>
    <w:rsid w:val="00CA070F"/>
    <w:rsid w:val="00CB041B"/>
    <w:rsid w:val="00CB4B5E"/>
    <w:rsid w:val="00CB54E7"/>
    <w:rsid w:val="00CB56F9"/>
    <w:rsid w:val="00CB690A"/>
    <w:rsid w:val="00CB7328"/>
    <w:rsid w:val="00CB7D87"/>
    <w:rsid w:val="00CC5297"/>
    <w:rsid w:val="00CD0CF3"/>
    <w:rsid w:val="00CD1EFB"/>
    <w:rsid w:val="00CD36FD"/>
    <w:rsid w:val="00CD440E"/>
    <w:rsid w:val="00CD6FE0"/>
    <w:rsid w:val="00CE0BBC"/>
    <w:rsid w:val="00CE2427"/>
    <w:rsid w:val="00CE279B"/>
    <w:rsid w:val="00CE4A8F"/>
    <w:rsid w:val="00CE5B85"/>
    <w:rsid w:val="00CE7218"/>
    <w:rsid w:val="00CF13C8"/>
    <w:rsid w:val="00CF3EB3"/>
    <w:rsid w:val="00CF4B6F"/>
    <w:rsid w:val="00D17112"/>
    <w:rsid w:val="00D2031B"/>
    <w:rsid w:val="00D21697"/>
    <w:rsid w:val="00D22020"/>
    <w:rsid w:val="00D22A73"/>
    <w:rsid w:val="00D22C2F"/>
    <w:rsid w:val="00D25FE2"/>
    <w:rsid w:val="00D30A95"/>
    <w:rsid w:val="00D30FEE"/>
    <w:rsid w:val="00D332DE"/>
    <w:rsid w:val="00D35970"/>
    <w:rsid w:val="00D368A5"/>
    <w:rsid w:val="00D43252"/>
    <w:rsid w:val="00D450CF"/>
    <w:rsid w:val="00D46F46"/>
    <w:rsid w:val="00D47706"/>
    <w:rsid w:val="00D47EEA"/>
    <w:rsid w:val="00D50A5A"/>
    <w:rsid w:val="00D54DDB"/>
    <w:rsid w:val="00D57F25"/>
    <w:rsid w:val="00D60BA2"/>
    <w:rsid w:val="00D73A59"/>
    <w:rsid w:val="00D759B6"/>
    <w:rsid w:val="00D76743"/>
    <w:rsid w:val="00D76FC1"/>
    <w:rsid w:val="00D81F7A"/>
    <w:rsid w:val="00D93CC8"/>
    <w:rsid w:val="00D95303"/>
    <w:rsid w:val="00D9535E"/>
    <w:rsid w:val="00D978C6"/>
    <w:rsid w:val="00DA0A26"/>
    <w:rsid w:val="00DA15F6"/>
    <w:rsid w:val="00DA1EC3"/>
    <w:rsid w:val="00DA20A1"/>
    <w:rsid w:val="00DA2AC6"/>
    <w:rsid w:val="00DA3C1C"/>
    <w:rsid w:val="00DB1746"/>
    <w:rsid w:val="00DB25B1"/>
    <w:rsid w:val="00DB2BA9"/>
    <w:rsid w:val="00DB3B75"/>
    <w:rsid w:val="00DC0548"/>
    <w:rsid w:val="00DC1764"/>
    <w:rsid w:val="00DC181C"/>
    <w:rsid w:val="00DC2D45"/>
    <w:rsid w:val="00DC4E5D"/>
    <w:rsid w:val="00DC6198"/>
    <w:rsid w:val="00DD2532"/>
    <w:rsid w:val="00DE05CF"/>
    <w:rsid w:val="00DE211F"/>
    <w:rsid w:val="00DE6BC1"/>
    <w:rsid w:val="00DF1074"/>
    <w:rsid w:val="00E00911"/>
    <w:rsid w:val="00E0277E"/>
    <w:rsid w:val="00E029B5"/>
    <w:rsid w:val="00E0487E"/>
    <w:rsid w:val="00E06263"/>
    <w:rsid w:val="00E06587"/>
    <w:rsid w:val="00E07956"/>
    <w:rsid w:val="00E208D8"/>
    <w:rsid w:val="00E23936"/>
    <w:rsid w:val="00E27207"/>
    <w:rsid w:val="00E27346"/>
    <w:rsid w:val="00E313AE"/>
    <w:rsid w:val="00E32EFC"/>
    <w:rsid w:val="00E33120"/>
    <w:rsid w:val="00E33441"/>
    <w:rsid w:val="00E37646"/>
    <w:rsid w:val="00E432FA"/>
    <w:rsid w:val="00E66B10"/>
    <w:rsid w:val="00E66EB7"/>
    <w:rsid w:val="00E71BC8"/>
    <w:rsid w:val="00E7260F"/>
    <w:rsid w:val="00E93FDC"/>
    <w:rsid w:val="00E96630"/>
    <w:rsid w:val="00EB0C20"/>
    <w:rsid w:val="00EB2E80"/>
    <w:rsid w:val="00EB2E8A"/>
    <w:rsid w:val="00EB3309"/>
    <w:rsid w:val="00ED5FC9"/>
    <w:rsid w:val="00ED6ED5"/>
    <w:rsid w:val="00ED7A2A"/>
    <w:rsid w:val="00EF1D7F"/>
    <w:rsid w:val="00EF470A"/>
    <w:rsid w:val="00EF5C29"/>
    <w:rsid w:val="00F11AB5"/>
    <w:rsid w:val="00F13C66"/>
    <w:rsid w:val="00F15779"/>
    <w:rsid w:val="00F16AF3"/>
    <w:rsid w:val="00F22D56"/>
    <w:rsid w:val="00F34539"/>
    <w:rsid w:val="00F4320C"/>
    <w:rsid w:val="00F4347C"/>
    <w:rsid w:val="00F46474"/>
    <w:rsid w:val="00F47617"/>
    <w:rsid w:val="00F52ADD"/>
    <w:rsid w:val="00F541D1"/>
    <w:rsid w:val="00F56288"/>
    <w:rsid w:val="00F60B1E"/>
    <w:rsid w:val="00F60F0C"/>
    <w:rsid w:val="00F62D9B"/>
    <w:rsid w:val="00F64144"/>
    <w:rsid w:val="00F668E3"/>
    <w:rsid w:val="00F81008"/>
    <w:rsid w:val="00F84668"/>
    <w:rsid w:val="00F91B29"/>
    <w:rsid w:val="00F93781"/>
    <w:rsid w:val="00FA0194"/>
    <w:rsid w:val="00FA32DF"/>
    <w:rsid w:val="00FA5306"/>
    <w:rsid w:val="00FA5869"/>
    <w:rsid w:val="00FB087F"/>
    <w:rsid w:val="00FB0ED9"/>
    <w:rsid w:val="00FB4307"/>
    <w:rsid w:val="00FB613B"/>
    <w:rsid w:val="00FC41D1"/>
    <w:rsid w:val="00FC68B7"/>
    <w:rsid w:val="00FC7746"/>
    <w:rsid w:val="00FD615B"/>
    <w:rsid w:val="00FD7406"/>
    <w:rsid w:val="00FE106A"/>
    <w:rsid w:val="00FE1F15"/>
    <w:rsid w:val="00FE4085"/>
    <w:rsid w:val="00FE647C"/>
    <w:rsid w:val="00FE6E18"/>
    <w:rsid w:val="00FF43EB"/>
    <w:rsid w:val="00FF51B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
    <w:locked/>
    <w:rsid w:val="007A48D8"/>
    <w:rPr>
      <w:rFonts w:cs="Times New Roman"/>
      <w:sz w:val="18"/>
      <w:lang w:val="x-none" w:eastAsia="en-US"/>
    </w:rPr>
  </w:style>
  <w:style w:type="paragraph" w:customStyle="1" w:styleId="NoSpacing">
    <w:name w:val="No Spacing"/>
    <w:aliases w:val="references"/>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rPr>
      <w:lang w:val="x-none"/>
    </w:r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character" w:styleId="CommentReference">
    <w:name w:val="annotation reference"/>
    <w:rsid w:val="00F46474"/>
    <w:rPr>
      <w:sz w:val="16"/>
      <w:szCs w:val="16"/>
    </w:rPr>
  </w:style>
  <w:style w:type="paragraph" w:styleId="CommentText">
    <w:name w:val="annotation text"/>
    <w:basedOn w:val="Normal"/>
    <w:link w:val="CommentTextChar"/>
    <w:rsid w:val="00F46474"/>
    <w:rPr>
      <w:lang w:val="x-none"/>
    </w:rPr>
  </w:style>
  <w:style w:type="character" w:customStyle="1" w:styleId="CommentTextChar">
    <w:name w:val="Comment Text Char"/>
    <w:link w:val="CommentText"/>
    <w:rsid w:val="00F46474"/>
    <w:rPr>
      <w:lang w:eastAsia="en-US"/>
    </w:rPr>
  </w:style>
  <w:style w:type="paragraph" w:styleId="CommentSubject">
    <w:name w:val="annotation subject"/>
    <w:basedOn w:val="CommentText"/>
    <w:next w:val="CommentText"/>
    <w:link w:val="CommentSubjectChar"/>
    <w:rsid w:val="00F46474"/>
    <w:rPr>
      <w:b/>
      <w:bCs/>
    </w:rPr>
  </w:style>
  <w:style w:type="character" w:customStyle="1" w:styleId="CommentSubjectChar">
    <w:name w:val="Comment Subject Char"/>
    <w:link w:val="CommentSubject"/>
    <w:rsid w:val="00F46474"/>
    <w:rPr>
      <w:b/>
      <w:bCs/>
      <w:lang w:eastAsia="en-US"/>
    </w:rPr>
  </w:style>
  <w:style w:type="paragraph" w:styleId="ListParagraph">
    <w:name w:val="List Paragraph"/>
    <w:basedOn w:val="Normal"/>
    <w:uiPriority w:val="34"/>
    <w:qFormat/>
    <w:rsid w:val="00DE6BC1"/>
    <w:pPr>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uk/ministry-of-defenc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mic.gov.uk/media/adapting-to-protest-nurturing-the-british-model-of-policing-20091125.pdf" TargetMode="External"/><Relationship Id="rId3" Type="http://schemas.openxmlformats.org/officeDocument/2006/relationships/hyperlink" Target="http://www.bahamousainquiry.org/f_report/vol%20iii/Part%20XVII/Part%20XVII.pdf" TargetMode="External"/><Relationship Id="rId7" Type="http://schemas.openxmlformats.org/officeDocument/2006/relationships/hyperlink" Target="http://www.equalityhumanrights.com/human-rights/our-human-rights-work/human-rights-review/the-review/" TargetMode="External"/><Relationship Id="rId2" Type="http://schemas.openxmlformats.org/officeDocument/2006/relationships/hyperlink" Target="https://wcd.coe.int/ViewDoc.jsp?id=1339037&amp;Site=CommDH&amp;BackColorInternet=FEC65B&amp;BackColorIntranet=FEC65B&amp;BackColorLogged=FFC679" TargetMode="External"/><Relationship Id="rId1" Type="http://schemas.openxmlformats.org/officeDocument/2006/relationships/hyperlink" Target="http://www.unhcr.org.uk/what-we-do-in-the-uk/quality-initiative-and-integration.html" TargetMode="External"/><Relationship Id="rId6" Type="http://schemas.openxmlformats.org/officeDocument/2006/relationships/hyperlink" Target="http://www.justice.gov.uk/publications/docs/corston-report-march-2007.pdf" TargetMode="External"/><Relationship Id="rId5" Type="http://schemas.openxmlformats.org/officeDocument/2006/relationships/hyperlink" Target="http://www.cpt.coe.int/documents/gbr/2009-31-inf-eng.pdf" TargetMode="External"/><Relationship Id="rId10" Type="http://schemas.openxmlformats.org/officeDocument/2006/relationships/hyperlink" Target="https://www.education.gov.uk/publications/eOrderingDownload/S58ReviewReport.pdf" TargetMode="External"/><Relationship Id="rId4" Type="http://schemas.openxmlformats.org/officeDocument/2006/relationships/hyperlink" Target="http://www.cpt.coe.int/documents/gbr/2010-36-inf-eng.pdf" TargetMode="External"/><Relationship Id="rId9" Type="http://schemas.openxmlformats.org/officeDocument/2006/relationships/hyperlink" Target="http://www.parliament.uk/business/committees/committees-a-z/commons-select/home-affairs-committee/inquiries/parliament-2010/rules-governing-enforced-removals-from-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3448</Words>
  <Characters>18727</Characters>
  <Application>Microsoft Office Word</Application>
  <DocSecurity>4</DocSecurity>
  <Lines>317</Lines>
  <Paragraphs>107</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22068</CharactersWithSpaces>
  <SharedDoc>false</SharedDoc>
  <HLinks>
    <vt:vector size="66" baseType="variant">
      <vt:variant>
        <vt:i4>1572864</vt:i4>
      </vt:variant>
      <vt:variant>
        <vt:i4>0</vt:i4>
      </vt:variant>
      <vt:variant>
        <vt:i4>0</vt:i4>
      </vt:variant>
      <vt:variant>
        <vt:i4>5</vt:i4>
      </vt:variant>
      <vt:variant>
        <vt:lpwstr>http://www.guardian.co.uk/uk/ministry-of-defence</vt:lpwstr>
      </vt:variant>
      <vt:variant>
        <vt:lpwstr/>
      </vt:variant>
      <vt:variant>
        <vt:i4>2752551</vt:i4>
      </vt:variant>
      <vt:variant>
        <vt:i4>27</vt:i4>
      </vt:variant>
      <vt:variant>
        <vt:i4>0</vt:i4>
      </vt:variant>
      <vt:variant>
        <vt:i4>5</vt:i4>
      </vt:variant>
      <vt:variant>
        <vt:lpwstr>https://www.education.gov.uk/publications/eOrderingDownload/S58ReviewReport.pdf</vt:lpwstr>
      </vt:variant>
      <vt:variant>
        <vt:lpwstr/>
      </vt:variant>
      <vt:variant>
        <vt:i4>7798906</vt:i4>
      </vt:variant>
      <vt:variant>
        <vt:i4>24</vt:i4>
      </vt:variant>
      <vt:variant>
        <vt:i4>0</vt:i4>
      </vt:variant>
      <vt:variant>
        <vt:i4>5</vt:i4>
      </vt:variant>
      <vt:variant>
        <vt:lpwstr>http://www.parliament.uk/business/committees/committees-a-z/commons-select/home-affairs-committee/inquiries/parliament-2010/rules-governing-enforced-removals-from-the-uk/</vt:lpwstr>
      </vt:variant>
      <vt:variant>
        <vt:lpwstr/>
      </vt:variant>
      <vt:variant>
        <vt:i4>524288</vt:i4>
      </vt:variant>
      <vt:variant>
        <vt:i4>21</vt:i4>
      </vt:variant>
      <vt:variant>
        <vt:i4>0</vt:i4>
      </vt:variant>
      <vt:variant>
        <vt:i4>5</vt:i4>
      </vt:variant>
      <vt:variant>
        <vt:lpwstr>http://www.hmic.gov.uk/media/adapting-to-protest-nurturing-the-british-model-of-policing-20091125.pdf</vt:lpwstr>
      </vt:variant>
      <vt:variant>
        <vt:lpwstr/>
      </vt:variant>
      <vt:variant>
        <vt:i4>1245202</vt:i4>
      </vt:variant>
      <vt:variant>
        <vt:i4>18</vt:i4>
      </vt:variant>
      <vt:variant>
        <vt:i4>0</vt:i4>
      </vt:variant>
      <vt:variant>
        <vt:i4>5</vt:i4>
      </vt:variant>
      <vt:variant>
        <vt:lpwstr>http://www.equalityhumanrights.com/human-rights/our-human-rights-work/human-rights-review/the-review/</vt:lpwstr>
      </vt:variant>
      <vt:variant>
        <vt:lpwstr/>
      </vt:variant>
      <vt:variant>
        <vt:i4>5242902</vt:i4>
      </vt:variant>
      <vt:variant>
        <vt:i4>15</vt:i4>
      </vt:variant>
      <vt:variant>
        <vt:i4>0</vt:i4>
      </vt:variant>
      <vt:variant>
        <vt:i4>5</vt:i4>
      </vt:variant>
      <vt:variant>
        <vt:lpwstr>http://www.justice.gov.uk/publications/docs/corston-report-march-2007.pdf</vt:lpwstr>
      </vt:variant>
      <vt:variant>
        <vt:lpwstr/>
      </vt:variant>
      <vt:variant>
        <vt:i4>4194327</vt:i4>
      </vt:variant>
      <vt:variant>
        <vt:i4>12</vt:i4>
      </vt:variant>
      <vt:variant>
        <vt:i4>0</vt:i4>
      </vt:variant>
      <vt:variant>
        <vt:i4>5</vt:i4>
      </vt:variant>
      <vt:variant>
        <vt:lpwstr>http://www.cpt.coe.int/documents/gbr/2009-31-inf-eng.pdf</vt:lpwstr>
      </vt:variant>
      <vt:variant>
        <vt:lpwstr/>
      </vt:variant>
      <vt:variant>
        <vt:i4>4587550</vt:i4>
      </vt:variant>
      <vt:variant>
        <vt:i4>9</vt:i4>
      </vt:variant>
      <vt:variant>
        <vt:i4>0</vt:i4>
      </vt:variant>
      <vt:variant>
        <vt:i4>5</vt:i4>
      </vt:variant>
      <vt:variant>
        <vt:lpwstr>http://www.cpt.coe.int/documents/gbr/2010-36-inf-eng.pdf</vt:lpwstr>
      </vt:variant>
      <vt:variant>
        <vt:lpwstr/>
      </vt:variant>
      <vt:variant>
        <vt:i4>7274521</vt:i4>
      </vt:variant>
      <vt:variant>
        <vt:i4>6</vt:i4>
      </vt:variant>
      <vt:variant>
        <vt:i4>0</vt:i4>
      </vt:variant>
      <vt:variant>
        <vt:i4>5</vt:i4>
      </vt:variant>
      <vt:variant>
        <vt:lpwstr>http://www.bahamousainquiry.org/f_report/vol iii/Part XVII/Part XVII.pdf</vt:lpwstr>
      </vt:variant>
      <vt:variant>
        <vt:lpwstr/>
      </vt:variant>
      <vt:variant>
        <vt:i4>3670052</vt:i4>
      </vt:variant>
      <vt:variant>
        <vt:i4>3</vt:i4>
      </vt:variant>
      <vt:variant>
        <vt:i4>0</vt:i4>
      </vt:variant>
      <vt:variant>
        <vt:i4>5</vt:i4>
      </vt:variant>
      <vt:variant>
        <vt:lpwstr>https://wcd.coe.int/ViewDoc.jsp?id=1339037&amp;Site=CommDH&amp;BackColorInternet=FEC65B&amp;BackColorIntranet=FEC65B&amp;BackColorLogged=FFC679</vt:lpwstr>
      </vt:variant>
      <vt:variant>
        <vt:lpwstr/>
      </vt:variant>
      <vt:variant>
        <vt:i4>262237</vt:i4>
      </vt:variant>
      <vt:variant>
        <vt:i4>0</vt:i4>
      </vt:variant>
      <vt:variant>
        <vt:i4>0</vt:i4>
      </vt:variant>
      <vt:variant>
        <vt:i4>5</vt:i4>
      </vt:variant>
      <vt:variant>
        <vt:lpwstr>http://www.unhcr.org.uk/what-we-do-in-the-uk/quality-initiative-and-integration.html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2013-01-17T08:52:00Z</cp:lastPrinted>
  <dcterms:created xsi:type="dcterms:W3CDTF">2013-01-17T15:23:00Z</dcterms:created>
  <dcterms:modified xsi:type="dcterms:W3CDTF">2013-01-17T15:23:00Z</dcterms:modified>
</cp:coreProperties>
</file>