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02E75"/>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02E75" w:rsidP="00402E75">
            <w:pPr>
              <w:jc w:val="right"/>
            </w:pPr>
            <w:r w:rsidRPr="00402E75">
              <w:rPr>
                <w:sz w:val="40"/>
              </w:rPr>
              <w:t>CERD</w:t>
            </w:r>
            <w:r>
              <w:t>/C/ZMB/Q/17-19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402E75">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02E75" w:rsidP="009D5F1A">
            <w:pPr>
              <w:spacing w:before="240"/>
            </w:pPr>
            <w:r>
              <w:t>Distr. générale</w:t>
            </w:r>
          </w:p>
          <w:p w:rsidR="00402E75" w:rsidRDefault="00402E75" w:rsidP="00402E75">
            <w:pPr>
              <w:spacing w:line="240" w:lineRule="exact"/>
            </w:pPr>
            <w:r>
              <w:t>22 février 2019</w:t>
            </w:r>
          </w:p>
          <w:p w:rsidR="00402E75" w:rsidRDefault="00402E75" w:rsidP="00402E75">
            <w:pPr>
              <w:spacing w:line="240" w:lineRule="exact"/>
            </w:pPr>
            <w:r>
              <w:t>Français</w:t>
            </w:r>
          </w:p>
          <w:p w:rsidR="00402E75" w:rsidRDefault="00402E75" w:rsidP="00402E75">
            <w:pPr>
              <w:spacing w:line="240" w:lineRule="exact"/>
            </w:pPr>
            <w:r>
              <w:t>Original : anglais</w:t>
            </w:r>
          </w:p>
          <w:p w:rsidR="00402E75" w:rsidRPr="00DB58B5" w:rsidRDefault="00402E75" w:rsidP="00402E75">
            <w:pPr>
              <w:spacing w:line="240" w:lineRule="exact"/>
            </w:pPr>
            <w:r w:rsidRPr="00F211FD">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w:t>
      </w:r>
      <w:r w:rsidR="00402E75">
        <w:rPr>
          <w:b/>
          <w:sz w:val="24"/>
          <w:szCs w:val="24"/>
        </w:rPr>
        <w:t>’</w:t>
      </w:r>
      <w:r w:rsidRPr="00C56102">
        <w:rPr>
          <w:b/>
          <w:sz w:val="24"/>
          <w:szCs w:val="24"/>
        </w:rPr>
        <w:t>élimination de la discrimination raciale</w:t>
      </w:r>
    </w:p>
    <w:p w:rsidR="00402E75" w:rsidRPr="00402E75" w:rsidRDefault="00402E75" w:rsidP="00402E75">
      <w:pPr>
        <w:rPr>
          <w:b/>
          <w:bCs/>
        </w:rPr>
      </w:pPr>
      <w:r w:rsidRPr="00402E75">
        <w:rPr>
          <w:b/>
          <w:bCs/>
          <w:lang w:val="fr-FR"/>
        </w:rPr>
        <w:t>Quatre-vingt-dix-huitième session</w:t>
      </w:r>
    </w:p>
    <w:p w:rsidR="00402E75" w:rsidRPr="00402E75" w:rsidRDefault="00402E75" w:rsidP="00402E75">
      <w:r w:rsidRPr="00402E75">
        <w:rPr>
          <w:lang w:val="fr-FR"/>
        </w:rPr>
        <w:t>23 avril</w:t>
      </w:r>
      <w:r>
        <w:rPr>
          <w:lang w:val="fr-FR"/>
        </w:rPr>
        <w:t>-</w:t>
      </w:r>
      <w:r w:rsidRPr="00402E75">
        <w:rPr>
          <w:lang w:val="fr-FR"/>
        </w:rPr>
        <w:t>10 mai 2019</w:t>
      </w:r>
    </w:p>
    <w:p w:rsidR="00402E75" w:rsidRPr="00402E75" w:rsidRDefault="00402E75" w:rsidP="00402E75">
      <w:r w:rsidRPr="00402E75">
        <w:rPr>
          <w:lang w:val="fr-FR"/>
        </w:rPr>
        <w:t>Point</w:t>
      </w:r>
      <w:r>
        <w:rPr>
          <w:lang w:val="fr-FR"/>
        </w:rPr>
        <w:t> </w:t>
      </w:r>
      <w:r w:rsidRPr="00402E75">
        <w:rPr>
          <w:lang w:val="fr-FR"/>
        </w:rPr>
        <w:t>4 de l</w:t>
      </w:r>
      <w:r>
        <w:rPr>
          <w:lang w:val="fr-FR"/>
        </w:rPr>
        <w:t>’</w:t>
      </w:r>
      <w:r w:rsidRPr="00402E75">
        <w:rPr>
          <w:lang w:val="fr-FR"/>
        </w:rPr>
        <w:t>ordre du jour provisoire</w:t>
      </w:r>
    </w:p>
    <w:p w:rsidR="00984B29" w:rsidRDefault="00402E75" w:rsidP="00402E75">
      <w:pPr>
        <w:rPr>
          <w:b/>
          <w:bCs/>
          <w:lang w:val="fr-FR"/>
        </w:rPr>
      </w:pPr>
      <w:r w:rsidRPr="00402E75">
        <w:rPr>
          <w:b/>
          <w:bCs/>
          <w:lang w:val="fr-FR"/>
        </w:rPr>
        <w:t xml:space="preserve">Examen des rapports, observations et renseignements </w:t>
      </w:r>
      <w:r>
        <w:rPr>
          <w:b/>
          <w:bCs/>
          <w:lang w:val="fr-FR"/>
        </w:rPr>
        <w:br/>
      </w:r>
      <w:r w:rsidRPr="00402E75">
        <w:rPr>
          <w:b/>
          <w:bCs/>
          <w:lang w:val="fr-FR"/>
        </w:rPr>
        <w:t xml:space="preserve">soumis par les États parties en application </w:t>
      </w:r>
      <w:r>
        <w:rPr>
          <w:b/>
          <w:bCs/>
          <w:lang w:val="fr-FR"/>
        </w:rPr>
        <w:br/>
      </w:r>
      <w:r w:rsidRPr="00402E75">
        <w:rPr>
          <w:b/>
          <w:bCs/>
          <w:lang w:val="fr-FR"/>
        </w:rPr>
        <w:t>de l</w:t>
      </w:r>
      <w:r>
        <w:rPr>
          <w:b/>
          <w:bCs/>
          <w:lang w:val="fr-FR"/>
        </w:rPr>
        <w:t>’</w:t>
      </w:r>
      <w:r w:rsidRPr="00402E75">
        <w:rPr>
          <w:b/>
          <w:bCs/>
          <w:lang w:val="fr-FR"/>
        </w:rPr>
        <w:t>article 9 de la Convention</w:t>
      </w:r>
    </w:p>
    <w:p w:rsidR="00402E75" w:rsidRPr="00402E75" w:rsidRDefault="00402E75" w:rsidP="00402E75">
      <w:pPr>
        <w:pStyle w:val="HChG"/>
      </w:pPr>
      <w:r>
        <w:rPr>
          <w:lang w:val="fr-FR"/>
        </w:rPr>
        <w:tab/>
      </w:r>
      <w:r>
        <w:rPr>
          <w:lang w:val="fr-FR"/>
        </w:rPr>
        <w:tab/>
      </w:r>
      <w:r w:rsidRPr="00402E75">
        <w:rPr>
          <w:lang w:val="fr-FR"/>
        </w:rPr>
        <w:t>Liste de thèmes concernant le rapport de la Zambie valant dix-septième à dix-neuvième rapports périodiques</w:t>
      </w:r>
    </w:p>
    <w:p w:rsidR="00402E75" w:rsidRPr="00402E75" w:rsidRDefault="00402E75" w:rsidP="00402E75">
      <w:pPr>
        <w:pStyle w:val="H1G"/>
      </w:pPr>
      <w:r w:rsidRPr="00402E75">
        <w:rPr>
          <w:lang w:val="fr-FR"/>
        </w:rPr>
        <w:tab/>
      </w:r>
      <w:r w:rsidRPr="00402E75">
        <w:rPr>
          <w:lang w:val="fr-FR"/>
        </w:rPr>
        <w:tab/>
        <w:t>Note du rapporteur de pays</w:t>
      </w:r>
    </w:p>
    <w:p w:rsidR="00402E75" w:rsidRPr="00402E75" w:rsidRDefault="00402E75" w:rsidP="00402E75">
      <w:pPr>
        <w:pStyle w:val="SingleTxtG"/>
      </w:pPr>
      <w:r w:rsidRPr="00402E75">
        <w:rPr>
          <w:lang w:val="fr-FR"/>
        </w:rPr>
        <w:t>1.</w:t>
      </w:r>
      <w:r w:rsidRPr="00402E75">
        <w:rPr>
          <w:lang w:val="fr-FR"/>
        </w:rPr>
        <w:tab/>
        <w:t>À sa soixante-seizième session (A/65/18, par.</w:t>
      </w:r>
      <w:r>
        <w:rPr>
          <w:lang w:val="fr-FR"/>
        </w:rPr>
        <w:t> </w:t>
      </w:r>
      <w:r w:rsidRPr="00402E75">
        <w:rPr>
          <w:lang w:val="fr-FR"/>
        </w:rPr>
        <w:t>85), le Comité pour l</w:t>
      </w:r>
      <w:r>
        <w:rPr>
          <w:lang w:val="fr-FR"/>
        </w:rPr>
        <w:t>’</w:t>
      </w:r>
      <w:r w:rsidRPr="00402E75">
        <w:rPr>
          <w:lang w:val="fr-FR"/>
        </w:rPr>
        <w:t>élimination de la discrimination raciale a décidé que le rapporteur de pays ferait parvenir à l</w:t>
      </w:r>
      <w:r>
        <w:rPr>
          <w:lang w:val="fr-FR"/>
        </w:rPr>
        <w:t>’</w:t>
      </w:r>
      <w:r w:rsidRPr="00402E75">
        <w:rPr>
          <w:lang w:val="fr-FR"/>
        </w:rPr>
        <w:t>État partie concerné une courte liste de thèmes en vue de guider et de structurer le dialogue entre la délégation de l</w:t>
      </w:r>
      <w:r>
        <w:rPr>
          <w:lang w:val="fr-FR"/>
        </w:rPr>
        <w:t>’</w:t>
      </w:r>
      <w:r w:rsidRPr="00402E75">
        <w:rPr>
          <w:lang w:val="fr-FR"/>
        </w:rPr>
        <w:t>État partie et le Comité pendant l</w:t>
      </w:r>
      <w:r>
        <w:rPr>
          <w:lang w:val="fr-FR"/>
        </w:rPr>
        <w:t>’</w:t>
      </w:r>
      <w:r w:rsidRPr="00402E75">
        <w:rPr>
          <w:lang w:val="fr-FR"/>
        </w:rPr>
        <w:t>examen du rapport de l</w:t>
      </w:r>
      <w:r>
        <w:rPr>
          <w:lang w:val="fr-FR"/>
        </w:rPr>
        <w:t>’</w:t>
      </w:r>
      <w:r w:rsidRPr="00402E75">
        <w:rPr>
          <w:lang w:val="fr-FR"/>
        </w:rPr>
        <w:t>État partie. On trouvera ci-après une liste de thèmes non exhaustive, d</w:t>
      </w:r>
      <w:r>
        <w:rPr>
          <w:lang w:val="fr-FR"/>
        </w:rPr>
        <w:t>’</w:t>
      </w:r>
      <w:r w:rsidRPr="00402E75">
        <w:rPr>
          <w:lang w:val="fr-FR"/>
        </w:rPr>
        <w:t>autres questions pouvant être traitées au cours du dialogue. Cette liste n</w:t>
      </w:r>
      <w:r>
        <w:rPr>
          <w:lang w:val="fr-FR"/>
        </w:rPr>
        <w:t>’</w:t>
      </w:r>
      <w:r w:rsidRPr="00402E75">
        <w:rPr>
          <w:lang w:val="fr-FR"/>
        </w:rPr>
        <w:t>appelle pas de réponses écrites.</w:t>
      </w:r>
    </w:p>
    <w:p w:rsidR="00402E75" w:rsidRPr="00402E75" w:rsidRDefault="00402E75" w:rsidP="00402E75">
      <w:pPr>
        <w:pStyle w:val="H1G"/>
      </w:pPr>
      <w:r w:rsidRPr="00402E75">
        <w:rPr>
          <w:lang w:val="fr-FR"/>
        </w:rPr>
        <w:tab/>
      </w:r>
      <w:r w:rsidRPr="00402E75">
        <w:rPr>
          <w:lang w:val="fr-FR"/>
        </w:rPr>
        <w:tab/>
        <w:t>Statistiques</w:t>
      </w:r>
    </w:p>
    <w:p w:rsidR="00402E75" w:rsidRPr="00402E75" w:rsidRDefault="00402E75" w:rsidP="00402E75">
      <w:pPr>
        <w:pStyle w:val="SingleTxtG"/>
      </w:pPr>
      <w:r w:rsidRPr="00402E75">
        <w:rPr>
          <w:lang w:val="fr-FR"/>
        </w:rPr>
        <w:t>2.</w:t>
      </w:r>
      <w:r w:rsidRPr="00402E75">
        <w:rPr>
          <w:lang w:val="fr-FR"/>
        </w:rPr>
        <w:tab/>
        <w:t>Données statistiques récentes et complètes sur la composition démographique de la population, y compris des groupes ethniques, des migrants, des réfugiés et des demandeurs d</w:t>
      </w:r>
      <w:r>
        <w:rPr>
          <w:lang w:val="fr-FR"/>
        </w:rPr>
        <w:t>’</w:t>
      </w:r>
      <w:r w:rsidRPr="00402E75">
        <w:rPr>
          <w:lang w:val="fr-FR"/>
        </w:rPr>
        <w:t>asile. Indicateurs socioéconomiques concernant lesdits groupes (HRI/CORE/1/Add.22/</w:t>
      </w:r>
      <w:r>
        <w:rPr>
          <w:lang w:val="fr-FR"/>
        </w:rPr>
        <w:br/>
      </w:r>
      <w:r w:rsidRPr="00402E75">
        <w:rPr>
          <w:lang w:val="fr-FR"/>
        </w:rPr>
        <w:t>Rev.2, par.</w:t>
      </w:r>
      <w:r>
        <w:rPr>
          <w:lang w:val="fr-FR"/>
        </w:rPr>
        <w:t> </w:t>
      </w:r>
      <w:r w:rsidRPr="00402E75">
        <w:rPr>
          <w:lang w:val="fr-FR"/>
        </w:rPr>
        <w:t>4 à 22).</w:t>
      </w:r>
    </w:p>
    <w:p w:rsidR="00402E75" w:rsidRPr="00402E75" w:rsidRDefault="00402E75" w:rsidP="00402E75">
      <w:pPr>
        <w:pStyle w:val="H23G"/>
      </w:pPr>
      <w:r w:rsidRPr="00402E75">
        <w:rPr>
          <w:lang w:val="fr-FR"/>
        </w:rPr>
        <w:tab/>
      </w:r>
      <w:r w:rsidRPr="00402E75">
        <w:rPr>
          <w:lang w:val="fr-FR"/>
        </w:rPr>
        <w:tab/>
      </w:r>
      <w:bookmarkStart w:id="0" w:name="_Hlk3901502"/>
      <w:r w:rsidRPr="00402E75">
        <w:rPr>
          <w:lang w:val="fr-FR"/>
        </w:rPr>
        <w:t xml:space="preserve">La Convention dans le droit interne et le cadre institutionnel et général </w:t>
      </w:r>
      <w:r>
        <w:rPr>
          <w:lang w:val="fr-FR"/>
        </w:rPr>
        <w:br/>
      </w:r>
      <w:r w:rsidRPr="00402E75">
        <w:rPr>
          <w:lang w:val="fr-FR"/>
        </w:rPr>
        <w:t>de sa mise en œuvre (art.</w:t>
      </w:r>
      <w:r>
        <w:rPr>
          <w:lang w:val="fr-FR"/>
        </w:rPr>
        <w:t> </w:t>
      </w:r>
      <w:r w:rsidRPr="00402E75">
        <w:rPr>
          <w:lang w:val="fr-FR"/>
        </w:rPr>
        <w:t>1-4 et 6)</w:t>
      </w:r>
    </w:p>
    <w:bookmarkEnd w:id="0"/>
    <w:p w:rsidR="00402E75" w:rsidRPr="00402E75" w:rsidRDefault="00402E75" w:rsidP="00402E75">
      <w:pPr>
        <w:pStyle w:val="SingleTxtG"/>
      </w:pPr>
      <w:r w:rsidRPr="00402E75">
        <w:rPr>
          <w:lang w:val="fr-FR"/>
        </w:rPr>
        <w:t>3.</w:t>
      </w:r>
      <w:r w:rsidRPr="00402E75">
        <w:rPr>
          <w:lang w:val="fr-FR"/>
        </w:rPr>
        <w:tab/>
        <w:t>Absence dans la législation zambienne d</w:t>
      </w:r>
      <w:r>
        <w:rPr>
          <w:lang w:val="fr-FR"/>
        </w:rPr>
        <w:t>’</w:t>
      </w:r>
      <w:r w:rsidRPr="00402E75">
        <w:rPr>
          <w:lang w:val="fr-FR"/>
        </w:rPr>
        <w:t>une définition de la discrimination raciale conforme à l</w:t>
      </w:r>
      <w:r>
        <w:rPr>
          <w:lang w:val="fr-FR"/>
        </w:rPr>
        <w:t>’</w:t>
      </w:r>
      <w:r w:rsidRPr="00402E75">
        <w:rPr>
          <w:lang w:val="fr-FR"/>
        </w:rPr>
        <w:t>article premier de la Convention. Pleine conformité de la Constitution et du droit interne avec la Convention. Adoption et mise en œuvre d</w:t>
      </w:r>
      <w:r>
        <w:rPr>
          <w:lang w:val="fr-FR"/>
        </w:rPr>
        <w:t>’</w:t>
      </w:r>
      <w:r w:rsidRPr="00402E75">
        <w:rPr>
          <w:lang w:val="fr-FR"/>
        </w:rPr>
        <w:t>une législation antidiscrimination complète qui interdise toute forme de discrimination (CERD/C/</w:t>
      </w:r>
      <w:r>
        <w:rPr>
          <w:lang w:val="fr-FR"/>
        </w:rPr>
        <w:br/>
      </w:r>
      <w:r w:rsidRPr="00402E75">
        <w:rPr>
          <w:lang w:val="fr-FR"/>
        </w:rPr>
        <w:t>ZMB/CO/16, par.</w:t>
      </w:r>
      <w:r>
        <w:rPr>
          <w:lang w:val="fr-FR"/>
        </w:rPr>
        <w:t> </w:t>
      </w:r>
      <w:r w:rsidRPr="00402E75">
        <w:rPr>
          <w:lang w:val="fr-FR"/>
        </w:rPr>
        <w:t>10 et 11</w:t>
      </w:r>
      <w:r>
        <w:rPr>
          <w:lang w:val="fr-FR"/>
        </w:rPr>
        <w:t> </w:t>
      </w:r>
      <w:r w:rsidRPr="00402E75">
        <w:rPr>
          <w:lang w:val="fr-FR"/>
        </w:rPr>
        <w:t>; CERD/C/ZMB/17-19, par.</w:t>
      </w:r>
      <w:r>
        <w:rPr>
          <w:lang w:val="fr-FR"/>
        </w:rPr>
        <w:t> </w:t>
      </w:r>
      <w:r w:rsidRPr="00402E75">
        <w:rPr>
          <w:lang w:val="fr-FR"/>
        </w:rPr>
        <w:t>8 à 10, 27 et 57 à</w:t>
      </w:r>
      <w:r>
        <w:rPr>
          <w:lang w:val="fr-FR"/>
        </w:rPr>
        <w:t> </w:t>
      </w:r>
      <w:r w:rsidRPr="00402E75">
        <w:rPr>
          <w:lang w:val="fr-FR"/>
        </w:rPr>
        <w:t>59).</w:t>
      </w:r>
    </w:p>
    <w:p w:rsidR="00402E75" w:rsidRPr="00402E75" w:rsidRDefault="00402E75" w:rsidP="00402E75">
      <w:pPr>
        <w:pStyle w:val="SingleTxtG"/>
      </w:pPr>
      <w:r w:rsidRPr="00402E75">
        <w:rPr>
          <w:lang w:val="fr-FR"/>
        </w:rPr>
        <w:t>4.</w:t>
      </w:r>
      <w:r w:rsidRPr="00402E75">
        <w:rPr>
          <w:lang w:val="fr-FR"/>
        </w:rPr>
        <w:tab/>
        <w:t>Conformité des dispositions de l</w:t>
      </w:r>
      <w:r>
        <w:rPr>
          <w:lang w:val="fr-FR"/>
        </w:rPr>
        <w:t>’</w:t>
      </w:r>
      <w:r w:rsidRPr="00402E75">
        <w:rPr>
          <w:lang w:val="fr-FR"/>
        </w:rPr>
        <w:t>article</w:t>
      </w:r>
      <w:r>
        <w:rPr>
          <w:lang w:val="fr-FR"/>
        </w:rPr>
        <w:t> </w:t>
      </w:r>
      <w:r w:rsidRPr="00402E75">
        <w:rPr>
          <w:lang w:val="fr-FR"/>
        </w:rPr>
        <w:t>11 et du paragraphe</w:t>
      </w:r>
      <w:r>
        <w:rPr>
          <w:lang w:val="fr-FR"/>
        </w:rPr>
        <w:t> </w:t>
      </w:r>
      <w:r w:rsidRPr="00402E75">
        <w:rPr>
          <w:lang w:val="fr-FR"/>
        </w:rPr>
        <w:t>4 de l</w:t>
      </w:r>
      <w:r>
        <w:rPr>
          <w:lang w:val="fr-FR"/>
        </w:rPr>
        <w:t>’</w:t>
      </w:r>
      <w:r w:rsidRPr="00402E75">
        <w:rPr>
          <w:lang w:val="fr-FR"/>
        </w:rPr>
        <w:t>article</w:t>
      </w:r>
      <w:r>
        <w:rPr>
          <w:lang w:val="fr-FR"/>
        </w:rPr>
        <w:t> </w:t>
      </w:r>
      <w:r w:rsidRPr="00402E75">
        <w:rPr>
          <w:lang w:val="fr-FR"/>
        </w:rPr>
        <w:t>23 de la nouvelle Constitution avec la Convention (CERD/C/ZMB/CO/16, par.</w:t>
      </w:r>
      <w:r>
        <w:rPr>
          <w:lang w:val="fr-FR"/>
        </w:rPr>
        <w:t> </w:t>
      </w:r>
      <w:r w:rsidRPr="00402E75">
        <w:rPr>
          <w:lang w:val="fr-FR"/>
        </w:rPr>
        <w:t>9 à</w:t>
      </w:r>
      <w:r>
        <w:rPr>
          <w:lang w:val="fr-FR"/>
        </w:rPr>
        <w:t> </w:t>
      </w:r>
      <w:r w:rsidRPr="00402E75">
        <w:rPr>
          <w:lang w:val="fr-FR"/>
        </w:rPr>
        <w:t>11)</w:t>
      </w:r>
      <w:r>
        <w:rPr>
          <w:lang w:val="fr-FR"/>
        </w:rPr>
        <w:t> </w:t>
      </w:r>
      <w:r w:rsidRPr="00402E75">
        <w:rPr>
          <w:lang w:val="fr-FR"/>
        </w:rPr>
        <w:t>; CERD/C/</w:t>
      </w:r>
      <w:r>
        <w:rPr>
          <w:lang w:val="fr-FR"/>
        </w:rPr>
        <w:br/>
      </w:r>
      <w:r w:rsidRPr="00402E75">
        <w:rPr>
          <w:lang w:val="fr-FR"/>
        </w:rPr>
        <w:t>ZMB/17-19, par.</w:t>
      </w:r>
      <w:r>
        <w:rPr>
          <w:lang w:val="fr-FR"/>
        </w:rPr>
        <w:t> </w:t>
      </w:r>
      <w:r w:rsidRPr="00402E75">
        <w:rPr>
          <w:lang w:val="fr-FR"/>
        </w:rPr>
        <w:t>5, 7, 8, 64, 65 et 107</w:t>
      </w:r>
      <w:r>
        <w:rPr>
          <w:lang w:val="fr-FR"/>
        </w:rPr>
        <w:t> </w:t>
      </w:r>
      <w:r w:rsidRPr="00402E75">
        <w:rPr>
          <w:lang w:val="fr-FR"/>
        </w:rPr>
        <w:t>; CCPR/C/ZMB/CO/3, par.</w:t>
      </w:r>
      <w:r>
        <w:rPr>
          <w:lang w:val="fr-FR"/>
        </w:rPr>
        <w:t> </w:t>
      </w:r>
      <w:r w:rsidRPr="00402E75">
        <w:rPr>
          <w:lang w:val="fr-FR"/>
        </w:rPr>
        <w:t>12. Autres possibilités de modifier le paragraphe</w:t>
      </w:r>
      <w:r>
        <w:rPr>
          <w:lang w:val="fr-FR"/>
        </w:rPr>
        <w:t> </w:t>
      </w:r>
      <w:r w:rsidRPr="00402E75">
        <w:rPr>
          <w:lang w:val="fr-FR"/>
        </w:rPr>
        <w:t>4 de l</w:t>
      </w:r>
      <w:r>
        <w:rPr>
          <w:lang w:val="fr-FR"/>
        </w:rPr>
        <w:t>’</w:t>
      </w:r>
      <w:r w:rsidRPr="00402E75">
        <w:rPr>
          <w:lang w:val="fr-FR"/>
        </w:rPr>
        <w:t>article</w:t>
      </w:r>
      <w:r>
        <w:rPr>
          <w:lang w:val="fr-FR"/>
        </w:rPr>
        <w:t> </w:t>
      </w:r>
      <w:r w:rsidRPr="00402E75">
        <w:rPr>
          <w:lang w:val="fr-FR"/>
        </w:rPr>
        <w:t>23 de la Constitution à la suite de l</w:t>
      </w:r>
      <w:r>
        <w:rPr>
          <w:lang w:val="fr-FR"/>
        </w:rPr>
        <w:t>’</w:t>
      </w:r>
      <w:r w:rsidRPr="00402E75">
        <w:rPr>
          <w:lang w:val="fr-FR"/>
        </w:rPr>
        <w:t>échec du referendum de 2016 (CERD/C/ZMB/CO/16, par.</w:t>
      </w:r>
      <w:r>
        <w:rPr>
          <w:lang w:val="fr-FR"/>
        </w:rPr>
        <w:t> </w:t>
      </w:r>
      <w:r w:rsidRPr="00402E75">
        <w:rPr>
          <w:lang w:val="fr-FR"/>
        </w:rPr>
        <w:t>9</w:t>
      </w:r>
      <w:r>
        <w:rPr>
          <w:lang w:val="fr-FR"/>
        </w:rPr>
        <w:t> </w:t>
      </w:r>
      <w:r w:rsidRPr="00402E75">
        <w:rPr>
          <w:lang w:val="fr-FR"/>
        </w:rPr>
        <w:t>; CERD/C/ZMB/17-19, par.</w:t>
      </w:r>
      <w:r>
        <w:rPr>
          <w:lang w:val="fr-FR"/>
        </w:rPr>
        <w:t> </w:t>
      </w:r>
      <w:r w:rsidRPr="00402E75">
        <w:rPr>
          <w:lang w:val="fr-FR"/>
        </w:rPr>
        <w:t>4 et 5).</w:t>
      </w:r>
    </w:p>
    <w:p w:rsidR="00402E75" w:rsidRPr="00402E75" w:rsidRDefault="00402E75" w:rsidP="00402E75">
      <w:pPr>
        <w:pStyle w:val="SingleTxtG"/>
      </w:pPr>
      <w:r w:rsidRPr="00402E75">
        <w:rPr>
          <w:lang w:val="fr-FR"/>
        </w:rPr>
        <w:t>5.</w:t>
      </w:r>
      <w:r w:rsidRPr="00402E75">
        <w:rPr>
          <w:lang w:val="fr-FR"/>
        </w:rPr>
        <w:tab/>
        <w:t>Pleine conformité du Code pénal avec l</w:t>
      </w:r>
      <w:r>
        <w:rPr>
          <w:lang w:val="fr-FR"/>
        </w:rPr>
        <w:t>’</w:t>
      </w:r>
      <w:r w:rsidRPr="00402E75">
        <w:rPr>
          <w:lang w:val="fr-FR"/>
        </w:rPr>
        <w:t>article</w:t>
      </w:r>
      <w:r>
        <w:rPr>
          <w:lang w:val="fr-FR"/>
        </w:rPr>
        <w:t> </w:t>
      </w:r>
      <w:r w:rsidRPr="00402E75">
        <w:rPr>
          <w:lang w:val="fr-FR"/>
        </w:rPr>
        <w:t>4</w:t>
      </w:r>
      <w:r>
        <w:rPr>
          <w:lang w:val="fr-FR"/>
        </w:rPr>
        <w:t> </w:t>
      </w:r>
      <w:r w:rsidRPr="00402E75">
        <w:rPr>
          <w:lang w:val="fr-FR"/>
        </w:rPr>
        <w:t>b) de la Convention (CERD/C/</w:t>
      </w:r>
      <w:r>
        <w:rPr>
          <w:lang w:val="fr-FR"/>
        </w:rPr>
        <w:br/>
      </w:r>
      <w:r w:rsidRPr="00402E75">
        <w:rPr>
          <w:lang w:val="fr-FR"/>
        </w:rPr>
        <w:t>ZMB/CO/16, par.</w:t>
      </w:r>
      <w:r>
        <w:rPr>
          <w:lang w:val="fr-FR"/>
        </w:rPr>
        <w:t> </w:t>
      </w:r>
      <w:r w:rsidRPr="00402E75">
        <w:rPr>
          <w:lang w:val="fr-FR"/>
        </w:rPr>
        <w:t>16). Mesures visant à ériger la motivation raciste d</w:t>
      </w:r>
      <w:r>
        <w:rPr>
          <w:lang w:val="fr-FR"/>
        </w:rPr>
        <w:t>’</w:t>
      </w:r>
      <w:r w:rsidRPr="00402E75">
        <w:rPr>
          <w:lang w:val="fr-FR"/>
        </w:rPr>
        <w:t xml:space="preserve">une infraction en </w:t>
      </w:r>
      <w:r w:rsidRPr="00402E75">
        <w:rPr>
          <w:lang w:val="fr-FR"/>
        </w:rPr>
        <w:lastRenderedPageBreak/>
        <w:t>circonstance aggravante dans la législation pénale (CERD/C/ZMB/17-19, par.</w:t>
      </w:r>
      <w:r>
        <w:rPr>
          <w:lang w:val="fr-FR"/>
        </w:rPr>
        <w:t> </w:t>
      </w:r>
      <w:r w:rsidRPr="00402E75">
        <w:rPr>
          <w:lang w:val="fr-FR"/>
        </w:rPr>
        <w:t>10, 28, 29, 82 et 85).</w:t>
      </w:r>
    </w:p>
    <w:p w:rsidR="00402E75" w:rsidRPr="00402E75" w:rsidRDefault="00402E75" w:rsidP="00402E75">
      <w:pPr>
        <w:pStyle w:val="SingleTxtG"/>
      </w:pPr>
      <w:r w:rsidRPr="00402E75">
        <w:rPr>
          <w:lang w:val="fr-FR"/>
        </w:rPr>
        <w:t>6.</w:t>
      </w:r>
      <w:r w:rsidRPr="00402E75">
        <w:rPr>
          <w:lang w:val="fr-FR"/>
        </w:rPr>
        <w:tab/>
        <w:t>Mesures visant à faciliter le dépôt de plaintes pour des actes, des faits ou des situations de discrimination raciale (CERD/C/ZMB/CO/16, par.</w:t>
      </w:r>
      <w:r>
        <w:rPr>
          <w:lang w:val="fr-FR"/>
        </w:rPr>
        <w:t> </w:t>
      </w:r>
      <w:r w:rsidRPr="00402E75">
        <w:rPr>
          <w:lang w:val="fr-FR"/>
        </w:rPr>
        <w:t xml:space="preserve">17 et 18). </w:t>
      </w:r>
    </w:p>
    <w:p w:rsidR="00402E75" w:rsidRPr="00402E75" w:rsidRDefault="00402E75" w:rsidP="00402E75">
      <w:pPr>
        <w:pStyle w:val="SingleTxtG"/>
      </w:pPr>
      <w:r w:rsidRPr="00402E75">
        <w:rPr>
          <w:lang w:val="fr-FR"/>
        </w:rPr>
        <w:t>7.</w:t>
      </w:r>
      <w:r w:rsidRPr="00402E75">
        <w:rPr>
          <w:lang w:val="fr-FR"/>
        </w:rPr>
        <w:tab/>
        <w:t>Mise à jour des informations sur le traitement de cas relatifs à la discrimination raciale, traités par les juridictions de l</w:t>
      </w:r>
      <w:r>
        <w:rPr>
          <w:lang w:val="fr-FR"/>
        </w:rPr>
        <w:t>’</w:t>
      </w:r>
      <w:r w:rsidRPr="00402E75">
        <w:rPr>
          <w:lang w:val="fr-FR"/>
        </w:rPr>
        <w:t>État partie, par la Commission zambienne des droits de l</w:t>
      </w:r>
      <w:r>
        <w:rPr>
          <w:lang w:val="fr-FR"/>
        </w:rPr>
        <w:t>’</w:t>
      </w:r>
      <w:r w:rsidRPr="00402E75">
        <w:rPr>
          <w:lang w:val="fr-FR"/>
        </w:rPr>
        <w:t>homme, ou par d</w:t>
      </w:r>
      <w:r>
        <w:rPr>
          <w:lang w:val="fr-FR"/>
        </w:rPr>
        <w:t>’</w:t>
      </w:r>
      <w:r w:rsidRPr="00402E75">
        <w:rPr>
          <w:lang w:val="fr-FR"/>
        </w:rPr>
        <w:t>autres institutions compétentes zambiennes, notamment les plaintes déposées, les enquêtes menées, les poursuites engagées, les condamnations et sanctions prononcées ainsi que la réparation accordée aux victimes. Informations sur le nombre de personnes qui ont bénéficié de l</w:t>
      </w:r>
      <w:r>
        <w:rPr>
          <w:lang w:val="fr-FR"/>
        </w:rPr>
        <w:t>’</w:t>
      </w:r>
      <w:r w:rsidRPr="00402E75">
        <w:rPr>
          <w:lang w:val="fr-FR"/>
        </w:rPr>
        <w:t>aide judiciaire gratuite fournie par les bureaux de la Commission d</w:t>
      </w:r>
      <w:r>
        <w:rPr>
          <w:lang w:val="fr-FR"/>
        </w:rPr>
        <w:t>’</w:t>
      </w:r>
      <w:r w:rsidRPr="00402E75">
        <w:rPr>
          <w:lang w:val="fr-FR"/>
        </w:rPr>
        <w:t>aide judiciaire ou les bureaux de services juridiques en vue d</w:t>
      </w:r>
      <w:r>
        <w:rPr>
          <w:lang w:val="fr-FR"/>
        </w:rPr>
        <w:t>’</w:t>
      </w:r>
      <w:r w:rsidRPr="00402E75">
        <w:rPr>
          <w:lang w:val="fr-FR"/>
        </w:rPr>
        <w:t>intenter une action pour discrimination raciale (CERD/C/ZMB/CO/16, par.</w:t>
      </w:r>
      <w:r>
        <w:rPr>
          <w:lang w:val="fr-FR"/>
        </w:rPr>
        <w:t> </w:t>
      </w:r>
      <w:r w:rsidRPr="00402E75">
        <w:rPr>
          <w:lang w:val="fr-FR"/>
        </w:rPr>
        <w:t>17 à 19</w:t>
      </w:r>
      <w:r>
        <w:rPr>
          <w:lang w:val="fr-FR"/>
        </w:rPr>
        <w:t> </w:t>
      </w:r>
      <w:r w:rsidRPr="00402E75">
        <w:rPr>
          <w:lang w:val="fr-FR"/>
        </w:rPr>
        <w:t>; CERD/C/ZMB/17-19, par.</w:t>
      </w:r>
      <w:r>
        <w:rPr>
          <w:lang w:val="fr-FR"/>
        </w:rPr>
        <w:t> </w:t>
      </w:r>
      <w:r w:rsidRPr="00402E75">
        <w:rPr>
          <w:lang w:val="fr-FR"/>
        </w:rPr>
        <w:t>30 à 33, 40, 42, 99, 108 à 109 et</w:t>
      </w:r>
      <w:r>
        <w:rPr>
          <w:lang w:val="fr-FR"/>
        </w:rPr>
        <w:t> </w:t>
      </w:r>
      <w:r w:rsidRPr="00402E75">
        <w:rPr>
          <w:lang w:val="fr-FR"/>
        </w:rPr>
        <w:t>111).</w:t>
      </w:r>
    </w:p>
    <w:p w:rsidR="00402E75" w:rsidRPr="00402E75" w:rsidRDefault="00402E75" w:rsidP="00402E75">
      <w:pPr>
        <w:pStyle w:val="SingleTxtG"/>
      </w:pPr>
      <w:r w:rsidRPr="00402E75">
        <w:rPr>
          <w:lang w:val="fr-FR"/>
        </w:rPr>
        <w:t>8.</w:t>
      </w:r>
      <w:r w:rsidRPr="00402E75">
        <w:rPr>
          <w:lang w:val="fr-FR"/>
        </w:rPr>
        <w:tab/>
        <w:t>Mesures complémentaires prises pour mieux informer la population de ses droits au titre de la Convention et des mécanismes de plainte existants. Mesures visant à dispenser aux magistrats, aux responsables de l</w:t>
      </w:r>
      <w:r>
        <w:rPr>
          <w:lang w:val="fr-FR"/>
        </w:rPr>
        <w:t>’</w:t>
      </w:r>
      <w:r w:rsidRPr="00402E75">
        <w:rPr>
          <w:lang w:val="fr-FR"/>
        </w:rPr>
        <w:t>application des lois et aux juristes une formation obligatoire sur les dispositions de la Convention (CERD/C/ZMB/CO/16, par.</w:t>
      </w:r>
      <w:r>
        <w:rPr>
          <w:lang w:val="fr-FR"/>
        </w:rPr>
        <w:t> </w:t>
      </w:r>
      <w:r w:rsidRPr="00402E75">
        <w:rPr>
          <w:lang w:val="fr-FR"/>
        </w:rPr>
        <w:t>19</w:t>
      </w:r>
      <w:r>
        <w:rPr>
          <w:lang w:val="fr-FR"/>
        </w:rPr>
        <w:t> </w:t>
      </w:r>
      <w:r w:rsidRPr="00402E75">
        <w:rPr>
          <w:lang w:val="fr-FR"/>
        </w:rPr>
        <w:t>; CERD/C/ZMB/17-19, par.</w:t>
      </w:r>
      <w:r>
        <w:rPr>
          <w:lang w:val="fr-FR"/>
        </w:rPr>
        <w:t> </w:t>
      </w:r>
      <w:r w:rsidRPr="00402E75">
        <w:rPr>
          <w:lang w:val="fr-FR"/>
        </w:rPr>
        <w:t>35 à 38, 41 et 43).</w:t>
      </w:r>
    </w:p>
    <w:p w:rsidR="00402E75" w:rsidRPr="00402E75" w:rsidRDefault="00402E75" w:rsidP="00402E75">
      <w:pPr>
        <w:pStyle w:val="SingleTxtG"/>
      </w:pPr>
      <w:r w:rsidRPr="00402E75">
        <w:rPr>
          <w:lang w:val="fr-FR"/>
        </w:rPr>
        <w:t>9.</w:t>
      </w:r>
      <w:r w:rsidRPr="00402E75">
        <w:rPr>
          <w:lang w:val="fr-FR"/>
        </w:rPr>
        <w:tab/>
        <w:t>Mesures prises pour que des ressources humaines et financières suffisantes soient allouées à la Commission zambienne des droits de l</w:t>
      </w:r>
      <w:r>
        <w:rPr>
          <w:lang w:val="fr-FR"/>
        </w:rPr>
        <w:t>’</w:t>
      </w:r>
      <w:r w:rsidRPr="00402E75">
        <w:rPr>
          <w:lang w:val="fr-FR"/>
        </w:rPr>
        <w:t>homme. État d</w:t>
      </w:r>
      <w:r>
        <w:rPr>
          <w:lang w:val="fr-FR"/>
        </w:rPr>
        <w:t>’</w:t>
      </w:r>
      <w:r w:rsidRPr="00402E75">
        <w:rPr>
          <w:lang w:val="fr-FR"/>
        </w:rPr>
        <w:t>avancement de la décentralisation de ses bureaux. Précisions au sujet du mandat du Comité sur l</w:t>
      </w:r>
      <w:r>
        <w:rPr>
          <w:lang w:val="fr-FR"/>
        </w:rPr>
        <w:t>’</w:t>
      </w:r>
      <w:r w:rsidRPr="00402E75">
        <w:rPr>
          <w:lang w:val="fr-FR"/>
        </w:rPr>
        <w:t>intégrité du système d</w:t>
      </w:r>
      <w:r>
        <w:rPr>
          <w:lang w:val="fr-FR"/>
        </w:rPr>
        <w:t>’</w:t>
      </w:r>
      <w:r w:rsidRPr="00402E75">
        <w:rPr>
          <w:lang w:val="fr-FR"/>
        </w:rPr>
        <w:t>immigration, ainsi que ses ressources financières et humaines (CERD/C/ZMB/CO/16, par.</w:t>
      </w:r>
      <w:r>
        <w:rPr>
          <w:lang w:val="fr-FR"/>
        </w:rPr>
        <w:t> </w:t>
      </w:r>
      <w:r w:rsidRPr="00402E75">
        <w:rPr>
          <w:lang w:val="fr-FR"/>
        </w:rPr>
        <w:t>20</w:t>
      </w:r>
      <w:r>
        <w:rPr>
          <w:lang w:val="fr-FR"/>
        </w:rPr>
        <w:t> </w:t>
      </w:r>
      <w:r w:rsidRPr="00402E75">
        <w:rPr>
          <w:lang w:val="fr-FR"/>
        </w:rPr>
        <w:t>; CERD/C/ZMB/17-19, par.</w:t>
      </w:r>
      <w:r>
        <w:rPr>
          <w:lang w:val="fr-FR"/>
        </w:rPr>
        <w:t> </w:t>
      </w:r>
      <w:r w:rsidRPr="00402E75">
        <w:rPr>
          <w:lang w:val="fr-FR"/>
        </w:rPr>
        <w:t>46 à 47, 52 à 53, 67, 97 et</w:t>
      </w:r>
      <w:r>
        <w:rPr>
          <w:lang w:val="fr-FR"/>
        </w:rPr>
        <w:t> </w:t>
      </w:r>
      <w:r w:rsidRPr="00402E75">
        <w:rPr>
          <w:lang w:val="fr-FR"/>
        </w:rPr>
        <w:t>113).</w:t>
      </w:r>
    </w:p>
    <w:p w:rsidR="00402E75" w:rsidRPr="00402E75" w:rsidRDefault="00402E75" w:rsidP="00402E75">
      <w:pPr>
        <w:pStyle w:val="H23G"/>
      </w:pPr>
      <w:r w:rsidRPr="00402E75">
        <w:rPr>
          <w:lang w:val="fr-FR"/>
        </w:rPr>
        <w:tab/>
      </w:r>
      <w:r w:rsidRPr="00402E75">
        <w:rPr>
          <w:lang w:val="fr-FR"/>
        </w:rPr>
        <w:tab/>
        <w:t>Situation des groupes ethniques et des peuples autochtones (art.</w:t>
      </w:r>
      <w:r>
        <w:rPr>
          <w:lang w:val="fr-FR"/>
        </w:rPr>
        <w:t> </w:t>
      </w:r>
      <w:r w:rsidRPr="00402E75">
        <w:rPr>
          <w:lang w:val="fr-FR"/>
        </w:rPr>
        <w:t>1</w:t>
      </w:r>
      <w:r w:rsidRPr="00402E75">
        <w:rPr>
          <w:vertAlign w:val="superscript"/>
          <w:lang w:val="fr-FR"/>
        </w:rPr>
        <w:t>er</w:t>
      </w:r>
      <w:r w:rsidRPr="00402E75">
        <w:rPr>
          <w:lang w:val="fr-FR"/>
        </w:rPr>
        <w:t>, 5 et 7)</w:t>
      </w:r>
    </w:p>
    <w:p w:rsidR="00402E75" w:rsidRPr="00402E75" w:rsidRDefault="00402E75" w:rsidP="00402E75">
      <w:pPr>
        <w:pStyle w:val="SingleTxtG"/>
      </w:pPr>
      <w:r w:rsidRPr="00402E75">
        <w:rPr>
          <w:lang w:val="fr-FR"/>
        </w:rPr>
        <w:t>10.</w:t>
      </w:r>
      <w:r w:rsidRPr="00402E75">
        <w:rPr>
          <w:lang w:val="fr-FR"/>
        </w:rPr>
        <w:tab/>
        <w:t>Participation et consultation systématiques des groupes ethniques dans le cadre du processus d</w:t>
      </w:r>
      <w:r>
        <w:rPr>
          <w:lang w:val="fr-FR"/>
        </w:rPr>
        <w:t>’</w:t>
      </w:r>
      <w:r w:rsidRPr="00402E75">
        <w:rPr>
          <w:lang w:val="fr-FR"/>
        </w:rPr>
        <w:t>élaboration des politiques, en particulier sur les questions qui les concernent. Mesures spécifiques pour garantir leur représentation aux postes de décision dans la vie politique et publique, et données sur cette représentation.</w:t>
      </w:r>
    </w:p>
    <w:p w:rsidR="00402E75" w:rsidRPr="00402E75" w:rsidRDefault="00402E75" w:rsidP="00402E75">
      <w:pPr>
        <w:pStyle w:val="SingleTxtG"/>
      </w:pPr>
      <w:r w:rsidRPr="00402E75">
        <w:rPr>
          <w:lang w:val="fr-FR"/>
        </w:rPr>
        <w:t>11.</w:t>
      </w:r>
      <w:r w:rsidRPr="00402E75">
        <w:rPr>
          <w:lang w:val="fr-FR"/>
        </w:rPr>
        <w:tab/>
        <w:t>Renseignements à jour sur la jouissance des droits énoncés dans la Convention par les groupes ethniques et les peuples autochtones, y compris les femmes, en particulier l</w:t>
      </w:r>
      <w:r>
        <w:rPr>
          <w:lang w:val="fr-FR"/>
        </w:rPr>
        <w:t>’</w:t>
      </w:r>
      <w:r w:rsidRPr="00402E75">
        <w:rPr>
          <w:lang w:val="fr-FR"/>
        </w:rPr>
        <w:t>accès à l</w:t>
      </w:r>
      <w:r>
        <w:rPr>
          <w:lang w:val="fr-FR"/>
        </w:rPr>
        <w:t>’</w:t>
      </w:r>
      <w:r w:rsidRPr="00402E75">
        <w:rPr>
          <w:lang w:val="fr-FR"/>
        </w:rPr>
        <w:t>éducation, au logement, à l</w:t>
      </w:r>
      <w:r>
        <w:rPr>
          <w:lang w:val="fr-FR"/>
        </w:rPr>
        <w:t>’</w:t>
      </w:r>
      <w:r w:rsidRPr="00402E75">
        <w:rPr>
          <w:lang w:val="fr-FR"/>
        </w:rPr>
        <w:t>emploi, aux soins de santé et à l</w:t>
      </w:r>
      <w:r>
        <w:rPr>
          <w:lang w:val="fr-FR"/>
        </w:rPr>
        <w:t>’</w:t>
      </w:r>
      <w:r w:rsidRPr="00402E75">
        <w:rPr>
          <w:lang w:val="fr-FR"/>
        </w:rPr>
        <w:t>enregistrement des naissances (CRC/C/ZMB/CO/2-4, par.</w:t>
      </w:r>
      <w:r>
        <w:rPr>
          <w:lang w:val="fr-FR"/>
        </w:rPr>
        <w:t> </w:t>
      </w:r>
      <w:r w:rsidRPr="00402E75">
        <w:rPr>
          <w:lang w:val="fr-FR"/>
        </w:rPr>
        <w:t>31 à</w:t>
      </w:r>
      <w:r>
        <w:rPr>
          <w:lang w:val="fr-FR"/>
        </w:rPr>
        <w:t> </w:t>
      </w:r>
      <w:r w:rsidRPr="00402E75">
        <w:rPr>
          <w:lang w:val="fr-FR"/>
        </w:rPr>
        <w:t>32</w:t>
      </w:r>
      <w:r>
        <w:rPr>
          <w:lang w:val="fr-FR"/>
        </w:rPr>
        <w:t> </w:t>
      </w:r>
      <w:r w:rsidRPr="00402E75">
        <w:rPr>
          <w:lang w:val="fr-FR"/>
        </w:rPr>
        <w:t>; A/HRC/WG.6/28/ZMB/2, par.</w:t>
      </w:r>
      <w:r>
        <w:rPr>
          <w:lang w:val="fr-FR"/>
        </w:rPr>
        <w:t> </w:t>
      </w:r>
      <w:r w:rsidRPr="00402E75">
        <w:rPr>
          <w:lang w:val="fr-FR"/>
        </w:rPr>
        <w:t>78. A/HRC/WG.6/28/ZMB/3, par.</w:t>
      </w:r>
      <w:r>
        <w:rPr>
          <w:lang w:val="fr-FR"/>
        </w:rPr>
        <w:t> </w:t>
      </w:r>
      <w:r w:rsidRPr="00402E75">
        <w:rPr>
          <w:lang w:val="fr-FR"/>
        </w:rPr>
        <w:t>81</w:t>
      </w:r>
      <w:r w:rsidR="00683840">
        <w:rPr>
          <w:lang w:val="fr-FR"/>
        </w:rPr>
        <w:t>)</w:t>
      </w:r>
      <w:r w:rsidRPr="00402E75">
        <w:rPr>
          <w:lang w:val="fr-FR"/>
        </w:rPr>
        <w:t xml:space="preserve">. </w:t>
      </w:r>
    </w:p>
    <w:p w:rsidR="00402E75" w:rsidRPr="00402E75" w:rsidRDefault="00402E75" w:rsidP="00402E75">
      <w:pPr>
        <w:pStyle w:val="SingleTxtG"/>
      </w:pPr>
      <w:r w:rsidRPr="00402E75">
        <w:rPr>
          <w:lang w:val="fr-FR"/>
        </w:rPr>
        <w:t>12.</w:t>
      </w:r>
      <w:r w:rsidRPr="00402E75">
        <w:rPr>
          <w:lang w:val="fr-FR"/>
        </w:rPr>
        <w:tab/>
        <w:t>Reconnaissance de la propriété des peuples autochtones sur les terres qu</w:t>
      </w:r>
      <w:r>
        <w:rPr>
          <w:lang w:val="fr-FR"/>
        </w:rPr>
        <w:t>’</w:t>
      </w:r>
      <w:r w:rsidRPr="00402E75">
        <w:rPr>
          <w:lang w:val="fr-FR"/>
        </w:rPr>
        <w:t>ils occupent ou ont occupées traditionnellement. Précisions sur les mesures prises pour préserver les terres tribales ancestrales, les protéger de la vente ou la location et accorder une indemnisation appropriée à ceux dont l</w:t>
      </w:r>
      <w:r>
        <w:rPr>
          <w:lang w:val="fr-FR"/>
        </w:rPr>
        <w:t>’</w:t>
      </w:r>
      <w:r w:rsidRPr="00402E75">
        <w:rPr>
          <w:lang w:val="fr-FR"/>
        </w:rPr>
        <w:t>accès a été entravé.</w:t>
      </w:r>
    </w:p>
    <w:p w:rsidR="00402E75" w:rsidRPr="00402E75" w:rsidRDefault="00402E75" w:rsidP="00402E75">
      <w:pPr>
        <w:pStyle w:val="H23G"/>
      </w:pPr>
      <w:r w:rsidRPr="00402E75">
        <w:rPr>
          <w:lang w:val="fr-FR"/>
        </w:rPr>
        <w:tab/>
      </w:r>
      <w:r w:rsidRPr="00402E75">
        <w:rPr>
          <w:lang w:val="fr-FR"/>
        </w:rPr>
        <w:tab/>
        <w:t xml:space="preserve">Situation des non-ressortissants, notamment les migrants, les réfugiés </w:t>
      </w:r>
      <w:r>
        <w:rPr>
          <w:lang w:val="fr-FR"/>
        </w:rPr>
        <w:br/>
      </w:r>
      <w:r w:rsidRPr="00402E75">
        <w:rPr>
          <w:lang w:val="fr-FR"/>
        </w:rPr>
        <w:t>et les demandeurs d</w:t>
      </w:r>
      <w:r>
        <w:rPr>
          <w:lang w:val="fr-FR"/>
        </w:rPr>
        <w:t>’</w:t>
      </w:r>
      <w:r w:rsidRPr="00402E75">
        <w:rPr>
          <w:lang w:val="fr-FR"/>
        </w:rPr>
        <w:t>asile (art.</w:t>
      </w:r>
      <w:r>
        <w:rPr>
          <w:lang w:val="fr-FR"/>
        </w:rPr>
        <w:t> </w:t>
      </w:r>
      <w:r w:rsidRPr="00402E75">
        <w:rPr>
          <w:lang w:val="fr-FR"/>
        </w:rPr>
        <w:t>1 et 2, 5 et 6)</w:t>
      </w:r>
    </w:p>
    <w:p w:rsidR="00402E75" w:rsidRPr="00402E75" w:rsidRDefault="00402E75" w:rsidP="00402E75">
      <w:pPr>
        <w:pStyle w:val="SingleTxtG"/>
      </w:pPr>
      <w:r w:rsidRPr="00402E75">
        <w:rPr>
          <w:lang w:val="fr-FR"/>
        </w:rPr>
        <w:t>13.</w:t>
      </w:r>
      <w:r w:rsidRPr="00402E75">
        <w:rPr>
          <w:lang w:val="fr-FR"/>
        </w:rPr>
        <w:tab/>
        <w:t>Accès des non-ressortissants, y compris les migrants, les demandeurs d</w:t>
      </w:r>
      <w:r>
        <w:rPr>
          <w:lang w:val="fr-FR"/>
        </w:rPr>
        <w:t>’</w:t>
      </w:r>
      <w:r w:rsidRPr="00402E75">
        <w:rPr>
          <w:lang w:val="fr-FR"/>
        </w:rPr>
        <w:t>asile et les réfugiés, aux services de santé, à l</w:t>
      </w:r>
      <w:r>
        <w:rPr>
          <w:lang w:val="fr-FR"/>
        </w:rPr>
        <w:t>’</w:t>
      </w:r>
      <w:r w:rsidRPr="00402E75">
        <w:rPr>
          <w:lang w:val="fr-FR"/>
        </w:rPr>
        <w:t>alimentation, à l</w:t>
      </w:r>
      <w:r>
        <w:rPr>
          <w:lang w:val="fr-FR"/>
        </w:rPr>
        <w:t>’</w:t>
      </w:r>
      <w:r w:rsidRPr="00402E75">
        <w:rPr>
          <w:lang w:val="fr-FR"/>
        </w:rPr>
        <w:t>eau potable et à l</w:t>
      </w:r>
      <w:r>
        <w:rPr>
          <w:lang w:val="fr-FR"/>
        </w:rPr>
        <w:t>’</w:t>
      </w:r>
      <w:r w:rsidRPr="00402E75">
        <w:rPr>
          <w:lang w:val="fr-FR"/>
        </w:rPr>
        <w:t>assainissement, au logement, à l</w:t>
      </w:r>
      <w:r>
        <w:rPr>
          <w:lang w:val="fr-FR"/>
        </w:rPr>
        <w:t>’</w:t>
      </w:r>
      <w:r w:rsidRPr="00402E75">
        <w:rPr>
          <w:lang w:val="fr-FR"/>
        </w:rPr>
        <w:t>éducation et à l</w:t>
      </w:r>
      <w:r>
        <w:rPr>
          <w:lang w:val="fr-FR"/>
        </w:rPr>
        <w:t>’</w:t>
      </w:r>
      <w:r w:rsidRPr="00402E75">
        <w:rPr>
          <w:lang w:val="fr-FR"/>
        </w:rPr>
        <w:t>emploi (CRC/C/ZMB/CO/2-4, par.</w:t>
      </w:r>
      <w:r>
        <w:rPr>
          <w:lang w:val="fr-FR"/>
        </w:rPr>
        <w:t> </w:t>
      </w:r>
      <w:r w:rsidRPr="00402E75">
        <w:rPr>
          <w:lang w:val="fr-FR"/>
        </w:rPr>
        <w:t>55 et 56</w:t>
      </w:r>
      <w:r>
        <w:rPr>
          <w:lang w:val="fr-FR"/>
        </w:rPr>
        <w:t> </w:t>
      </w:r>
      <w:r w:rsidRPr="00402E75">
        <w:rPr>
          <w:lang w:val="fr-FR"/>
        </w:rPr>
        <w:t>; A/HRC/37/61/Add.1, par.</w:t>
      </w:r>
      <w:r>
        <w:rPr>
          <w:lang w:val="fr-FR"/>
        </w:rPr>
        <w:t> </w:t>
      </w:r>
      <w:r w:rsidRPr="00402E75">
        <w:rPr>
          <w:lang w:val="fr-FR"/>
        </w:rPr>
        <w:t>116</w:t>
      </w:r>
      <w:r>
        <w:rPr>
          <w:lang w:val="fr-FR"/>
        </w:rPr>
        <w:t> </w:t>
      </w:r>
      <w:r w:rsidRPr="00402E75">
        <w:rPr>
          <w:lang w:val="fr-FR"/>
        </w:rPr>
        <w:t>; A/HRC/14/31/Add.1, par.</w:t>
      </w:r>
      <w:r>
        <w:rPr>
          <w:lang w:val="fr-FR"/>
        </w:rPr>
        <w:t> </w:t>
      </w:r>
      <w:r w:rsidRPr="00402E75">
        <w:rPr>
          <w:lang w:val="fr-FR"/>
        </w:rPr>
        <w:t>35 et</w:t>
      </w:r>
      <w:r>
        <w:rPr>
          <w:lang w:val="fr-FR"/>
        </w:rPr>
        <w:t> </w:t>
      </w:r>
      <w:r w:rsidRPr="00402E75">
        <w:rPr>
          <w:lang w:val="fr-FR"/>
        </w:rPr>
        <w:t>43</w:t>
      </w:r>
      <w:r>
        <w:rPr>
          <w:lang w:val="fr-FR"/>
        </w:rPr>
        <w:t> </w:t>
      </w:r>
      <w:r w:rsidRPr="00402E75">
        <w:rPr>
          <w:lang w:val="fr-FR"/>
        </w:rPr>
        <w:t>; A/HRC/WG.6/28/</w:t>
      </w:r>
      <w:r>
        <w:rPr>
          <w:lang w:val="fr-FR"/>
        </w:rPr>
        <w:br/>
      </w:r>
      <w:r w:rsidRPr="00402E75">
        <w:rPr>
          <w:lang w:val="fr-FR"/>
        </w:rPr>
        <w:t>ZMB/2, par.</w:t>
      </w:r>
      <w:r>
        <w:rPr>
          <w:lang w:val="fr-FR"/>
        </w:rPr>
        <w:t> </w:t>
      </w:r>
      <w:r w:rsidRPr="00402E75">
        <w:rPr>
          <w:lang w:val="fr-FR"/>
        </w:rPr>
        <w:t>70 à 77).</w:t>
      </w:r>
    </w:p>
    <w:p w:rsidR="00402E75" w:rsidRPr="00402E75" w:rsidRDefault="00402E75" w:rsidP="00402E75">
      <w:pPr>
        <w:pStyle w:val="SingleTxtG"/>
      </w:pPr>
      <w:r w:rsidRPr="00402E75">
        <w:rPr>
          <w:lang w:val="fr-FR"/>
        </w:rPr>
        <w:t>14.</w:t>
      </w:r>
      <w:r w:rsidRPr="00402E75">
        <w:rPr>
          <w:lang w:val="fr-FR"/>
        </w:rPr>
        <w:tab/>
        <w:t>Conformité avec la Convention de lois prévoyant des différences de traitement fondées sur la citoyenneté ou le statut d</w:t>
      </w:r>
      <w:r>
        <w:rPr>
          <w:lang w:val="fr-FR"/>
        </w:rPr>
        <w:t>’</w:t>
      </w:r>
      <w:r w:rsidRPr="00402E75">
        <w:rPr>
          <w:lang w:val="fr-FR"/>
        </w:rPr>
        <w:t>immigration, telles la loi de 2006 sur l</w:t>
      </w:r>
      <w:r>
        <w:rPr>
          <w:lang w:val="fr-FR"/>
        </w:rPr>
        <w:t>’</w:t>
      </w:r>
      <w:r w:rsidRPr="00402E75">
        <w:rPr>
          <w:lang w:val="fr-FR"/>
        </w:rPr>
        <w:t>autonomisation économique des citoyens et la loi de 2006 sur l</w:t>
      </w:r>
      <w:r>
        <w:rPr>
          <w:lang w:val="fr-FR"/>
        </w:rPr>
        <w:t>’</w:t>
      </w:r>
      <w:r w:rsidRPr="00402E75">
        <w:rPr>
          <w:lang w:val="fr-FR"/>
        </w:rPr>
        <w:t>Agence zambienne de développement, en ce qui concerne les droits des non-ressortissants (CERD/C/ZMB/17-19, par.</w:t>
      </w:r>
      <w:r>
        <w:rPr>
          <w:lang w:val="fr-FR"/>
        </w:rPr>
        <w:t> </w:t>
      </w:r>
      <w:r w:rsidRPr="00402E75">
        <w:rPr>
          <w:lang w:val="fr-FR"/>
        </w:rPr>
        <w:t>64 et 65).</w:t>
      </w:r>
    </w:p>
    <w:p w:rsidR="00402E75" w:rsidRPr="00402E75" w:rsidRDefault="00402E75" w:rsidP="00402E75">
      <w:pPr>
        <w:pStyle w:val="SingleTxtG"/>
      </w:pPr>
      <w:r w:rsidRPr="00402E75">
        <w:rPr>
          <w:lang w:val="fr-FR"/>
        </w:rPr>
        <w:t>15.</w:t>
      </w:r>
      <w:r w:rsidRPr="00402E75">
        <w:rPr>
          <w:lang w:val="fr-FR"/>
        </w:rPr>
        <w:tab/>
        <w:t>Enregistrement de tous les enfants nés en Zambie, y compris les enfants de migrants, de réfugiés et de demandeurs d</w:t>
      </w:r>
      <w:r>
        <w:rPr>
          <w:lang w:val="fr-FR"/>
        </w:rPr>
        <w:t>’</w:t>
      </w:r>
      <w:r w:rsidRPr="00402E75">
        <w:rPr>
          <w:lang w:val="fr-FR"/>
        </w:rPr>
        <w:t>asile, et délivrance à tous ces enfants de documents d</w:t>
      </w:r>
      <w:r>
        <w:rPr>
          <w:lang w:val="fr-FR"/>
        </w:rPr>
        <w:t>’</w:t>
      </w:r>
      <w:r w:rsidRPr="00402E75">
        <w:rPr>
          <w:lang w:val="fr-FR"/>
        </w:rPr>
        <w:t>identité (CRC/C/ZMB/CO/2-4, par.</w:t>
      </w:r>
      <w:r>
        <w:rPr>
          <w:lang w:val="fr-FR"/>
        </w:rPr>
        <w:t> </w:t>
      </w:r>
      <w:r w:rsidRPr="00402E75">
        <w:rPr>
          <w:lang w:val="fr-FR"/>
        </w:rPr>
        <w:t>31 et 32</w:t>
      </w:r>
      <w:r>
        <w:rPr>
          <w:lang w:val="fr-FR"/>
        </w:rPr>
        <w:t> </w:t>
      </w:r>
      <w:r w:rsidRPr="00402E75">
        <w:rPr>
          <w:lang w:val="fr-FR"/>
        </w:rPr>
        <w:t>; A/HRC/WG.6/28/ZMB/2, par.</w:t>
      </w:r>
      <w:r>
        <w:rPr>
          <w:lang w:val="fr-FR"/>
        </w:rPr>
        <w:t> </w:t>
      </w:r>
      <w:r w:rsidRPr="00402E75">
        <w:rPr>
          <w:lang w:val="fr-FR"/>
        </w:rPr>
        <w:t>78. A/HRC/</w:t>
      </w:r>
      <w:r>
        <w:rPr>
          <w:lang w:val="fr-FR"/>
        </w:rPr>
        <w:br/>
      </w:r>
      <w:r w:rsidRPr="00402E75">
        <w:rPr>
          <w:lang w:val="fr-FR"/>
        </w:rPr>
        <w:t>WG.6/28/ZMB/3, par.</w:t>
      </w:r>
      <w:r>
        <w:rPr>
          <w:lang w:val="fr-FR"/>
        </w:rPr>
        <w:t> </w:t>
      </w:r>
      <w:r w:rsidRPr="00402E75">
        <w:rPr>
          <w:lang w:val="fr-FR"/>
        </w:rPr>
        <w:t>81</w:t>
      </w:r>
      <w:r w:rsidR="00683840">
        <w:rPr>
          <w:lang w:val="fr-FR"/>
        </w:rPr>
        <w:t>)</w:t>
      </w:r>
      <w:bookmarkStart w:id="1" w:name="_GoBack"/>
      <w:bookmarkEnd w:id="1"/>
      <w:r w:rsidRPr="00402E75">
        <w:rPr>
          <w:lang w:val="fr-FR"/>
        </w:rPr>
        <w:t>.</w:t>
      </w:r>
    </w:p>
    <w:p w:rsidR="00402E75" w:rsidRPr="00402E75" w:rsidRDefault="00402E75" w:rsidP="00402E75">
      <w:pPr>
        <w:pStyle w:val="SingleTxtG"/>
      </w:pPr>
      <w:r w:rsidRPr="00402E75">
        <w:rPr>
          <w:lang w:val="fr-FR"/>
        </w:rPr>
        <w:t>16.</w:t>
      </w:r>
      <w:r w:rsidRPr="00402E75">
        <w:rPr>
          <w:lang w:val="fr-FR"/>
        </w:rPr>
        <w:tab/>
        <w:t>Conformité de la loi de 2017 sur les réfugiés avec la Convention,  notamment pour ce qui est du droit au travail, de l</w:t>
      </w:r>
      <w:r>
        <w:rPr>
          <w:lang w:val="fr-FR"/>
        </w:rPr>
        <w:t>’</w:t>
      </w:r>
      <w:r w:rsidRPr="00402E75">
        <w:rPr>
          <w:lang w:val="fr-FR"/>
        </w:rPr>
        <w:t>accès aux soins de santé et à l</w:t>
      </w:r>
      <w:r>
        <w:rPr>
          <w:lang w:val="fr-FR"/>
        </w:rPr>
        <w:t>’</w:t>
      </w:r>
      <w:r w:rsidRPr="00402E75">
        <w:rPr>
          <w:lang w:val="fr-FR"/>
        </w:rPr>
        <w:t>éducation, de la liberté de circulation, du non-refoulement et de l</w:t>
      </w:r>
      <w:r>
        <w:rPr>
          <w:lang w:val="fr-FR"/>
        </w:rPr>
        <w:t>’</w:t>
      </w:r>
      <w:r w:rsidRPr="00402E75">
        <w:rPr>
          <w:lang w:val="fr-FR"/>
        </w:rPr>
        <w:t>intégration locale des réfugiés et des demandeurs d</w:t>
      </w:r>
      <w:r>
        <w:rPr>
          <w:lang w:val="fr-FR"/>
        </w:rPr>
        <w:t>’</w:t>
      </w:r>
      <w:r w:rsidRPr="00402E75">
        <w:rPr>
          <w:lang w:val="fr-FR"/>
        </w:rPr>
        <w:t>asile. Mesures visant à retirer ses réserves à la Convention de 1951 relative au statut des réfugiés, en ce qui concerne les droits à l</w:t>
      </w:r>
      <w:r>
        <w:rPr>
          <w:lang w:val="fr-FR"/>
        </w:rPr>
        <w:t>’</w:t>
      </w:r>
      <w:r w:rsidRPr="00402E75">
        <w:rPr>
          <w:lang w:val="fr-FR"/>
        </w:rPr>
        <w:t>emploi, à l</w:t>
      </w:r>
      <w:r>
        <w:rPr>
          <w:lang w:val="fr-FR"/>
        </w:rPr>
        <w:t>’</w:t>
      </w:r>
      <w:r w:rsidRPr="00402E75">
        <w:rPr>
          <w:lang w:val="fr-FR"/>
        </w:rPr>
        <w:t>éducation, à la libre circulation et aux titres de voyage des réfugiés (CERD/C/ZMB/CO/16, par.</w:t>
      </w:r>
      <w:r>
        <w:rPr>
          <w:lang w:val="fr-FR"/>
        </w:rPr>
        <w:t> </w:t>
      </w:r>
      <w:r w:rsidRPr="00402E75">
        <w:rPr>
          <w:lang w:val="fr-FR"/>
        </w:rPr>
        <w:t>14</w:t>
      </w:r>
      <w:r>
        <w:rPr>
          <w:lang w:val="fr-FR"/>
        </w:rPr>
        <w:t> </w:t>
      </w:r>
      <w:r w:rsidRPr="00402E75">
        <w:rPr>
          <w:lang w:val="fr-FR"/>
        </w:rPr>
        <w:t>; CERD/C/ZMB/17-19, par.</w:t>
      </w:r>
      <w:r>
        <w:rPr>
          <w:lang w:val="fr-FR"/>
        </w:rPr>
        <w:t> </w:t>
      </w:r>
      <w:r w:rsidRPr="00402E75">
        <w:rPr>
          <w:lang w:val="fr-FR"/>
        </w:rPr>
        <w:t>16 à 20</w:t>
      </w:r>
      <w:r>
        <w:rPr>
          <w:lang w:val="fr-FR"/>
        </w:rPr>
        <w:t> </w:t>
      </w:r>
      <w:r w:rsidRPr="00402E75">
        <w:rPr>
          <w:lang w:val="fr-FR"/>
        </w:rPr>
        <w:t>; CRC/C/ZMB/CO/2-4, par.</w:t>
      </w:r>
      <w:r>
        <w:rPr>
          <w:lang w:val="fr-FR"/>
        </w:rPr>
        <w:t> </w:t>
      </w:r>
      <w:r w:rsidRPr="00402E75">
        <w:rPr>
          <w:lang w:val="fr-FR"/>
        </w:rPr>
        <w:t>55 et 56</w:t>
      </w:r>
      <w:r>
        <w:rPr>
          <w:lang w:val="fr-FR"/>
        </w:rPr>
        <w:t> </w:t>
      </w:r>
      <w:r w:rsidRPr="00402E75">
        <w:rPr>
          <w:lang w:val="fr-FR"/>
        </w:rPr>
        <w:t>; CAT/C/ZMB/CO/2, par.</w:t>
      </w:r>
      <w:r>
        <w:rPr>
          <w:lang w:val="fr-FR"/>
        </w:rPr>
        <w:t> </w:t>
      </w:r>
      <w:r w:rsidRPr="00402E75">
        <w:rPr>
          <w:lang w:val="fr-FR"/>
        </w:rPr>
        <w:t>6</w:t>
      </w:r>
      <w:r>
        <w:rPr>
          <w:lang w:val="fr-FR"/>
        </w:rPr>
        <w:t> </w:t>
      </w:r>
      <w:r w:rsidRPr="00402E75">
        <w:rPr>
          <w:lang w:val="fr-FR"/>
        </w:rPr>
        <w:t>; A/HRC/37/</w:t>
      </w:r>
      <w:r>
        <w:rPr>
          <w:lang w:val="fr-FR"/>
        </w:rPr>
        <w:br/>
      </w:r>
      <w:r w:rsidRPr="00402E75">
        <w:rPr>
          <w:lang w:val="fr-FR"/>
        </w:rPr>
        <w:t>61/Add.1, par.</w:t>
      </w:r>
      <w:r>
        <w:rPr>
          <w:lang w:val="fr-FR"/>
        </w:rPr>
        <w:t> </w:t>
      </w:r>
      <w:r w:rsidRPr="00402E75">
        <w:rPr>
          <w:lang w:val="fr-FR"/>
        </w:rPr>
        <w:t>114 à 116</w:t>
      </w:r>
      <w:r>
        <w:rPr>
          <w:lang w:val="fr-FR"/>
        </w:rPr>
        <w:t> </w:t>
      </w:r>
      <w:r w:rsidRPr="00402E75">
        <w:rPr>
          <w:lang w:val="fr-FR"/>
        </w:rPr>
        <w:t>; A/HRC/14/31/Add.1, par.</w:t>
      </w:r>
      <w:r>
        <w:rPr>
          <w:lang w:val="fr-FR"/>
        </w:rPr>
        <w:t> </w:t>
      </w:r>
      <w:r w:rsidRPr="00402E75">
        <w:rPr>
          <w:lang w:val="fr-FR"/>
        </w:rPr>
        <w:t>36 à 39</w:t>
      </w:r>
      <w:r>
        <w:rPr>
          <w:lang w:val="fr-FR"/>
        </w:rPr>
        <w:t> </w:t>
      </w:r>
      <w:r w:rsidRPr="00402E75">
        <w:rPr>
          <w:lang w:val="fr-FR"/>
        </w:rPr>
        <w:t>; A/HRC/WG.6/28/ZMB/2, par.</w:t>
      </w:r>
      <w:r>
        <w:rPr>
          <w:lang w:val="fr-FR"/>
        </w:rPr>
        <w:t> </w:t>
      </w:r>
      <w:r w:rsidRPr="00402E75">
        <w:rPr>
          <w:lang w:val="fr-FR"/>
        </w:rPr>
        <w:t>70 à 72, 76 et</w:t>
      </w:r>
      <w:r>
        <w:rPr>
          <w:lang w:val="fr-FR"/>
        </w:rPr>
        <w:t> </w:t>
      </w:r>
      <w:r w:rsidRPr="00402E75">
        <w:rPr>
          <w:lang w:val="fr-FR"/>
        </w:rPr>
        <w:t>77).</w:t>
      </w:r>
    </w:p>
    <w:p w:rsidR="00402E75" w:rsidRPr="00402E75" w:rsidRDefault="00402E75" w:rsidP="00402E75">
      <w:pPr>
        <w:pStyle w:val="SingleTxtG"/>
      </w:pPr>
      <w:r w:rsidRPr="00402E75">
        <w:rPr>
          <w:lang w:val="fr-FR"/>
        </w:rPr>
        <w:t>17.</w:t>
      </w:r>
      <w:r w:rsidRPr="00402E75">
        <w:rPr>
          <w:lang w:val="fr-FR"/>
        </w:rPr>
        <w:tab/>
        <w:t>Ampleur de la traite des personnes dans l</w:t>
      </w:r>
      <w:r>
        <w:rPr>
          <w:lang w:val="fr-FR"/>
        </w:rPr>
        <w:t>’</w:t>
      </w:r>
      <w:r w:rsidRPr="00402E75">
        <w:rPr>
          <w:lang w:val="fr-FR"/>
        </w:rPr>
        <w:t>État partie. Mesures de facilitation des plaintes et de protection des victimes contre toutes représailles. Application de la loi relative à la lutte contre la traite des êtres humains (2008), et d</w:t>
      </w:r>
      <w:r>
        <w:rPr>
          <w:lang w:val="fr-FR"/>
        </w:rPr>
        <w:t>’</w:t>
      </w:r>
      <w:r w:rsidRPr="00402E75">
        <w:rPr>
          <w:lang w:val="fr-FR"/>
        </w:rPr>
        <w:t>autres mesures visant à lutter contre la traite des êtres humains, notamment le Plan national d</w:t>
      </w:r>
      <w:r>
        <w:rPr>
          <w:lang w:val="fr-FR"/>
        </w:rPr>
        <w:t>’</w:t>
      </w:r>
      <w:r w:rsidRPr="00402E75">
        <w:rPr>
          <w:lang w:val="fr-FR"/>
        </w:rPr>
        <w:t>action contre la traite des êtres humains. Renseignements sur les plaintes, les enquêtes, les poursuites, les condamnations, les sanctions et les mesures de réparation et de réadaptation en faveur des victimes (CRC/C/ZMB/CO/2-4, par.</w:t>
      </w:r>
      <w:r>
        <w:rPr>
          <w:lang w:val="fr-FR"/>
        </w:rPr>
        <w:t> </w:t>
      </w:r>
      <w:r w:rsidRPr="00402E75">
        <w:rPr>
          <w:lang w:val="fr-FR"/>
        </w:rPr>
        <w:t>61 et 62</w:t>
      </w:r>
      <w:r>
        <w:rPr>
          <w:lang w:val="fr-FR"/>
        </w:rPr>
        <w:t> </w:t>
      </w:r>
      <w:r w:rsidRPr="00402E75">
        <w:rPr>
          <w:lang w:val="fr-FR"/>
        </w:rPr>
        <w:t>; CEDAW/C/ZMB/CO/5-6, par.</w:t>
      </w:r>
      <w:r>
        <w:rPr>
          <w:lang w:val="fr-FR"/>
        </w:rPr>
        <w:t> </w:t>
      </w:r>
      <w:r w:rsidRPr="00402E75">
        <w:rPr>
          <w:lang w:val="fr-FR"/>
        </w:rPr>
        <w:t>23 et 24</w:t>
      </w:r>
      <w:r>
        <w:rPr>
          <w:lang w:val="fr-FR"/>
        </w:rPr>
        <w:t> </w:t>
      </w:r>
      <w:r w:rsidRPr="00402E75">
        <w:rPr>
          <w:lang w:val="fr-FR"/>
        </w:rPr>
        <w:t>; A/HRC/17/26/Add.4, par.</w:t>
      </w:r>
      <w:r>
        <w:rPr>
          <w:lang w:val="fr-FR"/>
        </w:rPr>
        <w:t> </w:t>
      </w:r>
      <w:r w:rsidRPr="00402E75">
        <w:rPr>
          <w:lang w:val="fr-FR"/>
        </w:rPr>
        <w:t>27, 40 et 47</w:t>
      </w:r>
      <w:r>
        <w:rPr>
          <w:lang w:val="fr-FR"/>
        </w:rPr>
        <w:t> </w:t>
      </w:r>
      <w:r w:rsidRPr="00402E75">
        <w:rPr>
          <w:lang w:val="fr-FR"/>
        </w:rPr>
        <w:t>; A/HRC/WG.6/28/ZMB/3, par.</w:t>
      </w:r>
      <w:r>
        <w:rPr>
          <w:lang w:val="fr-FR"/>
        </w:rPr>
        <w:t> </w:t>
      </w:r>
      <w:r w:rsidRPr="00402E75">
        <w:rPr>
          <w:lang w:val="fr-FR"/>
        </w:rPr>
        <w:t>6).</w:t>
      </w:r>
    </w:p>
    <w:p w:rsidR="00402E75" w:rsidRPr="00402E75" w:rsidRDefault="00402E75" w:rsidP="00402E75">
      <w:pPr>
        <w:pStyle w:val="H23G"/>
      </w:pPr>
      <w:r w:rsidRPr="00402E75">
        <w:rPr>
          <w:lang w:val="fr-FR"/>
        </w:rPr>
        <w:tab/>
      </w:r>
      <w:r w:rsidRPr="00402E75">
        <w:rPr>
          <w:lang w:val="fr-FR"/>
        </w:rPr>
        <w:tab/>
        <w:t xml:space="preserve">Éducation pour lutter contre les préjugés et promouvoir </w:t>
      </w:r>
      <w:r>
        <w:rPr>
          <w:lang w:val="fr-FR"/>
        </w:rPr>
        <w:br/>
      </w:r>
      <w:r w:rsidRPr="00402E75">
        <w:rPr>
          <w:lang w:val="fr-FR"/>
        </w:rPr>
        <w:t>la compréhension (art.</w:t>
      </w:r>
      <w:r>
        <w:rPr>
          <w:lang w:val="fr-FR"/>
        </w:rPr>
        <w:t> </w:t>
      </w:r>
      <w:r w:rsidRPr="00402E75">
        <w:rPr>
          <w:lang w:val="fr-FR"/>
        </w:rPr>
        <w:t>7)</w:t>
      </w:r>
    </w:p>
    <w:p w:rsidR="00402E75" w:rsidRPr="00402E75" w:rsidRDefault="00402E75" w:rsidP="00402E75">
      <w:pPr>
        <w:pStyle w:val="SingleTxtG"/>
      </w:pPr>
      <w:r w:rsidRPr="00402E75">
        <w:rPr>
          <w:lang w:val="fr-FR"/>
        </w:rPr>
        <w:t>18.</w:t>
      </w:r>
      <w:r w:rsidRPr="00402E75">
        <w:rPr>
          <w:lang w:val="fr-FR"/>
        </w:rPr>
        <w:tab/>
        <w:t>Sensibilisation de l</w:t>
      </w:r>
      <w:r>
        <w:rPr>
          <w:lang w:val="fr-FR"/>
        </w:rPr>
        <w:t>’</w:t>
      </w:r>
      <w:r w:rsidRPr="00402E75">
        <w:rPr>
          <w:lang w:val="fr-FR"/>
        </w:rPr>
        <w:t>opinion publique à la discrimination raciale et à la nécessité de promouvoir la tolérance, en vue de lutter contre les stéréotypes et les préjugés raciaux. Précisions au sujet de l</w:t>
      </w:r>
      <w:r>
        <w:rPr>
          <w:lang w:val="fr-FR"/>
        </w:rPr>
        <w:t>’</w:t>
      </w:r>
      <w:r w:rsidRPr="00402E75">
        <w:rPr>
          <w:lang w:val="fr-FR"/>
        </w:rPr>
        <w:t>initiative de l</w:t>
      </w:r>
      <w:r>
        <w:rPr>
          <w:lang w:val="fr-FR"/>
        </w:rPr>
        <w:t>’</w:t>
      </w:r>
      <w:r w:rsidRPr="00402E75">
        <w:rPr>
          <w:lang w:val="fr-FR"/>
        </w:rPr>
        <w:t>État partie sur l</w:t>
      </w:r>
      <w:r>
        <w:rPr>
          <w:lang w:val="fr-FR"/>
        </w:rPr>
        <w:t>’</w:t>
      </w:r>
      <w:r w:rsidRPr="00402E75">
        <w:rPr>
          <w:lang w:val="fr-FR"/>
        </w:rPr>
        <w:t>éducation civique, et sur les initiatives pour promouvoir les droits de l</w:t>
      </w:r>
      <w:r>
        <w:rPr>
          <w:lang w:val="fr-FR"/>
        </w:rPr>
        <w:t>’</w:t>
      </w:r>
      <w:r w:rsidRPr="00402E75">
        <w:rPr>
          <w:lang w:val="fr-FR"/>
        </w:rPr>
        <w:t>homme et la compréhension entre les différents groupes dans le cadre des programmes scolaires et des programmes de formation professionnelle. Résultats des ateliers de sensibilisation organisés à l</w:t>
      </w:r>
      <w:r>
        <w:rPr>
          <w:lang w:val="fr-FR"/>
        </w:rPr>
        <w:t>’</w:t>
      </w:r>
      <w:r w:rsidRPr="00402E75">
        <w:rPr>
          <w:lang w:val="fr-FR"/>
        </w:rPr>
        <w:t>intention des professionnels des médias, visant à prévenir les stéréotypes dans la présentation des affaires de discrimination raciale (CERD/C/ZMB/17-19, par.</w:t>
      </w:r>
      <w:r>
        <w:rPr>
          <w:lang w:val="fr-FR"/>
        </w:rPr>
        <w:t> </w:t>
      </w:r>
      <w:r w:rsidRPr="00402E75">
        <w:rPr>
          <w:lang w:val="fr-FR"/>
        </w:rPr>
        <w:t>41, 115 et 120 à 124).</w:t>
      </w:r>
    </w:p>
    <w:p w:rsidR="00402E75" w:rsidRPr="00402E75" w:rsidRDefault="00402E75" w:rsidP="00402E75">
      <w:pPr>
        <w:pStyle w:val="SingleTxtG"/>
        <w:spacing w:before="240" w:after="0"/>
        <w:jc w:val="center"/>
        <w:rPr>
          <w:u w:val="single"/>
        </w:rPr>
      </w:pPr>
      <w:r>
        <w:rPr>
          <w:u w:val="single"/>
        </w:rPr>
        <w:tab/>
      </w:r>
      <w:r>
        <w:rPr>
          <w:u w:val="single"/>
        </w:rPr>
        <w:tab/>
      </w:r>
      <w:r>
        <w:rPr>
          <w:u w:val="single"/>
        </w:rPr>
        <w:tab/>
      </w:r>
    </w:p>
    <w:sectPr w:rsidR="00402E75" w:rsidRPr="00402E75" w:rsidSect="00402E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72" w:rsidRDefault="00EF4372" w:rsidP="00F95C08">
      <w:pPr>
        <w:spacing w:line="240" w:lineRule="auto"/>
      </w:pPr>
    </w:p>
  </w:endnote>
  <w:endnote w:type="continuationSeparator" w:id="0">
    <w:p w:rsidR="00EF4372" w:rsidRPr="00AC3823" w:rsidRDefault="00EF4372" w:rsidP="00AC3823">
      <w:pPr>
        <w:pStyle w:val="Pieddepage"/>
      </w:pPr>
    </w:p>
  </w:endnote>
  <w:endnote w:type="continuationNotice" w:id="1">
    <w:p w:rsidR="00EF4372" w:rsidRDefault="00EF43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75" w:rsidRPr="00402E75" w:rsidRDefault="00402E75" w:rsidP="00402E75">
    <w:pPr>
      <w:pStyle w:val="Pieddepage"/>
      <w:tabs>
        <w:tab w:val="right" w:pos="9638"/>
      </w:tabs>
    </w:pPr>
    <w:r w:rsidRPr="00402E75">
      <w:rPr>
        <w:b/>
        <w:sz w:val="18"/>
      </w:rPr>
      <w:fldChar w:fldCharType="begin"/>
    </w:r>
    <w:r w:rsidRPr="00402E75">
      <w:rPr>
        <w:b/>
        <w:sz w:val="18"/>
      </w:rPr>
      <w:instrText xml:space="preserve"> PAGE  \* MERGEFORMAT </w:instrText>
    </w:r>
    <w:r w:rsidRPr="00402E75">
      <w:rPr>
        <w:b/>
        <w:sz w:val="18"/>
      </w:rPr>
      <w:fldChar w:fldCharType="separate"/>
    </w:r>
    <w:r w:rsidRPr="00402E75">
      <w:rPr>
        <w:b/>
        <w:noProof/>
        <w:sz w:val="18"/>
      </w:rPr>
      <w:t>2</w:t>
    </w:r>
    <w:r w:rsidRPr="00402E75">
      <w:rPr>
        <w:b/>
        <w:sz w:val="18"/>
      </w:rPr>
      <w:fldChar w:fldCharType="end"/>
    </w:r>
    <w:r>
      <w:rPr>
        <w:b/>
        <w:sz w:val="18"/>
      </w:rPr>
      <w:tab/>
    </w:r>
    <w:r>
      <w:t>GE.19-03029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75" w:rsidRPr="00402E75" w:rsidRDefault="00402E75" w:rsidP="00402E75">
    <w:pPr>
      <w:pStyle w:val="Pieddepage"/>
      <w:tabs>
        <w:tab w:val="right" w:pos="9638"/>
      </w:tabs>
      <w:rPr>
        <w:b/>
        <w:sz w:val="18"/>
      </w:rPr>
    </w:pPr>
    <w:r>
      <w:t>GE.19-03029</w:t>
    </w:r>
    <w:r>
      <w:tab/>
    </w:r>
    <w:r w:rsidRPr="00402E75">
      <w:rPr>
        <w:b/>
        <w:sz w:val="18"/>
      </w:rPr>
      <w:fldChar w:fldCharType="begin"/>
    </w:r>
    <w:r w:rsidRPr="00402E75">
      <w:rPr>
        <w:b/>
        <w:sz w:val="18"/>
      </w:rPr>
      <w:instrText xml:space="preserve"> PAGE  \* MERGEFORMAT </w:instrText>
    </w:r>
    <w:r w:rsidRPr="00402E75">
      <w:rPr>
        <w:b/>
        <w:sz w:val="18"/>
      </w:rPr>
      <w:fldChar w:fldCharType="separate"/>
    </w:r>
    <w:r w:rsidRPr="00402E75">
      <w:rPr>
        <w:b/>
        <w:noProof/>
        <w:sz w:val="18"/>
      </w:rPr>
      <w:t>3</w:t>
    </w:r>
    <w:r w:rsidRPr="00402E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402E75" w:rsidRDefault="00402E75" w:rsidP="00402E75">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19-03029  (F)    190319    210319</w:t>
    </w:r>
    <w:r>
      <w:rPr>
        <w:sz w:val="20"/>
      </w:rPr>
      <w:br/>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sidRPr="00402E7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ZMB/Q/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Q/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72" w:rsidRPr="00AC3823" w:rsidRDefault="00EF4372" w:rsidP="00AC3823">
      <w:pPr>
        <w:pStyle w:val="Pieddepage"/>
        <w:tabs>
          <w:tab w:val="right" w:pos="2155"/>
        </w:tabs>
        <w:spacing w:after="80" w:line="240" w:lineRule="atLeast"/>
        <w:ind w:left="680"/>
        <w:rPr>
          <w:u w:val="single"/>
        </w:rPr>
      </w:pPr>
      <w:r>
        <w:rPr>
          <w:u w:val="single"/>
        </w:rPr>
        <w:tab/>
      </w:r>
    </w:p>
  </w:footnote>
  <w:footnote w:type="continuationSeparator" w:id="0">
    <w:p w:rsidR="00EF4372" w:rsidRPr="00AC3823" w:rsidRDefault="00EF4372" w:rsidP="00AC3823">
      <w:pPr>
        <w:pStyle w:val="Pieddepage"/>
        <w:tabs>
          <w:tab w:val="right" w:pos="2155"/>
        </w:tabs>
        <w:spacing w:after="80" w:line="240" w:lineRule="atLeast"/>
        <w:ind w:left="680"/>
        <w:rPr>
          <w:u w:val="single"/>
        </w:rPr>
      </w:pPr>
      <w:r>
        <w:rPr>
          <w:u w:val="single"/>
        </w:rPr>
        <w:tab/>
      </w:r>
    </w:p>
  </w:footnote>
  <w:footnote w:type="continuationNotice" w:id="1">
    <w:p w:rsidR="00EF4372" w:rsidRPr="00AC3823" w:rsidRDefault="00EF437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75" w:rsidRPr="00402E75" w:rsidRDefault="00B81CB7">
    <w:pPr>
      <w:pStyle w:val="En-tte"/>
    </w:pPr>
    <w:r>
      <w:fldChar w:fldCharType="begin"/>
    </w:r>
    <w:r>
      <w:instrText xml:space="preserve"> TITLE  \* MERGEFORMAT </w:instrText>
    </w:r>
    <w:r>
      <w:fldChar w:fldCharType="separate"/>
    </w:r>
    <w:r w:rsidR="00402E75">
      <w:t>CERD/C/ZMB/Q/17-19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75" w:rsidRPr="00402E75" w:rsidRDefault="00B81CB7" w:rsidP="00402E75">
    <w:pPr>
      <w:pStyle w:val="En-tte"/>
      <w:jc w:val="right"/>
    </w:pPr>
    <w:r>
      <w:fldChar w:fldCharType="begin"/>
    </w:r>
    <w:r>
      <w:instrText xml:space="preserve"> TITLE </w:instrText>
    </w:r>
    <w:r>
      <w:instrText xml:space="preserve"> \* MERGEFORMAT </w:instrText>
    </w:r>
    <w:r>
      <w:fldChar w:fldCharType="separate"/>
    </w:r>
    <w:r w:rsidR="00402E75">
      <w:t>CERD/C/ZMB/Q/17-19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4372"/>
    <w:rsid w:val="00017F94"/>
    <w:rsid w:val="00023842"/>
    <w:rsid w:val="000334F9"/>
    <w:rsid w:val="0007796D"/>
    <w:rsid w:val="000B7790"/>
    <w:rsid w:val="00111F2F"/>
    <w:rsid w:val="0014365E"/>
    <w:rsid w:val="00176178"/>
    <w:rsid w:val="001F525A"/>
    <w:rsid w:val="00215BEC"/>
    <w:rsid w:val="00223272"/>
    <w:rsid w:val="0024779E"/>
    <w:rsid w:val="002A5937"/>
    <w:rsid w:val="0039531A"/>
    <w:rsid w:val="00402E75"/>
    <w:rsid w:val="00446FE5"/>
    <w:rsid w:val="00452396"/>
    <w:rsid w:val="004F094E"/>
    <w:rsid w:val="005505B7"/>
    <w:rsid w:val="00573BE5"/>
    <w:rsid w:val="00586ED3"/>
    <w:rsid w:val="00596AA9"/>
    <w:rsid w:val="00623CA8"/>
    <w:rsid w:val="00683840"/>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A0CA9"/>
    <w:rsid w:val="00BB0B66"/>
    <w:rsid w:val="00C02897"/>
    <w:rsid w:val="00D3439C"/>
    <w:rsid w:val="00DB1831"/>
    <w:rsid w:val="00DC0149"/>
    <w:rsid w:val="00DD3BFD"/>
    <w:rsid w:val="00DF6678"/>
    <w:rsid w:val="00EF437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62519"/>
  <w15:docId w15:val="{0BB83B15-2CFA-48E0-8445-382A1C3C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1355</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CERD/C/ZMB/Q/17-19</dc:title>
  <dc:subject/>
  <dc:creator>Edith BOURION</dc:creator>
  <cp:keywords/>
  <cp:lastModifiedBy>Edith Bourion</cp:lastModifiedBy>
  <cp:revision>2</cp:revision>
  <cp:lastPrinted>2014-05-14T10:59:00Z</cp:lastPrinted>
  <dcterms:created xsi:type="dcterms:W3CDTF">2019-03-21T08:00:00Z</dcterms:created>
  <dcterms:modified xsi:type="dcterms:W3CDTF">2019-03-21T08:00:00Z</dcterms:modified>
</cp:coreProperties>
</file>