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DC0149" w:rsidRPr="00DB58B5" w:rsidTr="009D5F1A">
        <w:trPr>
          <w:trHeight w:hRule="exact" w:val="851"/>
        </w:trPr>
        <w:tc>
          <w:tcPr>
            <w:tcW w:w="1276" w:type="dxa"/>
            <w:tcBorders>
              <w:bottom w:val="single" w:sz="4" w:space="0" w:color="auto"/>
            </w:tcBorders>
          </w:tcPr>
          <w:p w:rsidR="00DC0149" w:rsidRPr="00DB58B5" w:rsidRDefault="00DC0149" w:rsidP="00786D88"/>
        </w:tc>
        <w:tc>
          <w:tcPr>
            <w:tcW w:w="2268" w:type="dxa"/>
            <w:tcBorders>
              <w:bottom w:val="single" w:sz="4" w:space="0" w:color="auto"/>
            </w:tcBorders>
            <w:vAlign w:val="bottom"/>
          </w:tcPr>
          <w:p w:rsidR="00DC0149" w:rsidRPr="00DB58B5" w:rsidRDefault="00DC0149" w:rsidP="009D5F1A">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DC0149" w:rsidRPr="00DB58B5" w:rsidRDefault="00786D88" w:rsidP="00786D88">
            <w:pPr>
              <w:jc w:val="right"/>
            </w:pPr>
            <w:r w:rsidRPr="00786D88">
              <w:rPr>
                <w:sz w:val="40"/>
              </w:rPr>
              <w:t>CERD</w:t>
            </w:r>
            <w:r>
              <w:t>/C/ZMB/17-19</w:t>
            </w:r>
          </w:p>
        </w:tc>
      </w:tr>
      <w:tr w:rsidR="00DC0149" w:rsidRPr="00DB58B5" w:rsidTr="009D5F1A">
        <w:trPr>
          <w:trHeight w:hRule="exact" w:val="2835"/>
        </w:trPr>
        <w:tc>
          <w:tcPr>
            <w:tcW w:w="1276" w:type="dxa"/>
            <w:tcBorders>
              <w:top w:val="single" w:sz="4" w:space="0" w:color="auto"/>
              <w:bottom w:val="single" w:sz="12" w:space="0" w:color="auto"/>
            </w:tcBorders>
          </w:tcPr>
          <w:p w:rsidR="00DC0149" w:rsidRPr="00DB58B5" w:rsidRDefault="00DC0149" w:rsidP="009D5F1A">
            <w:pPr>
              <w:spacing w:before="120"/>
              <w:jc w:val="center"/>
            </w:pPr>
            <w:r>
              <w:rPr>
                <w:noProof/>
                <w:lang w:eastAsia="fr-CH"/>
              </w:rPr>
              <w:drawing>
                <wp:inline distT="0" distB="0" distL="0" distR="0" wp14:anchorId="19A0A5A9" wp14:editId="42FFFBEB">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DC0149" w:rsidRPr="00740562" w:rsidRDefault="00DC0149" w:rsidP="009D5F1A">
            <w:pPr>
              <w:spacing w:before="120" w:line="380" w:lineRule="exact"/>
              <w:rPr>
                <w:b/>
                <w:sz w:val="40"/>
                <w:szCs w:val="40"/>
              </w:rPr>
            </w:pPr>
            <w:r>
              <w:rPr>
                <w:b/>
                <w:sz w:val="34"/>
                <w:szCs w:val="34"/>
              </w:rPr>
              <w:t>Convention internationale sur</w:t>
            </w:r>
            <w:r>
              <w:rPr>
                <w:b/>
                <w:sz w:val="34"/>
                <w:szCs w:val="34"/>
              </w:rPr>
              <w:br/>
              <w:t>l’élimination de toutes les formes</w:t>
            </w:r>
            <w:r>
              <w:rPr>
                <w:b/>
                <w:sz w:val="34"/>
                <w:szCs w:val="34"/>
              </w:rPr>
              <w:br/>
              <w:t>de discrimination raciale</w:t>
            </w:r>
          </w:p>
        </w:tc>
        <w:tc>
          <w:tcPr>
            <w:tcW w:w="2835" w:type="dxa"/>
            <w:tcBorders>
              <w:top w:val="single" w:sz="4" w:space="0" w:color="auto"/>
              <w:bottom w:val="single" w:sz="12" w:space="0" w:color="auto"/>
            </w:tcBorders>
          </w:tcPr>
          <w:p w:rsidR="00DC0149" w:rsidRDefault="00786D88" w:rsidP="009D5F1A">
            <w:pPr>
              <w:spacing w:before="240"/>
            </w:pPr>
            <w:proofErr w:type="spellStart"/>
            <w:r>
              <w:t>Distr</w:t>
            </w:r>
            <w:proofErr w:type="spellEnd"/>
            <w:r>
              <w:t>. générale</w:t>
            </w:r>
          </w:p>
          <w:p w:rsidR="00786D88" w:rsidRDefault="00786D88" w:rsidP="00786D88">
            <w:pPr>
              <w:spacing w:line="240" w:lineRule="exact"/>
            </w:pPr>
            <w:r>
              <w:t>4 juin 2018</w:t>
            </w:r>
          </w:p>
          <w:p w:rsidR="00786D88" w:rsidRDefault="00786D88" w:rsidP="00786D88">
            <w:pPr>
              <w:spacing w:line="240" w:lineRule="exact"/>
            </w:pPr>
            <w:r>
              <w:t>Français</w:t>
            </w:r>
          </w:p>
          <w:p w:rsidR="00786D88" w:rsidRDefault="00786D88" w:rsidP="00786D88">
            <w:pPr>
              <w:spacing w:line="240" w:lineRule="exact"/>
            </w:pPr>
            <w:r>
              <w:t>Original : anglais</w:t>
            </w:r>
          </w:p>
          <w:p w:rsidR="00786D88" w:rsidRPr="00DB58B5" w:rsidRDefault="00786D88" w:rsidP="00786D88">
            <w:pPr>
              <w:spacing w:line="240" w:lineRule="exact"/>
            </w:pPr>
            <w:r>
              <w:t>Anglais, espagnol et français</w:t>
            </w:r>
          </w:p>
        </w:tc>
      </w:tr>
    </w:tbl>
    <w:p w:rsidR="00623CA8" w:rsidRDefault="00623CA8" w:rsidP="00623CA8">
      <w:pPr>
        <w:spacing w:before="120"/>
        <w:rPr>
          <w:b/>
          <w:sz w:val="24"/>
          <w:szCs w:val="24"/>
        </w:rPr>
      </w:pPr>
      <w:r w:rsidRPr="00C56102">
        <w:rPr>
          <w:b/>
          <w:sz w:val="24"/>
          <w:szCs w:val="24"/>
        </w:rPr>
        <w:t>Comité pour l’élimination de la discrimination raciale</w:t>
      </w:r>
    </w:p>
    <w:p w:rsidR="00786D88" w:rsidRPr="00C07083" w:rsidRDefault="00786D88" w:rsidP="00786D88">
      <w:pPr>
        <w:pStyle w:val="HMG"/>
        <w:rPr>
          <w:lang w:val="fr-FR"/>
        </w:rPr>
      </w:pPr>
      <w:r w:rsidRPr="00C07083">
        <w:rPr>
          <w:lang w:val="fr-FR"/>
        </w:rPr>
        <w:tab/>
      </w:r>
      <w:r w:rsidRPr="00C07083">
        <w:rPr>
          <w:lang w:val="fr-FR"/>
        </w:rPr>
        <w:tab/>
      </w:r>
      <w:r w:rsidRPr="00786D88">
        <w:t>Rapport</w:t>
      </w:r>
      <w:r>
        <w:rPr>
          <w:lang w:val="fr-FR"/>
        </w:rPr>
        <w:t xml:space="preserve"> valant dix-septième à dix-neuvième </w:t>
      </w:r>
      <w:bookmarkStart w:id="0" w:name="_GoBack"/>
      <w:bookmarkEnd w:id="0"/>
      <w:r>
        <w:rPr>
          <w:lang w:val="fr-FR"/>
        </w:rPr>
        <w:t xml:space="preserve">rapports périodiques soumis par la Zambie </w:t>
      </w:r>
      <w:r>
        <w:rPr>
          <w:lang w:val="fr-FR"/>
        </w:rPr>
        <w:br/>
        <w:t xml:space="preserve">en application de l’article </w:t>
      </w:r>
      <w:r w:rsidRPr="00C07083">
        <w:rPr>
          <w:lang w:val="fr-FR"/>
        </w:rPr>
        <w:t xml:space="preserve">9 </w:t>
      </w:r>
      <w:r>
        <w:rPr>
          <w:lang w:val="fr-FR"/>
        </w:rPr>
        <w:t>de la Convention</w:t>
      </w:r>
      <w:r w:rsidRPr="00C07083">
        <w:rPr>
          <w:lang w:val="fr-FR"/>
        </w:rPr>
        <w:t>,</w:t>
      </w:r>
      <w:r>
        <w:rPr>
          <w:lang w:val="fr-FR"/>
        </w:rPr>
        <w:t xml:space="preserve"> attendu en 2009</w:t>
      </w:r>
      <w:r w:rsidRPr="00786D88">
        <w:rPr>
          <w:rStyle w:val="Appelnotedebasdep"/>
          <w:b w:val="0"/>
          <w:sz w:val="20"/>
          <w:vertAlign w:val="baseline"/>
        </w:rPr>
        <w:footnoteReference w:customMarkFollows="1" w:id="2"/>
        <w:t>*</w:t>
      </w:r>
    </w:p>
    <w:p w:rsidR="00984B29" w:rsidRDefault="00786D88" w:rsidP="00786D88">
      <w:pPr>
        <w:pStyle w:val="SingleTxtG"/>
        <w:jc w:val="right"/>
        <w:rPr>
          <w:lang w:val="fr-FR"/>
        </w:rPr>
      </w:pPr>
      <w:r w:rsidRPr="00C07083">
        <w:rPr>
          <w:lang w:val="fr-FR"/>
        </w:rPr>
        <w:t xml:space="preserve">[Date </w:t>
      </w:r>
      <w:r>
        <w:rPr>
          <w:lang w:val="fr-FR"/>
        </w:rPr>
        <w:t>de réception : 14 février </w:t>
      </w:r>
      <w:r w:rsidRPr="00C07083">
        <w:rPr>
          <w:lang w:val="fr-FR"/>
        </w:rPr>
        <w:t>2018]</w:t>
      </w:r>
    </w:p>
    <w:p w:rsidR="00786D88" w:rsidRPr="00C07083" w:rsidRDefault="00786D88" w:rsidP="00717A51">
      <w:pPr>
        <w:pStyle w:val="HChG"/>
        <w:rPr>
          <w:lang w:val="fr-FR"/>
        </w:rPr>
      </w:pPr>
      <w:r>
        <w:br w:type="page"/>
      </w:r>
      <w:r w:rsidR="00717A51">
        <w:lastRenderedPageBreak/>
        <w:tab/>
      </w:r>
      <w:r w:rsidR="00717A51">
        <w:tab/>
      </w:r>
      <w:r>
        <w:rPr>
          <w:lang w:val="fr-FR"/>
        </w:rPr>
        <w:t>Avant-propos</w:t>
      </w:r>
    </w:p>
    <w:p w:rsidR="00786D88" w:rsidRPr="00C07083" w:rsidRDefault="00786D88" w:rsidP="00786D88">
      <w:pPr>
        <w:pStyle w:val="SingleTxtG"/>
        <w:ind w:firstLine="567"/>
        <w:rPr>
          <w:lang w:val="fr-FR"/>
        </w:rPr>
      </w:pPr>
      <w:r>
        <w:rPr>
          <w:lang w:val="fr-FR"/>
        </w:rPr>
        <w:t xml:space="preserve">J’ai le plaisir de présenter le </w:t>
      </w:r>
      <w:r w:rsidRPr="009A15B2">
        <w:rPr>
          <w:lang w:val="fr-FR"/>
        </w:rPr>
        <w:t xml:space="preserve">Rapport valant dix-septième à dix-neuvième rapports périodiques </w:t>
      </w:r>
      <w:r w:rsidR="00717A51">
        <w:rPr>
          <w:lang w:val="fr-FR"/>
        </w:rPr>
        <w:t xml:space="preserve">de la Zambie </w:t>
      </w:r>
      <w:r>
        <w:rPr>
          <w:lang w:val="fr-FR"/>
        </w:rPr>
        <w:t>sur la mise en œuvre de la Convention internationale sur l’élimination de toutes les formes de discrimination raciale</w:t>
      </w:r>
      <w:r w:rsidRPr="00C07083">
        <w:rPr>
          <w:lang w:val="fr-FR"/>
        </w:rPr>
        <w:t>.</w:t>
      </w:r>
    </w:p>
    <w:p w:rsidR="00786D88" w:rsidRPr="00C07083" w:rsidRDefault="00786D88" w:rsidP="00786D88">
      <w:pPr>
        <w:pStyle w:val="SingleTxtG"/>
        <w:ind w:firstLine="567"/>
        <w:rPr>
          <w:lang w:val="fr-FR"/>
        </w:rPr>
      </w:pPr>
      <w:r>
        <w:rPr>
          <w:lang w:val="fr-FR"/>
        </w:rPr>
        <w:t>Je tiens à souligner que le Gouvernement de la République de Zambie est déterminé à veiller à ce que nul ne soit victime de discrimination de manière à permettre à tous de jouir pleinement de leurs droits dans des conditions d’égalité</w:t>
      </w:r>
      <w:r w:rsidRPr="00C07083">
        <w:rPr>
          <w:lang w:val="fr-FR"/>
        </w:rPr>
        <w:t>.</w:t>
      </w:r>
    </w:p>
    <w:p w:rsidR="00786D88" w:rsidRPr="00C07083" w:rsidRDefault="00786D88" w:rsidP="00786D88">
      <w:pPr>
        <w:pStyle w:val="SingleTxtG"/>
        <w:ind w:firstLine="567"/>
        <w:rPr>
          <w:lang w:val="fr-FR"/>
        </w:rPr>
      </w:pPr>
      <w:r>
        <w:rPr>
          <w:lang w:val="fr-FR"/>
        </w:rPr>
        <w:t>Il convient de noter que le Gouvernement examine continuellement ses fonctions législatives, judiciaires et administratives pour assurer la poursuite d’interventions appropriées à la mise en œuvre du Pacte</w:t>
      </w:r>
      <w:r w:rsidRPr="00C07083">
        <w:rPr>
          <w:lang w:val="fr-FR"/>
        </w:rPr>
        <w:t xml:space="preserve">. </w:t>
      </w:r>
      <w:r>
        <w:rPr>
          <w:lang w:val="fr-FR"/>
        </w:rPr>
        <w:t xml:space="preserve">Ce rapport est donc un compte rendu ouvert et honnête des mesures prises par la Zambie pour appliquer la Convention </w:t>
      </w:r>
    </w:p>
    <w:p w:rsidR="00786D88" w:rsidRPr="00C07083" w:rsidRDefault="00786D88" w:rsidP="00786D88">
      <w:pPr>
        <w:pStyle w:val="SingleTxtG"/>
        <w:ind w:firstLine="567"/>
        <w:rPr>
          <w:lang w:val="fr-FR"/>
        </w:rPr>
      </w:pPr>
      <w:r>
        <w:rPr>
          <w:lang w:val="fr-FR"/>
        </w:rPr>
        <w:t>Le rapport, qui prend en compte les apports des diverses parties prenantes, a été préparé suivant un processus très participatif et inclusif qui a donné lieu à de vastes consultations</w:t>
      </w:r>
      <w:r w:rsidRPr="00C07083">
        <w:rPr>
          <w:lang w:val="fr-FR"/>
        </w:rPr>
        <w:t>.</w:t>
      </w:r>
    </w:p>
    <w:p w:rsidR="00786D88" w:rsidRPr="00C07083" w:rsidRDefault="00786D88" w:rsidP="00786D88">
      <w:pPr>
        <w:pStyle w:val="SingleTxtG"/>
        <w:ind w:firstLine="567"/>
        <w:rPr>
          <w:lang w:val="fr-FR"/>
        </w:rPr>
      </w:pPr>
      <w:r>
        <w:rPr>
          <w:lang w:val="fr-FR"/>
        </w:rPr>
        <w:t>Je suis reconnaissant à tous les ministères et départements ainsi qu’à toutes les parties prenantes, notamment les acteurs non étatiques, aussi bien locaux qu’internationaux, de leur précieuse contribution à sa préparation</w:t>
      </w:r>
      <w:r w:rsidRPr="00C07083">
        <w:rPr>
          <w:lang w:val="fr-FR"/>
        </w:rPr>
        <w:t>.</w:t>
      </w:r>
    </w:p>
    <w:p w:rsidR="00786D88" w:rsidRPr="00C07083" w:rsidRDefault="00786D88" w:rsidP="00786D88">
      <w:pPr>
        <w:pStyle w:val="SingleTxtG"/>
        <w:ind w:firstLine="567"/>
        <w:rPr>
          <w:lang w:val="fr-FR"/>
        </w:rPr>
      </w:pPr>
      <w:r>
        <w:rPr>
          <w:lang w:val="fr-FR"/>
        </w:rPr>
        <w:t xml:space="preserve">Le rapport a pour objet de présenter au Comité pour l’élimination de la discrimination raciale des informations sur la mise en œuvre de la </w:t>
      </w:r>
      <w:r w:rsidRPr="00C07083">
        <w:rPr>
          <w:lang w:val="fr-FR"/>
        </w:rPr>
        <w:t xml:space="preserve">Convention </w:t>
      </w:r>
      <w:r>
        <w:rPr>
          <w:lang w:val="fr-FR"/>
        </w:rPr>
        <w:t>et de solliciter des commentaires sur la voie à suivre. Le Gouvernement est convaincu qu’il incitera tous les ministères, institutions gouvernementales et non gouvernementales ainsi que toutes les personnes résidant en Zambie à respecter les principes inscrits dans cette Convention</w:t>
      </w:r>
      <w:r w:rsidRPr="00C07083">
        <w:rPr>
          <w:lang w:val="fr-FR"/>
        </w:rPr>
        <w:t>.</w:t>
      </w:r>
    </w:p>
    <w:p w:rsidR="00786D88" w:rsidRPr="00C07083" w:rsidRDefault="00786D88" w:rsidP="00786D88">
      <w:pPr>
        <w:pStyle w:val="SingleTxtG"/>
        <w:ind w:firstLine="567"/>
        <w:rPr>
          <w:lang w:val="fr-FR"/>
        </w:rPr>
      </w:pPr>
      <w:r>
        <w:rPr>
          <w:lang w:val="fr-FR"/>
        </w:rPr>
        <w:t xml:space="preserve">Le </w:t>
      </w:r>
      <w:r w:rsidRPr="00C07083">
        <w:rPr>
          <w:lang w:val="fr-FR"/>
        </w:rPr>
        <w:t>Go</w:t>
      </w:r>
      <w:r>
        <w:rPr>
          <w:lang w:val="fr-FR"/>
        </w:rPr>
        <w:t>u</w:t>
      </w:r>
      <w:r w:rsidRPr="00C07083">
        <w:rPr>
          <w:lang w:val="fr-FR"/>
        </w:rPr>
        <w:t>vern</w:t>
      </w:r>
      <w:r>
        <w:rPr>
          <w:lang w:val="fr-FR"/>
        </w:rPr>
        <w:t>e</w:t>
      </w:r>
      <w:r w:rsidRPr="00C07083">
        <w:rPr>
          <w:lang w:val="fr-FR"/>
        </w:rPr>
        <w:t>ment</w:t>
      </w:r>
      <w:r>
        <w:rPr>
          <w:lang w:val="fr-FR"/>
        </w:rPr>
        <w:t xml:space="preserve"> demeure prêt à recevoir les conseils et les suggestions de tous sur la manière de procéder pour permettre au pays de concrétiser sa vision d’une nation unie ayant dépassé le stade des divisions raciales</w:t>
      </w:r>
      <w:r w:rsidRPr="00C07083">
        <w:rPr>
          <w:lang w:val="fr-FR"/>
        </w:rPr>
        <w:t>.</w:t>
      </w:r>
    </w:p>
    <w:p w:rsidR="00786D88" w:rsidRPr="00C07083" w:rsidRDefault="00786D88" w:rsidP="00786D88">
      <w:pPr>
        <w:pStyle w:val="SingleTxtG"/>
        <w:ind w:firstLine="567"/>
        <w:rPr>
          <w:lang w:val="fr-FR"/>
        </w:rPr>
      </w:pPr>
      <w:r>
        <w:rPr>
          <w:lang w:val="fr-FR"/>
        </w:rPr>
        <w:t>Je salue les efforts et le dur labeur de l’équipe chargée de l’élaboration de ce rapport</w:t>
      </w:r>
      <w:r w:rsidRPr="00C07083">
        <w:rPr>
          <w:lang w:val="fr-FR"/>
        </w:rPr>
        <w:t>.</w:t>
      </w:r>
    </w:p>
    <w:p w:rsidR="00786D88" w:rsidRDefault="00786D88" w:rsidP="00786D88">
      <w:pPr>
        <w:pStyle w:val="SingleTxtG"/>
        <w:jc w:val="right"/>
        <w:rPr>
          <w:lang w:val="fr-FR"/>
        </w:rPr>
      </w:pPr>
      <w:proofErr w:type="spellStart"/>
      <w:r w:rsidRPr="00C07083">
        <w:rPr>
          <w:lang w:val="fr-FR"/>
        </w:rPr>
        <w:t>Given</w:t>
      </w:r>
      <w:proofErr w:type="spellEnd"/>
      <w:r w:rsidRPr="00C07083">
        <w:rPr>
          <w:lang w:val="fr-FR"/>
        </w:rPr>
        <w:t xml:space="preserve"> </w:t>
      </w:r>
      <w:proofErr w:type="spellStart"/>
      <w:r w:rsidRPr="00C07083">
        <w:rPr>
          <w:lang w:val="fr-FR"/>
        </w:rPr>
        <w:t>Lubinda</w:t>
      </w:r>
      <w:proofErr w:type="spellEnd"/>
      <w:r w:rsidRPr="00C07083">
        <w:rPr>
          <w:lang w:val="fr-FR"/>
        </w:rPr>
        <w:t>, MP</w:t>
      </w:r>
      <w:r w:rsidRPr="00C07083">
        <w:rPr>
          <w:lang w:val="fr-FR"/>
        </w:rPr>
        <w:br/>
        <w:t>Ministr</w:t>
      </w:r>
      <w:r>
        <w:rPr>
          <w:lang w:val="fr-FR"/>
        </w:rPr>
        <w:t>e</w:t>
      </w:r>
      <w:r w:rsidRPr="00C07083">
        <w:rPr>
          <w:lang w:val="fr-FR"/>
        </w:rPr>
        <w:t xml:space="preserve"> </w:t>
      </w:r>
      <w:r>
        <w:rPr>
          <w:lang w:val="fr-FR"/>
        </w:rPr>
        <w:t>de la j</w:t>
      </w:r>
      <w:r w:rsidRPr="00C07083">
        <w:rPr>
          <w:lang w:val="fr-FR"/>
        </w:rPr>
        <w:t>ustice</w:t>
      </w:r>
    </w:p>
    <w:p w:rsidR="00786D88" w:rsidRPr="00C07083" w:rsidRDefault="00786D88" w:rsidP="00786D88">
      <w:pPr>
        <w:pStyle w:val="HChG"/>
        <w:rPr>
          <w:lang w:val="fr-FR"/>
        </w:rPr>
      </w:pPr>
      <w:r>
        <w:rPr>
          <w:lang w:val="fr-FR"/>
        </w:rPr>
        <w:br w:type="page"/>
      </w:r>
      <w:r w:rsidRPr="00C07083">
        <w:rPr>
          <w:lang w:val="fr-FR"/>
        </w:rPr>
        <w:lastRenderedPageBreak/>
        <w:tab/>
      </w:r>
      <w:r w:rsidRPr="00C07083">
        <w:rPr>
          <w:lang w:val="fr-FR"/>
        </w:rPr>
        <w:tab/>
      </w:r>
      <w:r>
        <w:rPr>
          <w:lang w:val="fr-FR"/>
        </w:rPr>
        <w:t>Résumé analytique</w:t>
      </w:r>
    </w:p>
    <w:p w:rsidR="00786D88" w:rsidRPr="00C07083" w:rsidRDefault="00786D88" w:rsidP="00786D88">
      <w:pPr>
        <w:pStyle w:val="SingleTxtG"/>
        <w:ind w:firstLine="567"/>
        <w:rPr>
          <w:lang w:val="fr-FR"/>
        </w:rPr>
      </w:pPr>
      <w:r>
        <w:rPr>
          <w:lang w:val="fr-FR"/>
        </w:rPr>
        <w:t>Le présent rapport a été établi sur la base d’informations objectives et fiables concernant le respect et l’application des dispositions de la Convention internationale sur l’élimination de toutes les formes de discrimination raciale</w:t>
      </w:r>
      <w:r w:rsidRPr="00C07083">
        <w:rPr>
          <w:lang w:val="fr-FR"/>
        </w:rPr>
        <w:t>.</w:t>
      </w:r>
    </w:p>
    <w:p w:rsidR="00786D88" w:rsidRPr="00C07083" w:rsidRDefault="00786D88" w:rsidP="00786D88">
      <w:pPr>
        <w:pStyle w:val="SingleTxtG"/>
        <w:ind w:firstLine="567"/>
        <w:rPr>
          <w:lang w:val="fr-FR"/>
        </w:rPr>
      </w:pPr>
      <w:r>
        <w:rPr>
          <w:lang w:val="fr-FR"/>
        </w:rPr>
        <w:t>Le rapport décrit le cadre normatif établi pour assurer le respect du principe de non-discrimination en Zambie. Le Comité pour l’élimination de la discrimination raciale (ci</w:t>
      </w:r>
      <w:r>
        <w:rPr>
          <w:lang w:val="fr-FR"/>
        </w:rPr>
        <w:noBreakHyphen/>
        <w:t>après « le Comité ») a fait part de ses préoccupations et a formulé des recommandations lors de la présentation du seizième rapport périodique de l’État partie. Le présent rapport a pour objet de répondre à ces préoccupations et recommandations. Il donne également un aperçu des mesures législatives, administratives, judiciaires et autres qui ont été prises pour permettre à la Zambie d’honorer ses obligations et ses engagements au titre de la Convention</w:t>
      </w:r>
      <w:r w:rsidRPr="00C07083">
        <w:rPr>
          <w:lang w:val="fr-FR"/>
        </w:rPr>
        <w:t>.</w:t>
      </w:r>
    </w:p>
    <w:p w:rsidR="00786D88" w:rsidRPr="00C07083" w:rsidRDefault="00786D88" w:rsidP="00786D88">
      <w:pPr>
        <w:pStyle w:val="SingleTxtG"/>
        <w:ind w:firstLine="567"/>
        <w:rPr>
          <w:lang w:val="fr-FR"/>
        </w:rPr>
      </w:pPr>
      <w:r>
        <w:rPr>
          <w:lang w:val="fr-FR"/>
        </w:rPr>
        <w:t>Le rapport était attendu le 5 mars 2009 et a donc huit ans de retard. La période couverte par les rapports relatifs à la Convention étant de deux (2) ans, la Zambie doit donc présenter un rapport tous les deux (2) ans.</w:t>
      </w:r>
    </w:p>
    <w:p w:rsidR="00786D88" w:rsidRPr="00C07083" w:rsidRDefault="00786D88" w:rsidP="00786D88">
      <w:pPr>
        <w:pStyle w:val="SingleTxtG"/>
        <w:ind w:firstLine="567"/>
        <w:rPr>
          <w:lang w:val="fr-FR"/>
        </w:rPr>
      </w:pPr>
      <w:r>
        <w:rPr>
          <w:lang w:val="fr-FR"/>
        </w:rPr>
        <w:t>Le rapport rend également compte des difficultés et des obstacles soulevés par la mise en œuvre de la Convention sur l’élimination de toutes les formes de discrimination raciale. Il met en relief les priorités nationales, énonce les engagements pris et décrit les initiatives que la Zambie a l’intention de poursuivre pour surmonter ces problèmes. Il fait aussi ressortir les efforts systématiques et résolus déployés dans le pays à l’appui de l’élimination de toutes les formes de discrimination raciale.</w:t>
      </w:r>
    </w:p>
    <w:p w:rsidR="00786D88" w:rsidRPr="00C07083" w:rsidRDefault="00786D88" w:rsidP="00786D88">
      <w:pPr>
        <w:pStyle w:val="SingleTxtG"/>
        <w:ind w:firstLine="567"/>
        <w:rPr>
          <w:lang w:val="fr-FR"/>
        </w:rPr>
      </w:pPr>
      <w:r>
        <w:rPr>
          <w:lang w:val="fr-FR"/>
        </w:rPr>
        <w:t xml:space="preserve">Le </w:t>
      </w:r>
      <w:r w:rsidRPr="00C07083">
        <w:rPr>
          <w:lang w:val="fr-FR"/>
        </w:rPr>
        <w:t>Com</w:t>
      </w:r>
      <w:r>
        <w:rPr>
          <w:lang w:val="fr-FR"/>
        </w:rPr>
        <w:t>ité</w:t>
      </w:r>
      <w:r w:rsidRPr="00C07083">
        <w:rPr>
          <w:lang w:val="fr-FR"/>
        </w:rPr>
        <w:t xml:space="preserve"> </w:t>
      </w:r>
      <w:r>
        <w:rPr>
          <w:lang w:val="fr-FR"/>
        </w:rPr>
        <w:t>est invité à prendre note du fait que la responsabilité de la préparation des rapports de l’État incombe, en Zambie, au Ministère de la justice</w:t>
      </w:r>
      <w:r w:rsidRPr="00C07083">
        <w:rPr>
          <w:lang w:val="fr-FR"/>
        </w:rPr>
        <w:t xml:space="preserve">. </w:t>
      </w:r>
      <w:r>
        <w:rPr>
          <w:lang w:val="fr-FR"/>
        </w:rPr>
        <w:t>Le processus suivi pour préparer le rapport national a été lancé durant un atelier initial organisé à l’intention des parties prenantes par le Ministère de la justice à Lusaka dans le but de collecter des informations et de solliciter des commentaires</w:t>
      </w:r>
      <w:r w:rsidRPr="00C07083">
        <w:rPr>
          <w:lang w:val="fr-FR"/>
        </w:rPr>
        <w:t>.</w:t>
      </w:r>
    </w:p>
    <w:p w:rsidR="00786D88" w:rsidRDefault="00786D88" w:rsidP="00717A51">
      <w:pPr>
        <w:pStyle w:val="SingleTxtG"/>
        <w:ind w:firstLine="567"/>
        <w:rPr>
          <w:lang w:val="fr-FR"/>
        </w:rPr>
      </w:pPr>
      <w:r>
        <w:rPr>
          <w:lang w:val="fr-FR"/>
        </w:rPr>
        <w:t>Cette réunion a été suivie d’ateliers de consultation qui avaient pour objet de faire mieux connaître aux participants les obligations au titre de la Convention et de recueillir des informations sur l’application des mesures prises pour éliminer toutes les formes de discrimination raciale en Zambie en vue de leur inclusion dans le rapport national. Les participants et les parties prenantes consultées dans le cadre de ce processus représentaient des institutions publiques, des organisations de la société civile et la Commission zambienne des droits de l’homme</w:t>
      </w:r>
      <w:r w:rsidRPr="00C07083">
        <w:rPr>
          <w:lang w:val="fr-FR"/>
        </w:rPr>
        <w:t>.</w:t>
      </w:r>
    </w:p>
    <w:p w:rsidR="00786D88" w:rsidRPr="00C07083" w:rsidRDefault="00786D88" w:rsidP="00786D88">
      <w:pPr>
        <w:pStyle w:val="HChG"/>
        <w:rPr>
          <w:lang w:val="fr-FR"/>
        </w:rPr>
      </w:pPr>
      <w:r>
        <w:rPr>
          <w:lang w:val="fr-FR"/>
        </w:rPr>
        <w:br w:type="page"/>
      </w:r>
      <w:r w:rsidRPr="00C07083">
        <w:rPr>
          <w:lang w:val="fr-FR"/>
        </w:rPr>
        <w:lastRenderedPageBreak/>
        <w:tab/>
        <w:t>I.</w:t>
      </w:r>
      <w:r w:rsidRPr="00C07083">
        <w:rPr>
          <w:lang w:val="fr-FR"/>
        </w:rPr>
        <w:tab/>
      </w:r>
      <w:r>
        <w:rPr>
          <w:lang w:val="fr-FR"/>
        </w:rPr>
        <w:t xml:space="preserve">Première partie </w:t>
      </w:r>
    </w:p>
    <w:p w:rsidR="00786D88" w:rsidRPr="00C07083" w:rsidRDefault="00786D88" w:rsidP="00786D88">
      <w:pPr>
        <w:pStyle w:val="HChG"/>
        <w:rPr>
          <w:lang w:val="fr-FR"/>
        </w:rPr>
      </w:pPr>
      <w:r w:rsidRPr="00C07083">
        <w:rPr>
          <w:lang w:val="fr-FR"/>
        </w:rPr>
        <w:tab/>
      </w:r>
      <w:r w:rsidRPr="00C07083">
        <w:rPr>
          <w:lang w:val="fr-FR"/>
        </w:rPr>
        <w:tab/>
        <w:t>Introduction</w:t>
      </w:r>
    </w:p>
    <w:p w:rsidR="00786D88" w:rsidRPr="00C07083" w:rsidRDefault="00786D88" w:rsidP="00786D88">
      <w:pPr>
        <w:pStyle w:val="HChG"/>
        <w:rPr>
          <w:lang w:val="fr-FR"/>
        </w:rPr>
      </w:pPr>
      <w:r w:rsidRPr="00C07083">
        <w:rPr>
          <w:lang w:val="fr-FR"/>
        </w:rPr>
        <w:tab/>
      </w:r>
      <w:r w:rsidRPr="00C07083">
        <w:rPr>
          <w:lang w:val="fr-FR"/>
        </w:rPr>
        <w:tab/>
        <w:t>R</w:t>
      </w:r>
      <w:r>
        <w:rPr>
          <w:lang w:val="fr-FR"/>
        </w:rPr>
        <w:t>é</w:t>
      </w:r>
      <w:r w:rsidRPr="00C07083">
        <w:rPr>
          <w:lang w:val="fr-FR"/>
        </w:rPr>
        <w:t xml:space="preserve">ponses </w:t>
      </w:r>
      <w:r>
        <w:rPr>
          <w:lang w:val="fr-FR"/>
        </w:rPr>
        <w:t xml:space="preserve">de l’État partie aux recommandations formulées par le Comité pour l’élimination de toutes les formes </w:t>
      </w:r>
      <w:r w:rsidR="00AE3BFD">
        <w:rPr>
          <w:lang w:val="fr-FR"/>
        </w:rPr>
        <w:br/>
      </w:r>
      <w:r>
        <w:rPr>
          <w:lang w:val="fr-FR"/>
        </w:rPr>
        <w:t xml:space="preserve">de discrimination raciale </w:t>
      </w:r>
    </w:p>
    <w:p w:rsidR="00786D88" w:rsidRPr="00C07083" w:rsidRDefault="00786D88" w:rsidP="00786D88">
      <w:pPr>
        <w:pStyle w:val="SingleTxtG"/>
        <w:rPr>
          <w:lang w:val="fr-FR"/>
        </w:rPr>
      </w:pPr>
      <w:r w:rsidRPr="00C07083">
        <w:rPr>
          <w:lang w:val="fr-FR"/>
        </w:rPr>
        <w:t>1.</w:t>
      </w:r>
      <w:r w:rsidRPr="00C07083">
        <w:rPr>
          <w:lang w:val="fr-FR"/>
        </w:rPr>
        <w:tab/>
      </w:r>
      <w:r>
        <w:rPr>
          <w:lang w:val="fr-FR"/>
        </w:rPr>
        <w:t>La Zambie est un État partie à la Convention internationale sur l’élimination de toutes les formes de discrimination raciale</w:t>
      </w:r>
      <w:r w:rsidRPr="00C07083">
        <w:rPr>
          <w:lang w:val="fr-FR"/>
        </w:rPr>
        <w:t xml:space="preserve">. </w:t>
      </w:r>
      <w:r>
        <w:rPr>
          <w:lang w:val="fr-FR"/>
        </w:rPr>
        <w:t xml:space="preserve">À ce titre, elle est tenue de faire rapport périodiquement sur le respect des dispositions de la </w:t>
      </w:r>
      <w:r w:rsidRPr="00C07083">
        <w:rPr>
          <w:lang w:val="fr-FR"/>
        </w:rPr>
        <w:t xml:space="preserve">Convention </w:t>
      </w:r>
      <w:r>
        <w:rPr>
          <w:lang w:val="fr-FR"/>
        </w:rPr>
        <w:t>en répondant aux recommandations du Comité pour l’élimination de la discrimination raciale et en indiquant les mesures administratives, judiciaires et législatives prises pour prévenir et éliminer la discrimination raciale. La Zambie a présenté son Seizième rapport périodique au Comité en 2007, après quoi ce dernier a formulé diverses préoccupations et recommandations</w:t>
      </w:r>
      <w:r w:rsidRPr="00C07083">
        <w:rPr>
          <w:lang w:val="fr-FR"/>
        </w:rPr>
        <w:t>.</w:t>
      </w:r>
    </w:p>
    <w:p w:rsidR="00786D88" w:rsidRPr="00C07083" w:rsidRDefault="00786D88" w:rsidP="00786D88">
      <w:pPr>
        <w:pStyle w:val="SingleTxtG"/>
        <w:rPr>
          <w:lang w:val="fr-FR"/>
        </w:rPr>
      </w:pPr>
      <w:r w:rsidRPr="00C07083">
        <w:rPr>
          <w:lang w:val="fr-FR"/>
        </w:rPr>
        <w:t>2.</w:t>
      </w:r>
      <w:r w:rsidRPr="00C07083">
        <w:rPr>
          <w:lang w:val="fr-FR"/>
        </w:rPr>
        <w:tab/>
      </w:r>
      <w:r>
        <w:rPr>
          <w:lang w:val="fr-FR"/>
        </w:rPr>
        <w:t>L’État partie indique de manière générale les observations finales aux paragraphes 1 à 8, qui énoncent les aspects positifs mis en relief dans son seizième rapport périodique</w:t>
      </w:r>
      <w:r w:rsidRPr="00C07083">
        <w:rPr>
          <w:lang w:val="fr-FR"/>
        </w:rPr>
        <w:t xml:space="preserve">. </w:t>
      </w:r>
      <w:r>
        <w:rPr>
          <w:lang w:val="fr-FR"/>
        </w:rPr>
        <w:t xml:space="preserve">Il indique aussi les recommandations formulées au paragraphe </w:t>
      </w:r>
      <w:r w:rsidRPr="00C07083">
        <w:rPr>
          <w:lang w:val="fr-FR"/>
        </w:rPr>
        <w:t xml:space="preserve">9 </w:t>
      </w:r>
      <w:r>
        <w:rPr>
          <w:lang w:val="fr-FR"/>
        </w:rPr>
        <w:t>des observations finales, qui consistent à </w:t>
      </w:r>
      <w:r w:rsidRPr="00C07083">
        <w:rPr>
          <w:lang w:val="fr-FR"/>
        </w:rPr>
        <w:t>:</w:t>
      </w:r>
    </w:p>
    <w:p w:rsidR="00786D88" w:rsidRDefault="00786D88" w:rsidP="00786D88">
      <w:pPr>
        <w:pStyle w:val="SingleTxtG"/>
        <w:ind w:firstLine="567"/>
        <w:rPr>
          <w:lang w:val="fr-FR"/>
        </w:rPr>
      </w:pPr>
      <w:r>
        <w:rPr>
          <w:lang w:val="fr-FR"/>
        </w:rPr>
        <w:t>a)</w:t>
      </w:r>
      <w:r>
        <w:rPr>
          <w:lang w:val="fr-FR"/>
        </w:rPr>
        <w:tab/>
        <w:t>H</w:t>
      </w:r>
      <w:r w:rsidRPr="00957685">
        <w:rPr>
          <w:lang w:val="fr-FR"/>
        </w:rPr>
        <w:t xml:space="preserve">armoniser </w:t>
      </w:r>
      <w:r>
        <w:rPr>
          <w:lang w:val="fr-FR"/>
        </w:rPr>
        <w:t xml:space="preserve">le droit interne </w:t>
      </w:r>
      <w:r w:rsidRPr="00957685">
        <w:rPr>
          <w:lang w:val="fr-FR"/>
        </w:rPr>
        <w:t>de l’État parti</w:t>
      </w:r>
      <w:r>
        <w:rPr>
          <w:lang w:val="fr-FR"/>
        </w:rPr>
        <w:t>e</w:t>
      </w:r>
      <w:r w:rsidRPr="00957685">
        <w:rPr>
          <w:lang w:val="fr-FR"/>
        </w:rPr>
        <w:t xml:space="preserve"> avec la </w:t>
      </w:r>
      <w:r>
        <w:rPr>
          <w:lang w:val="fr-FR"/>
        </w:rPr>
        <w:t>C</w:t>
      </w:r>
      <w:r w:rsidRPr="00957685">
        <w:rPr>
          <w:lang w:val="fr-FR"/>
        </w:rPr>
        <w:t>onvention dans les meilleurs délais</w:t>
      </w:r>
      <w:r>
        <w:rPr>
          <w:lang w:val="fr-FR"/>
        </w:rPr>
        <w:t> </w:t>
      </w:r>
      <w:r w:rsidRPr="00957685">
        <w:rPr>
          <w:lang w:val="fr-FR"/>
        </w:rPr>
        <w:t xml:space="preserve">; </w:t>
      </w:r>
    </w:p>
    <w:p w:rsidR="00786D88" w:rsidRPr="00957685" w:rsidRDefault="00786D88" w:rsidP="00786D88">
      <w:pPr>
        <w:pStyle w:val="SingleTxtG"/>
        <w:ind w:firstLine="567"/>
        <w:rPr>
          <w:lang w:val="fr-FR"/>
        </w:rPr>
      </w:pPr>
      <w:r w:rsidRPr="00957685">
        <w:rPr>
          <w:lang w:val="fr-FR"/>
        </w:rPr>
        <w:t>b)</w:t>
      </w:r>
      <w:r w:rsidRPr="00957685">
        <w:rPr>
          <w:lang w:val="fr-FR"/>
        </w:rPr>
        <w:tab/>
      </w:r>
      <w:r>
        <w:rPr>
          <w:lang w:val="fr-FR"/>
        </w:rPr>
        <w:t>Faire prendre conscience à la population des obligations internationales qui incombent à l’État partie au titre de la Convention.</w:t>
      </w:r>
    </w:p>
    <w:p w:rsidR="00786D88" w:rsidRPr="00C07083" w:rsidRDefault="00786D88" w:rsidP="00786D88">
      <w:pPr>
        <w:pStyle w:val="SingleTxtG"/>
        <w:rPr>
          <w:lang w:val="fr-FR"/>
        </w:rPr>
      </w:pPr>
      <w:r w:rsidRPr="00C07083">
        <w:rPr>
          <w:lang w:val="fr-FR"/>
        </w:rPr>
        <w:t>3.</w:t>
      </w:r>
      <w:r w:rsidRPr="00C07083">
        <w:rPr>
          <w:lang w:val="fr-FR"/>
        </w:rPr>
        <w:tab/>
      </w:r>
      <w:r>
        <w:rPr>
          <w:lang w:val="fr-FR"/>
        </w:rPr>
        <w:t>Les réponses apportées par l’État partie à chacune des observations finales du Comité sont présentées ci-après</w:t>
      </w:r>
      <w:r w:rsidRPr="00C07083">
        <w:rPr>
          <w:lang w:val="fr-FR"/>
        </w:rPr>
        <w:t>.</w:t>
      </w:r>
    </w:p>
    <w:p w:rsidR="00786D88" w:rsidRPr="00C07083" w:rsidRDefault="00786D88" w:rsidP="00786D88">
      <w:pPr>
        <w:pStyle w:val="H1G"/>
        <w:rPr>
          <w:lang w:val="fr-FR"/>
        </w:rPr>
      </w:pPr>
      <w:r w:rsidRPr="00C07083">
        <w:rPr>
          <w:lang w:val="fr-FR"/>
        </w:rPr>
        <w:tab/>
        <w:t>1.</w:t>
      </w:r>
      <w:r w:rsidRPr="00C07083">
        <w:rPr>
          <w:lang w:val="fr-FR"/>
        </w:rPr>
        <w:tab/>
        <w:t xml:space="preserve">Article 23 </w:t>
      </w:r>
      <w:r>
        <w:rPr>
          <w:lang w:val="fr-FR"/>
        </w:rPr>
        <w:t xml:space="preserve">de la </w:t>
      </w:r>
      <w:r w:rsidRPr="00C07083">
        <w:rPr>
          <w:lang w:val="fr-FR"/>
        </w:rPr>
        <w:t>Constitution</w:t>
      </w:r>
    </w:p>
    <w:p w:rsidR="00786D88" w:rsidRPr="00C07083" w:rsidRDefault="00786D88" w:rsidP="00786D88">
      <w:pPr>
        <w:pStyle w:val="H23G"/>
        <w:rPr>
          <w:lang w:val="fr-FR"/>
        </w:rPr>
      </w:pPr>
      <w:r w:rsidRPr="00C07083">
        <w:rPr>
          <w:lang w:val="fr-FR"/>
        </w:rPr>
        <w:tab/>
      </w:r>
      <w:r w:rsidRPr="00C07083">
        <w:rPr>
          <w:lang w:val="fr-FR"/>
        </w:rPr>
        <w:tab/>
      </w:r>
      <w:r>
        <w:rPr>
          <w:lang w:val="fr-FR"/>
        </w:rPr>
        <w:t xml:space="preserve">Observation finale </w:t>
      </w:r>
    </w:p>
    <w:p w:rsidR="00786D88" w:rsidRPr="00C07083" w:rsidRDefault="00786D88" w:rsidP="00786D88">
      <w:pPr>
        <w:pStyle w:val="SingleTxtG"/>
        <w:rPr>
          <w:b/>
          <w:lang w:val="fr-FR"/>
        </w:rPr>
      </w:pPr>
      <w:r w:rsidRPr="00C07083">
        <w:rPr>
          <w:lang w:val="fr-FR"/>
        </w:rPr>
        <w:t>4.</w:t>
      </w:r>
      <w:r w:rsidRPr="00C07083">
        <w:rPr>
          <w:lang w:val="fr-FR"/>
        </w:rPr>
        <w:tab/>
      </w:r>
      <w:r w:rsidRPr="004B4FD8">
        <w:rPr>
          <w:b/>
          <w:lang w:val="fr-FR"/>
        </w:rPr>
        <w:t xml:space="preserve">Le </w:t>
      </w:r>
      <w:r>
        <w:rPr>
          <w:b/>
          <w:lang w:val="fr-FR"/>
        </w:rPr>
        <w:t>C</w:t>
      </w:r>
      <w:r w:rsidRPr="004B4FD8">
        <w:rPr>
          <w:b/>
          <w:lang w:val="fr-FR"/>
        </w:rPr>
        <w:t>omité a recommandé</w:t>
      </w:r>
      <w:r w:rsidRPr="00B32096">
        <w:rPr>
          <w:b/>
          <w:lang w:val="fr-FR"/>
        </w:rPr>
        <w:t xml:space="preserve"> </w:t>
      </w:r>
      <w:r>
        <w:rPr>
          <w:b/>
          <w:lang w:val="fr-FR"/>
        </w:rPr>
        <w:t>à la Zambie,</w:t>
      </w:r>
      <w:r w:rsidRPr="004B4FD8">
        <w:rPr>
          <w:b/>
          <w:lang w:val="fr-FR"/>
        </w:rPr>
        <w:t xml:space="preserve"> au </w:t>
      </w:r>
      <w:r>
        <w:rPr>
          <w:b/>
          <w:lang w:val="fr-FR"/>
        </w:rPr>
        <w:t>paragraphe 9</w:t>
      </w:r>
      <w:r w:rsidRPr="004B4FD8">
        <w:rPr>
          <w:b/>
          <w:lang w:val="fr-FR"/>
        </w:rPr>
        <w:t xml:space="preserve"> </w:t>
      </w:r>
      <w:r>
        <w:rPr>
          <w:b/>
          <w:lang w:val="fr-FR"/>
        </w:rPr>
        <w:t xml:space="preserve">de ses observations finales, de faciliter la révision de la Constitution et d’amender le paragraphe </w:t>
      </w:r>
      <w:r w:rsidR="00AE3BFD">
        <w:rPr>
          <w:b/>
          <w:lang w:val="fr-FR"/>
        </w:rPr>
        <w:t xml:space="preserve">4 de l’article </w:t>
      </w:r>
      <w:r w:rsidRPr="00C07083">
        <w:rPr>
          <w:b/>
          <w:lang w:val="fr-FR"/>
        </w:rPr>
        <w:t xml:space="preserve">23 </w:t>
      </w:r>
      <w:r>
        <w:rPr>
          <w:b/>
          <w:lang w:val="fr-FR"/>
        </w:rPr>
        <w:t>de cette dernière afin d’imposer l’interdiction absolue de la discrimination raciale</w:t>
      </w:r>
      <w:r w:rsidRPr="00C07083">
        <w:rPr>
          <w:lang w:val="fr-FR"/>
        </w:rPr>
        <w:t>.</w:t>
      </w:r>
    </w:p>
    <w:p w:rsidR="00786D88" w:rsidRPr="00C07083" w:rsidRDefault="00786D88" w:rsidP="00AE3BFD">
      <w:pPr>
        <w:pStyle w:val="H23G"/>
        <w:rPr>
          <w:lang w:val="fr-FR"/>
        </w:rPr>
      </w:pPr>
      <w:r w:rsidRPr="00C07083">
        <w:rPr>
          <w:lang w:val="fr-FR"/>
        </w:rPr>
        <w:tab/>
      </w:r>
      <w:r w:rsidRPr="00C07083">
        <w:rPr>
          <w:lang w:val="fr-FR"/>
        </w:rPr>
        <w:tab/>
        <w:t>R</w:t>
      </w:r>
      <w:r>
        <w:rPr>
          <w:lang w:val="fr-FR"/>
        </w:rPr>
        <w:t>é</w:t>
      </w:r>
      <w:r w:rsidRPr="00C07083">
        <w:rPr>
          <w:lang w:val="fr-FR"/>
        </w:rPr>
        <w:t>ponse</w:t>
      </w:r>
    </w:p>
    <w:p w:rsidR="00786D88" w:rsidRPr="00C07083" w:rsidRDefault="00786D88" w:rsidP="00786D88">
      <w:pPr>
        <w:pStyle w:val="SingleTxtG"/>
        <w:rPr>
          <w:lang w:val="fr-FR"/>
        </w:rPr>
      </w:pPr>
      <w:r w:rsidRPr="00C07083">
        <w:rPr>
          <w:lang w:val="fr-FR"/>
        </w:rPr>
        <w:t>5.</w:t>
      </w:r>
      <w:r w:rsidRPr="00C07083">
        <w:rPr>
          <w:lang w:val="fr-FR"/>
        </w:rPr>
        <w:tab/>
      </w:r>
      <w:r>
        <w:rPr>
          <w:lang w:val="fr-FR"/>
        </w:rPr>
        <w:t xml:space="preserve">L’État partie tient à indiquer que la Zambie a facilité la révision de la Constitution, mais qu’elle n’a pas amendé </w:t>
      </w:r>
      <w:r w:rsidRPr="00D553C3">
        <w:rPr>
          <w:lang w:val="fr-FR"/>
        </w:rPr>
        <w:t xml:space="preserve">le </w:t>
      </w:r>
      <w:r>
        <w:rPr>
          <w:lang w:val="fr-FR"/>
        </w:rPr>
        <w:t xml:space="preserve">paragraphe </w:t>
      </w:r>
      <w:r w:rsidRPr="00D553C3">
        <w:rPr>
          <w:lang w:val="fr-FR"/>
        </w:rPr>
        <w:t>4 de l’</w:t>
      </w:r>
      <w:r>
        <w:rPr>
          <w:lang w:val="fr-FR"/>
        </w:rPr>
        <w:t>article</w:t>
      </w:r>
      <w:r w:rsidR="00AE3BFD">
        <w:rPr>
          <w:lang w:val="fr-FR"/>
        </w:rPr>
        <w:t xml:space="preserve"> </w:t>
      </w:r>
      <w:r w:rsidRPr="00D553C3">
        <w:rPr>
          <w:lang w:val="fr-FR"/>
        </w:rPr>
        <w:t xml:space="preserve">23 </w:t>
      </w:r>
      <w:r>
        <w:rPr>
          <w:lang w:val="fr-FR"/>
        </w:rPr>
        <w:t xml:space="preserve">car un tel amendement ne peut être autorisé que par voie de </w:t>
      </w:r>
      <w:proofErr w:type="spellStart"/>
      <w:r>
        <w:rPr>
          <w:lang w:val="fr-FR"/>
        </w:rPr>
        <w:t>référendum</w:t>
      </w:r>
      <w:proofErr w:type="spellEnd"/>
      <w:r>
        <w:rPr>
          <w:lang w:val="fr-FR"/>
        </w:rPr>
        <w:t xml:space="preserve">. Il tient aussi à indiquer qu’un </w:t>
      </w:r>
      <w:proofErr w:type="spellStart"/>
      <w:r>
        <w:rPr>
          <w:lang w:val="fr-FR"/>
        </w:rPr>
        <w:t>référendum</w:t>
      </w:r>
      <w:proofErr w:type="spellEnd"/>
      <w:r>
        <w:rPr>
          <w:lang w:val="fr-FR"/>
        </w:rPr>
        <w:t xml:space="preserve"> a été organisé en août 2016, mais que, celui-ci n’ayant pas donné de résultats positifs, </w:t>
      </w:r>
      <w:r w:rsidRPr="00D553C3">
        <w:rPr>
          <w:lang w:val="fr-FR"/>
        </w:rPr>
        <w:t xml:space="preserve">le </w:t>
      </w:r>
      <w:r>
        <w:rPr>
          <w:lang w:val="fr-FR"/>
        </w:rPr>
        <w:t xml:space="preserve">paragraphe </w:t>
      </w:r>
      <w:r w:rsidRPr="00D553C3">
        <w:rPr>
          <w:lang w:val="fr-FR"/>
        </w:rPr>
        <w:t>4 de l’</w:t>
      </w:r>
      <w:r>
        <w:rPr>
          <w:lang w:val="fr-FR"/>
        </w:rPr>
        <w:t>article</w:t>
      </w:r>
      <w:r w:rsidR="00AE3BFD">
        <w:rPr>
          <w:lang w:val="fr-FR"/>
        </w:rPr>
        <w:t xml:space="preserve"> </w:t>
      </w:r>
      <w:r w:rsidRPr="00D553C3">
        <w:rPr>
          <w:lang w:val="fr-FR"/>
        </w:rPr>
        <w:t xml:space="preserve">23 </w:t>
      </w:r>
      <w:r>
        <w:rPr>
          <w:lang w:val="fr-FR"/>
        </w:rPr>
        <w:t>n’a pas été examiné et n’a donc pas été modifié.</w:t>
      </w:r>
      <w:r w:rsidRPr="00C07083">
        <w:rPr>
          <w:lang w:val="fr-FR"/>
        </w:rPr>
        <w:t xml:space="preserve"> </w:t>
      </w:r>
      <w:r>
        <w:rPr>
          <w:lang w:val="fr-FR"/>
        </w:rPr>
        <w:t xml:space="preserve">L’État partie souhaite également signaler qu’il a entrepris d’examiner la possibilité d’évaluer les droits de l’homme sans être obligé d’agir sur la base d’un </w:t>
      </w:r>
      <w:proofErr w:type="spellStart"/>
      <w:r>
        <w:rPr>
          <w:lang w:val="fr-FR"/>
        </w:rPr>
        <w:t>référendum</w:t>
      </w:r>
      <w:proofErr w:type="spellEnd"/>
      <w:r w:rsidRPr="00C07083">
        <w:rPr>
          <w:lang w:val="fr-FR"/>
        </w:rPr>
        <w:t>.</w:t>
      </w:r>
    </w:p>
    <w:p w:rsidR="00786D88" w:rsidRPr="00C07083" w:rsidRDefault="00786D88" w:rsidP="00AE3BFD">
      <w:pPr>
        <w:pStyle w:val="H1G"/>
        <w:rPr>
          <w:lang w:val="fr-FR"/>
        </w:rPr>
      </w:pPr>
      <w:r w:rsidRPr="00C07083">
        <w:rPr>
          <w:lang w:val="fr-FR"/>
        </w:rPr>
        <w:tab/>
        <w:t>2.</w:t>
      </w:r>
      <w:r w:rsidRPr="00C07083">
        <w:rPr>
          <w:lang w:val="fr-FR"/>
        </w:rPr>
        <w:tab/>
        <w:t>L</w:t>
      </w:r>
      <w:r>
        <w:rPr>
          <w:lang w:val="fr-FR"/>
        </w:rPr>
        <w:t>é</w:t>
      </w:r>
      <w:r w:rsidRPr="00C07083">
        <w:rPr>
          <w:lang w:val="fr-FR"/>
        </w:rPr>
        <w:t xml:space="preserve">gislation </w:t>
      </w:r>
      <w:r>
        <w:rPr>
          <w:lang w:val="fr-FR"/>
        </w:rPr>
        <w:t xml:space="preserve">en vigueur concernant le droit d’être protégé </w:t>
      </w:r>
      <w:r w:rsidR="00AE3BFD">
        <w:rPr>
          <w:lang w:val="fr-FR"/>
        </w:rPr>
        <w:br/>
      </w:r>
      <w:r>
        <w:rPr>
          <w:lang w:val="fr-FR"/>
        </w:rPr>
        <w:t xml:space="preserve">de la discrimination </w:t>
      </w:r>
    </w:p>
    <w:p w:rsidR="00786D88" w:rsidRPr="00C07083" w:rsidRDefault="00AE3BFD" w:rsidP="00AE3BFD">
      <w:pPr>
        <w:pStyle w:val="H23G"/>
        <w:rPr>
          <w:lang w:val="fr-FR"/>
        </w:rPr>
      </w:pPr>
      <w:r>
        <w:rPr>
          <w:lang w:val="fr-FR"/>
        </w:rPr>
        <w:tab/>
      </w:r>
      <w:r>
        <w:rPr>
          <w:lang w:val="fr-FR"/>
        </w:rPr>
        <w:tab/>
      </w:r>
      <w:r w:rsidR="00786D88">
        <w:rPr>
          <w:lang w:val="fr-FR"/>
        </w:rPr>
        <w:t>Observation finale</w:t>
      </w:r>
    </w:p>
    <w:p w:rsidR="00786D88" w:rsidRPr="00C07083" w:rsidRDefault="00786D88" w:rsidP="00786D88">
      <w:pPr>
        <w:pStyle w:val="SingleTxtG"/>
        <w:rPr>
          <w:rFonts w:ascii="Bookman Old Style" w:hAnsi="Bookman Old Style"/>
          <w:b/>
          <w:color w:val="000000" w:themeColor="text1"/>
          <w:lang w:val="fr-FR"/>
        </w:rPr>
      </w:pPr>
      <w:r w:rsidRPr="00C07083">
        <w:rPr>
          <w:lang w:val="fr-FR"/>
        </w:rPr>
        <w:t>6.</w:t>
      </w:r>
      <w:r w:rsidRPr="00C07083">
        <w:rPr>
          <w:lang w:val="fr-FR"/>
        </w:rPr>
        <w:tab/>
      </w:r>
      <w:r w:rsidRPr="00D553C3">
        <w:rPr>
          <w:b/>
          <w:lang w:val="fr-FR"/>
        </w:rPr>
        <w:t xml:space="preserve">Le </w:t>
      </w:r>
      <w:r>
        <w:rPr>
          <w:b/>
          <w:lang w:val="fr-FR"/>
        </w:rPr>
        <w:t>C</w:t>
      </w:r>
      <w:r w:rsidRPr="00D553C3">
        <w:rPr>
          <w:b/>
          <w:lang w:val="fr-FR"/>
        </w:rPr>
        <w:t>omité a recommandé à la Zambie de garantir à tous le droit d’être protégés de la discrimination dans la jouissance des droits civils, politiques, économiques, sociaux et culturels</w:t>
      </w:r>
      <w:r>
        <w:rPr>
          <w:b/>
          <w:lang w:val="fr-FR"/>
        </w:rPr>
        <w:t>,</w:t>
      </w:r>
      <w:r w:rsidRPr="00D553C3">
        <w:rPr>
          <w:b/>
          <w:lang w:val="fr-FR"/>
        </w:rPr>
        <w:t xml:space="preserve"> </w:t>
      </w:r>
      <w:r>
        <w:rPr>
          <w:b/>
          <w:lang w:val="fr-FR"/>
        </w:rPr>
        <w:t xml:space="preserve">et a demandé à recevoir à ce propos des </w:t>
      </w:r>
      <w:r>
        <w:rPr>
          <w:b/>
          <w:lang w:val="fr-FR"/>
        </w:rPr>
        <w:lastRenderedPageBreak/>
        <w:t>renseignements plus détaillés sur la législation actuelle et la manière dont elle est mise en pratique</w:t>
      </w:r>
      <w:r w:rsidRPr="00C07083">
        <w:rPr>
          <w:rFonts w:ascii="Bookman Old Style" w:hAnsi="Bookman Old Style"/>
          <w:color w:val="000000" w:themeColor="text1"/>
          <w:lang w:val="fr-FR"/>
        </w:rPr>
        <w:t>.</w:t>
      </w:r>
    </w:p>
    <w:p w:rsidR="00786D88" w:rsidRPr="00C07083" w:rsidRDefault="00AE3BFD" w:rsidP="00786D88">
      <w:pPr>
        <w:pStyle w:val="H23G"/>
        <w:rPr>
          <w:lang w:val="fr-FR"/>
        </w:rPr>
      </w:pPr>
      <w:r>
        <w:rPr>
          <w:lang w:val="fr-FR"/>
        </w:rPr>
        <w:tab/>
      </w:r>
      <w:r>
        <w:rPr>
          <w:lang w:val="fr-FR"/>
        </w:rPr>
        <w:tab/>
      </w:r>
      <w:r w:rsidR="00786D88" w:rsidRPr="00C07083">
        <w:rPr>
          <w:lang w:val="fr-FR"/>
        </w:rPr>
        <w:t>R</w:t>
      </w:r>
      <w:r w:rsidR="00786D88">
        <w:rPr>
          <w:lang w:val="fr-FR"/>
        </w:rPr>
        <w:t>é</w:t>
      </w:r>
      <w:r w:rsidR="00786D88" w:rsidRPr="00C07083">
        <w:rPr>
          <w:lang w:val="fr-FR"/>
        </w:rPr>
        <w:t>ponse</w:t>
      </w:r>
    </w:p>
    <w:p w:rsidR="00786D88" w:rsidRPr="00C07083" w:rsidRDefault="00786D88" w:rsidP="00786D88">
      <w:pPr>
        <w:pStyle w:val="SingleTxtG"/>
        <w:rPr>
          <w:spacing w:val="-1"/>
          <w:lang w:val="fr-FR"/>
        </w:rPr>
      </w:pPr>
      <w:r w:rsidRPr="00C07083">
        <w:rPr>
          <w:spacing w:val="-1"/>
          <w:lang w:val="fr-FR"/>
        </w:rPr>
        <w:t>7.</w:t>
      </w:r>
      <w:r w:rsidRPr="00C07083">
        <w:rPr>
          <w:spacing w:val="-1"/>
          <w:lang w:val="fr-FR"/>
        </w:rPr>
        <w:tab/>
      </w:r>
      <w:r>
        <w:rPr>
          <w:spacing w:val="-1"/>
          <w:lang w:val="fr-FR"/>
        </w:rPr>
        <w:t>L’État partie tient à indiquer que la Zambie compte suffisamment de dispositions juridiques satisfaisant à la recommandation du Comité</w:t>
      </w:r>
      <w:r w:rsidRPr="00C07083">
        <w:rPr>
          <w:spacing w:val="-1"/>
          <w:lang w:val="fr-FR"/>
        </w:rPr>
        <w:t xml:space="preserve">. </w:t>
      </w:r>
      <w:r>
        <w:rPr>
          <w:spacing w:val="-1"/>
          <w:lang w:val="fr-FR"/>
        </w:rPr>
        <w:t>Le paragraphe 3 de l’article</w:t>
      </w:r>
      <w:r w:rsidR="00AE3BFD">
        <w:rPr>
          <w:spacing w:val="-1"/>
          <w:lang w:val="fr-FR"/>
        </w:rPr>
        <w:t xml:space="preserve"> </w:t>
      </w:r>
      <w:r w:rsidRPr="00C07083">
        <w:rPr>
          <w:spacing w:val="-1"/>
          <w:lang w:val="fr-FR"/>
        </w:rPr>
        <w:t xml:space="preserve">4 </w:t>
      </w:r>
      <w:r>
        <w:rPr>
          <w:spacing w:val="-1"/>
          <w:lang w:val="fr-FR"/>
        </w:rPr>
        <w:t>de la Constitution zambienne dispose que :</w:t>
      </w:r>
    </w:p>
    <w:p w:rsidR="00786D88" w:rsidRPr="00C07083" w:rsidRDefault="00786D88" w:rsidP="00786D88">
      <w:pPr>
        <w:pStyle w:val="SingleTxtG"/>
        <w:ind w:firstLine="567"/>
        <w:rPr>
          <w:lang w:val="fr-FR"/>
        </w:rPr>
      </w:pPr>
      <w:r>
        <w:rPr>
          <w:lang w:val="fr-FR"/>
        </w:rPr>
        <w:t xml:space="preserve">« La République est un État démocratique unitaire, indivisible, </w:t>
      </w:r>
      <w:proofErr w:type="spellStart"/>
      <w:r>
        <w:rPr>
          <w:lang w:val="fr-FR"/>
        </w:rPr>
        <w:t>multiethnique</w:t>
      </w:r>
      <w:proofErr w:type="spellEnd"/>
      <w:r>
        <w:rPr>
          <w:lang w:val="fr-FR"/>
        </w:rPr>
        <w:t xml:space="preserve">, multiracial, </w:t>
      </w:r>
      <w:proofErr w:type="spellStart"/>
      <w:r>
        <w:rPr>
          <w:lang w:val="fr-FR"/>
        </w:rPr>
        <w:t>multireligieux</w:t>
      </w:r>
      <w:proofErr w:type="spellEnd"/>
      <w:r>
        <w:rPr>
          <w:lang w:val="fr-FR"/>
        </w:rPr>
        <w:t>, multiculturel et multipartite</w:t>
      </w:r>
      <w:r w:rsidR="00717A51">
        <w:rPr>
          <w:lang w:val="fr-FR"/>
        </w:rPr>
        <w:t>.</w:t>
      </w:r>
      <w:r>
        <w:rPr>
          <w:lang w:val="fr-FR"/>
        </w:rPr>
        <w:t> »</w:t>
      </w:r>
      <w:r w:rsidRPr="00C07083">
        <w:rPr>
          <w:lang w:val="fr-FR"/>
        </w:rPr>
        <w:t>.</w:t>
      </w:r>
    </w:p>
    <w:p w:rsidR="00786D88" w:rsidRPr="00C07083" w:rsidRDefault="00786D88" w:rsidP="00786D88">
      <w:pPr>
        <w:pStyle w:val="SingleTxtG"/>
        <w:rPr>
          <w:lang w:val="fr-FR"/>
        </w:rPr>
      </w:pPr>
      <w:r w:rsidRPr="00C07083">
        <w:rPr>
          <w:lang w:val="fr-FR"/>
        </w:rPr>
        <w:t>8.</w:t>
      </w:r>
      <w:r w:rsidRPr="00C07083">
        <w:rPr>
          <w:lang w:val="fr-FR"/>
        </w:rPr>
        <w:tab/>
        <w:t xml:space="preserve"> </w:t>
      </w:r>
      <w:r>
        <w:rPr>
          <w:lang w:val="fr-FR"/>
        </w:rPr>
        <w:t xml:space="preserve">L’État partie indique qu’il défend le droit de tous </w:t>
      </w:r>
      <w:r w:rsidRPr="00D82879">
        <w:rPr>
          <w:lang w:val="fr-FR"/>
        </w:rPr>
        <w:t>d’être protégés de la discrimination dans la jouissance des droits civils, politiques, économiques, sociaux et culturels</w:t>
      </w:r>
      <w:r w:rsidRPr="00C07083">
        <w:rPr>
          <w:lang w:val="fr-FR"/>
        </w:rPr>
        <w:t xml:space="preserve">. </w:t>
      </w:r>
      <w:r>
        <w:rPr>
          <w:lang w:val="fr-FR"/>
        </w:rPr>
        <w:t>L’article</w:t>
      </w:r>
      <w:r w:rsidR="00AE3BFD">
        <w:rPr>
          <w:lang w:val="fr-FR"/>
        </w:rPr>
        <w:t xml:space="preserve"> </w:t>
      </w:r>
      <w:r w:rsidRPr="00C07083">
        <w:rPr>
          <w:lang w:val="fr-FR"/>
        </w:rPr>
        <w:t xml:space="preserve">11 </w:t>
      </w:r>
      <w:r w:rsidRPr="00D82879">
        <w:rPr>
          <w:lang w:val="fr-FR"/>
        </w:rPr>
        <w:t xml:space="preserve">de la Constitution zambienne </w:t>
      </w:r>
      <w:r>
        <w:rPr>
          <w:lang w:val="fr-FR"/>
        </w:rPr>
        <w:t>reconnaît et dispose que, en Zambie, toute personne jouit des libertés et des droits fondamentaux, sans distinction de race, de lieu d’origine, d’opinion politique, de couleur, de croyance, de sexe ou de situation matrimoniale. L’article interdit également l’adoption de toute loi comportant une disposition discriminatoire en soi ou dans ses effets et déclare que nul ne peut être traité de manière discriminatoire par une personne agissant en vertu d’une loi écrite ou dans l’exercice des fonctions d’un emploi public ou d’une autorité publique</w:t>
      </w:r>
      <w:r w:rsidRPr="00C07083">
        <w:rPr>
          <w:lang w:val="fr-FR"/>
        </w:rPr>
        <w:t>.</w:t>
      </w:r>
    </w:p>
    <w:p w:rsidR="00786D88" w:rsidRPr="00C07083" w:rsidRDefault="00786D88" w:rsidP="00786D88">
      <w:pPr>
        <w:pStyle w:val="SingleTxtG"/>
        <w:rPr>
          <w:lang w:val="fr-FR"/>
        </w:rPr>
      </w:pPr>
      <w:r w:rsidRPr="00C07083">
        <w:rPr>
          <w:lang w:val="fr-FR"/>
        </w:rPr>
        <w:t>9.</w:t>
      </w:r>
      <w:r w:rsidRPr="00C07083">
        <w:rPr>
          <w:lang w:val="fr-FR"/>
        </w:rPr>
        <w:tab/>
      </w:r>
      <w:r>
        <w:rPr>
          <w:lang w:val="fr-FR"/>
        </w:rPr>
        <w:t>En vertu du chapitre 269 de la loi zambienne sur les relations industrielles et professionnelles</w:t>
      </w:r>
      <w:r w:rsidRPr="00C07083">
        <w:rPr>
          <w:lang w:val="fr-FR"/>
        </w:rPr>
        <w:t xml:space="preserve">, </w:t>
      </w:r>
      <w:r>
        <w:rPr>
          <w:lang w:val="fr-FR"/>
        </w:rPr>
        <w:t>il est de surcroît interdit à un employeur de mettre fin au service d’un employé en raison de sa race. L’article</w:t>
      </w:r>
      <w:r w:rsidR="00AE3BFD">
        <w:rPr>
          <w:lang w:val="fr-FR"/>
        </w:rPr>
        <w:t xml:space="preserve"> </w:t>
      </w:r>
      <w:r w:rsidRPr="00C07083">
        <w:rPr>
          <w:lang w:val="fr-FR"/>
        </w:rPr>
        <w:t xml:space="preserve">108 </w:t>
      </w:r>
      <w:r>
        <w:rPr>
          <w:lang w:val="fr-FR"/>
        </w:rPr>
        <w:t>de la loi dispose que :</w:t>
      </w:r>
    </w:p>
    <w:p w:rsidR="00786D88" w:rsidRPr="00C07083" w:rsidRDefault="00786D88" w:rsidP="00786D88">
      <w:pPr>
        <w:pStyle w:val="SingleTxtG"/>
        <w:ind w:firstLine="567"/>
        <w:rPr>
          <w:lang w:val="fr-FR"/>
        </w:rPr>
      </w:pPr>
      <w:r>
        <w:rPr>
          <w:lang w:val="fr-FR"/>
        </w:rPr>
        <w:t>« Il est interdit à un employeur de mettre fin au service d’un employé, de lui imposer une pénalité ou de le défavoriser de manière quelconque pour des motifs de race, de sexe, de situation matrimoniale, de religion, d’opinion ou d’affiliation politique, d’appartenance triba</w:t>
      </w:r>
      <w:r w:rsidR="00AE3BFD">
        <w:rPr>
          <w:lang w:val="fr-FR"/>
        </w:rPr>
        <w:t>le ou de statut social. </w:t>
      </w:r>
      <w:r>
        <w:rPr>
          <w:lang w:val="fr-FR"/>
        </w:rPr>
        <w:t>»</w:t>
      </w:r>
    </w:p>
    <w:p w:rsidR="00786D88" w:rsidRPr="00C07083" w:rsidRDefault="00786D88" w:rsidP="00786D88">
      <w:pPr>
        <w:pStyle w:val="SingleTxtG"/>
        <w:rPr>
          <w:lang w:val="fr-FR"/>
        </w:rPr>
      </w:pPr>
      <w:r w:rsidRPr="00C07083">
        <w:rPr>
          <w:lang w:val="fr-FR"/>
        </w:rPr>
        <w:t>10.</w:t>
      </w:r>
      <w:r w:rsidRPr="00C07083">
        <w:rPr>
          <w:lang w:val="fr-FR"/>
        </w:rPr>
        <w:tab/>
      </w:r>
      <w:r>
        <w:rPr>
          <w:lang w:val="fr-FR"/>
        </w:rPr>
        <w:t>L’article</w:t>
      </w:r>
      <w:r w:rsidR="00AE3BFD">
        <w:rPr>
          <w:lang w:val="fr-FR"/>
        </w:rPr>
        <w:t xml:space="preserve"> </w:t>
      </w:r>
      <w:r w:rsidRPr="00C07083">
        <w:rPr>
          <w:lang w:val="fr-FR"/>
        </w:rPr>
        <w:t xml:space="preserve">70 </w:t>
      </w:r>
      <w:r>
        <w:rPr>
          <w:lang w:val="fr-FR"/>
        </w:rPr>
        <w:t>du Code pénal (qui constitue le chapitre </w:t>
      </w:r>
      <w:r w:rsidRPr="00C07083">
        <w:rPr>
          <w:lang w:val="fr-FR"/>
        </w:rPr>
        <w:t xml:space="preserve">87 </w:t>
      </w:r>
      <w:r>
        <w:rPr>
          <w:lang w:val="fr-FR"/>
        </w:rPr>
        <w:t xml:space="preserve">des lois de la </w:t>
      </w:r>
      <w:r w:rsidRPr="00C07083">
        <w:rPr>
          <w:lang w:val="fr-FR"/>
        </w:rPr>
        <w:t>Zambi</w:t>
      </w:r>
      <w:r>
        <w:rPr>
          <w:lang w:val="fr-FR"/>
        </w:rPr>
        <w:t>e)</w:t>
      </w:r>
      <w:r w:rsidRPr="00C07083">
        <w:rPr>
          <w:lang w:val="fr-FR"/>
        </w:rPr>
        <w:t xml:space="preserve"> </w:t>
      </w:r>
      <w:r>
        <w:rPr>
          <w:lang w:val="fr-FR"/>
        </w:rPr>
        <w:t>érige en infraction la discrimination raciale, et toute personne commettant cette infraction est passible, si elle est reconnue coupable, d’une peine d’une durée maximale de deux ans</w:t>
      </w:r>
      <w:r w:rsidRPr="00C07083">
        <w:rPr>
          <w:lang w:val="fr-FR"/>
        </w:rPr>
        <w:t xml:space="preserve">. </w:t>
      </w:r>
      <w:r>
        <w:rPr>
          <w:lang w:val="fr-FR"/>
        </w:rPr>
        <w:t xml:space="preserve">Ledit article dispose ce qui </w:t>
      </w:r>
      <w:r w:rsidRPr="00AE3BFD">
        <w:rPr>
          <w:lang w:val="fr-FR"/>
        </w:rPr>
        <w:t>suit </w:t>
      </w:r>
      <w:r w:rsidRPr="00C07083">
        <w:rPr>
          <w:lang w:val="fr-FR"/>
        </w:rPr>
        <w:t>:</w:t>
      </w:r>
    </w:p>
    <w:p w:rsidR="00786D88" w:rsidRPr="00AE3BFD" w:rsidRDefault="00786D88" w:rsidP="00AE3BFD">
      <w:pPr>
        <w:pStyle w:val="SingleTxtG"/>
        <w:ind w:firstLine="567"/>
      </w:pPr>
      <w:r w:rsidRPr="00AE3BFD">
        <w:rPr>
          <w:rStyle w:val="PlainTable31"/>
          <w:i w:val="0"/>
          <w:iCs w:val="0"/>
          <w:color w:val="auto"/>
        </w:rPr>
        <w:t>« Toute personne tenant oralement ou par écrit, des propos exprimant ou manifestant des sentiments de haine, de ridicule ou de mépris à l’égard de toute personne ou de tout groupe uniquement ou principalement pour des motifs de race, d’appartenance tribale, de lieu d’origine ou de couleur se rend coupable d’une infraction et, si elle est reconnue coupable, est passible d’une peine d’une durée maximale de deux ans.</w:t>
      </w:r>
      <w:r w:rsidR="00AE3BFD" w:rsidRPr="00AE3BFD">
        <w:rPr>
          <w:rStyle w:val="PlainTable31"/>
          <w:i w:val="0"/>
          <w:iCs w:val="0"/>
          <w:color w:val="auto"/>
        </w:rPr>
        <w:t> </w:t>
      </w:r>
      <w:r w:rsidRPr="00AE3BFD">
        <w:rPr>
          <w:rStyle w:val="PlainTable31"/>
          <w:i w:val="0"/>
          <w:iCs w:val="0"/>
          <w:color w:val="auto"/>
        </w:rPr>
        <w:t>»</w:t>
      </w:r>
      <w:r w:rsidR="00AE3BFD">
        <w:rPr>
          <w:rStyle w:val="PlainTable31"/>
          <w:i w:val="0"/>
          <w:iCs w:val="0"/>
          <w:color w:val="auto"/>
        </w:rPr>
        <w:t>.</w:t>
      </w:r>
    </w:p>
    <w:p w:rsidR="00786D88" w:rsidRPr="00C07083" w:rsidRDefault="00786D88" w:rsidP="00AE3BFD">
      <w:pPr>
        <w:pStyle w:val="H1G"/>
        <w:rPr>
          <w:lang w:val="fr-FR"/>
        </w:rPr>
      </w:pPr>
      <w:r w:rsidRPr="00C07083">
        <w:rPr>
          <w:lang w:val="fr-FR"/>
        </w:rPr>
        <w:tab/>
        <w:t>3.</w:t>
      </w:r>
      <w:r w:rsidRPr="00C07083">
        <w:rPr>
          <w:lang w:val="fr-FR"/>
        </w:rPr>
        <w:tab/>
      </w:r>
      <w:r>
        <w:rPr>
          <w:lang w:val="fr-FR"/>
        </w:rPr>
        <w:t xml:space="preserve">Candidature à la présidence </w:t>
      </w:r>
    </w:p>
    <w:p w:rsidR="00786D88" w:rsidRPr="00C07083" w:rsidRDefault="00786D88" w:rsidP="00AE3BFD">
      <w:pPr>
        <w:pStyle w:val="H23G"/>
        <w:rPr>
          <w:lang w:val="fr-FR"/>
        </w:rPr>
      </w:pPr>
      <w:r w:rsidRPr="00C07083">
        <w:rPr>
          <w:lang w:val="fr-FR"/>
        </w:rPr>
        <w:tab/>
      </w:r>
      <w:r w:rsidRPr="00C07083">
        <w:rPr>
          <w:lang w:val="fr-FR"/>
        </w:rPr>
        <w:tab/>
      </w:r>
      <w:r>
        <w:rPr>
          <w:lang w:val="fr-FR"/>
        </w:rPr>
        <w:t xml:space="preserve">Observation finale </w:t>
      </w:r>
    </w:p>
    <w:p w:rsidR="00786D88" w:rsidRPr="00C07083" w:rsidRDefault="00786D88" w:rsidP="00786D88">
      <w:pPr>
        <w:pStyle w:val="SingleTxtG"/>
        <w:rPr>
          <w:lang w:val="fr-FR"/>
        </w:rPr>
      </w:pPr>
      <w:r w:rsidRPr="00C07083">
        <w:rPr>
          <w:lang w:val="fr-FR"/>
        </w:rPr>
        <w:t>11.</w:t>
      </w:r>
      <w:r w:rsidRPr="00C07083">
        <w:rPr>
          <w:lang w:val="fr-FR"/>
        </w:rPr>
        <w:tab/>
      </w:r>
      <w:r w:rsidRPr="00E9038B">
        <w:rPr>
          <w:b/>
          <w:lang w:val="fr-FR"/>
        </w:rPr>
        <w:t xml:space="preserve">Le </w:t>
      </w:r>
      <w:r>
        <w:rPr>
          <w:b/>
          <w:lang w:val="fr-FR"/>
        </w:rPr>
        <w:t>C</w:t>
      </w:r>
      <w:r w:rsidRPr="00E9038B">
        <w:rPr>
          <w:b/>
          <w:lang w:val="fr-FR"/>
        </w:rPr>
        <w:t>omité a</w:t>
      </w:r>
      <w:r>
        <w:rPr>
          <w:b/>
          <w:lang w:val="fr-FR"/>
        </w:rPr>
        <w:t xml:space="preserve"> pris note</w:t>
      </w:r>
      <w:r w:rsidRPr="00E9038B">
        <w:rPr>
          <w:b/>
          <w:lang w:val="fr-FR"/>
        </w:rPr>
        <w:t xml:space="preserve">, au </w:t>
      </w:r>
      <w:r>
        <w:rPr>
          <w:b/>
          <w:lang w:val="fr-FR"/>
        </w:rPr>
        <w:t xml:space="preserve">paragraphe </w:t>
      </w:r>
      <w:r w:rsidRPr="00E9038B">
        <w:rPr>
          <w:b/>
          <w:lang w:val="fr-FR"/>
        </w:rPr>
        <w:t>12</w:t>
      </w:r>
      <w:r>
        <w:rPr>
          <w:lang w:val="fr-FR"/>
        </w:rPr>
        <w:t xml:space="preserve"> </w:t>
      </w:r>
      <w:r w:rsidRPr="00E9038B">
        <w:rPr>
          <w:b/>
          <w:lang w:val="fr-FR"/>
        </w:rPr>
        <w:t>de ses observations finales</w:t>
      </w:r>
      <w:r>
        <w:rPr>
          <w:b/>
          <w:lang w:val="fr-FR"/>
        </w:rPr>
        <w:t>, de la modificatio</w:t>
      </w:r>
      <w:r w:rsidR="00AE3BFD">
        <w:rPr>
          <w:b/>
          <w:lang w:val="fr-FR"/>
        </w:rPr>
        <w:t xml:space="preserve">n apportée à la Constitution en </w:t>
      </w:r>
      <w:r>
        <w:rPr>
          <w:b/>
          <w:lang w:val="fr-FR"/>
        </w:rPr>
        <w:t>1996, qui exige que le candidat à la présidence soit un Zambien né de Zambiens, et a recommandé à la Zambie de réviser cette disposition pour la rendre pleinement conforme au paragraphe c) de l’article</w:t>
      </w:r>
      <w:r w:rsidR="00AE3BFD">
        <w:rPr>
          <w:b/>
          <w:lang w:val="fr-FR"/>
        </w:rPr>
        <w:t xml:space="preserve"> </w:t>
      </w:r>
      <w:r w:rsidRPr="00C07083">
        <w:rPr>
          <w:b/>
          <w:lang w:val="fr-FR"/>
        </w:rPr>
        <w:t>5</w:t>
      </w:r>
      <w:r>
        <w:rPr>
          <w:b/>
          <w:lang w:val="fr-FR"/>
        </w:rPr>
        <w:t xml:space="preserve"> de la </w:t>
      </w:r>
      <w:r w:rsidRPr="00C07083">
        <w:rPr>
          <w:b/>
          <w:lang w:val="fr-FR"/>
        </w:rPr>
        <w:t>Convention</w:t>
      </w:r>
      <w:r w:rsidRPr="00C07083">
        <w:rPr>
          <w:lang w:val="fr-FR"/>
        </w:rPr>
        <w:t>.</w:t>
      </w:r>
    </w:p>
    <w:p w:rsidR="00786D88" w:rsidRPr="00C07083" w:rsidRDefault="00786D88" w:rsidP="00AE3BFD">
      <w:pPr>
        <w:pStyle w:val="H23G"/>
        <w:rPr>
          <w:lang w:val="fr-FR"/>
        </w:rPr>
      </w:pPr>
      <w:r w:rsidRPr="00C07083">
        <w:rPr>
          <w:lang w:val="fr-FR"/>
        </w:rPr>
        <w:tab/>
      </w:r>
      <w:r w:rsidRPr="00C07083">
        <w:rPr>
          <w:lang w:val="fr-FR"/>
        </w:rPr>
        <w:tab/>
        <w:t>R</w:t>
      </w:r>
      <w:r>
        <w:rPr>
          <w:lang w:val="fr-FR"/>
        </w:rPr>
        <w:t>é</w:t>
      </w:r>
      <w:r w:rsidRPr="00C07083">
        <w:rPr>
          <w:lang w:val="fr-FR"/>
        </w:rPr>
        <w:t>ponse</w:t>
      </w:r>
    </w:p>
    <w:p w:rsidR="00786D88" w:rsidRPr="00C07083" w:rsidRDefault="00786D88" w:rsidP="00786D88">
      <w:pPr>
        <w:pStyle w:val="SingleTxtG"/>
        <w:rPr>
          <w:rFonts w:ascii="Bookman Old Style" w:hAnsi="Bookman Old Style"/>
          <w:color w:val="000000" w:themeColor="text1"/>
          <w:lang w:val="fr-FR"/>
        </w:rPr>
      </w:pPr>
      <w:r w:rsidRPr="00C07083">
        <w:rPr>
          <w:lang w:val="fr-FR"/>
        </w:rPr>
        <w:t>12.</w:t>
      </w:r>
      <w:r w:rsidRPr="00C07083">
        <w:rPr>
          <w:lang w:val="fr-FR"/>
        </w:rPr>
        <w:tab/>
      </w:r>
      <w:r>
        <w:rPr>
          <w:lang w:val="fr-FR"/>
        </w:rPr>
        <w:t>L’État partie tient à indiquer qu’il a revu la disposition de l’article</w:t>
      </w:r>
      <w:r w:rsidR="00AE3BFD">
        <w:rPr>
          <w:lang w:val="fr-FR"/>
        </w:rPr>
        <w:t xml:space="preserve"> </w:t>
      </w:r>
      <w:r w:rsidRPr="00C07083">
        <w:rPr>
          <w:lang w:val="fr-FR"/>
        </w:rPr>
        <w:t xml:space="preserve">100 </w:t>
      </w:r>
      <w:r>
        <w:rPr>
          <w:lang w:val="fr-FR"/>
        </w:rPr>
        <w:t>de la Constitution zambienne concernant les qualifications que doit avoir toute personne souhaitant se présenter en tant que candidate à la présidence afin de la rendre pleinement conforme au paragraphe c) de l’article</w:t>
      </w:r>
      <w:r w:rsidR="00AE3BFD">
        <w:rPr>
          <w:lang w:val="fr-FR"/>
        </w:rPr>
        <w:t xml:space="preserve"> </w:t>
      </w:r>
      <w:r>
        <w:rPr>
          <w:lang w:val="fr-FR"/>
        </w:rPr>
        <w:t>5</w:t>
      </w:r>
      <w:r w:rsidRPr="00C07083">
        <w:rPr>
          <w:lang w:val="fr-FR"/>
        </w:rPr>
        <w:t xml:space="preserve"> </w:t>
      </w:r>
      <w:r>
        <w:rPr>
          <w:lang w:val="fr-FR"/>
        </w:rPr>
        <w:t xml:space="preserve">de la </w:t>
      </w:r>
      <w:r w:rsidRPr="00C07083">
        <w:rPr>
          <w:lang w:val="fr-FR"/>
        </w:rPr>
        <w:t xml:space="preserve">Convention. </w:t>
      </w:r>
      <w:r>
        <w:rPr>
          <w:lang w:val="fr-FR"/>
        </w:rPr>
        <w:t>Ledit article dispose que </w:t>
      </w:r>
      <w:r w:rsidRPr="00C07083">
        <w:rPr>
          <w:lang w:val="fr-FR"/>
        </w:rPr>
        <w:t>:</w:t>
      </w:r>
    </w:p>
    <w:p w:rsidR="00786D88" w:rsidRPr="00C07083" w:rsidRDefault="00786D88" w:rsidP="00786D88">
      <w:pPr>
        <w:pStyle w:val="SingleTxtG"/>
        <w:ind w:firstLine="567"/>
        <w:rPr>
          <w:rFonts w:ascii="Bookman Old Style" w:hAnsi="Bookman Old Style"/>
          <w:color w:val="000000" w:themeColor="text1"/>
          <w:lang w:val="fr-FR"/>
        </w:rPr>
      </w:pPr>
      <w:r>
        <w:rPr>
          <w:lang w:val="fr-FR"/>
        </w:rPr>
        <w:t>« Une personne possède les qualifications requises pour se porter candidate à une élection présidentielle si </w:t>
      </w:r>
      <w:r w:rsidRPr="00C07083">
        <w:rPr>
          <w:lang w:val="fr-FR"/>
        </w:rPr>
        <w:t>:</w:t>
      </w:r>
    </w:p>
    <w:p w:rsidR="00786D88" w:rsidRPr="00C07083" w:rsidRDefault="00786D88" w:rsidP="00786D88">
      <w:pPr>
        <w:pStyle w:val="SingleTxtG"/>
        <w:ind w:firstLine="567"/>
        <w:rPr>
          <w:lang w:val="fr-FR"/>
        </w:rPr>
      </w:pPr>
      <w:r w:rsidRPr="00C07083">
        <w:rPr>
          <w:lang w:val="fr-FR"/>
        </w:rPr>
        <w:t>a)</w:t>
      </w:r>
      <w:r w:rsidRPr="00C07083">
        <w:rPr>
          <w:lang w:val="fr-FR"/>
        </w:rPr>
        <w:tab/>
      </w:r>
      <w:r>
        <w:rPr>
          <w:lang w:val="fr-FR"/>
        </w:rPr>
        <w:t>Elle est de nationalité zambienne par naissance ou par filiation </w:t>
      </w:r>
      <w:r w:rsidRPr="00C07083">
        <w:rPr>
          <w:lang w:val="fr-FR"/>
        </w:rPr>
        <w:t>;</w:t>
      </w:r>
    </w:p>
    <w:p w:rsidR="00786D88" w:rsidRPr="00C07083" w:rsidRDefault="00786D88" w:rsidP="00786D88">
      <w:pPr>
        <w:pStyle w:val="SingleTxtG"/>
        <w:ind w:firstLine="567"/>
        <w:rPr>
          <w:lang w:val="fr-FR"/>
        </w:rPr>
      </w:pPr>
      <w:r w:rsidRPr="00C07083">
        <w:rPr>
          <w:lang w:val="fr-FR"/>
        </w:rPr>
        <w:lastRenderedPageBreak/>
        <w:t>b)</w:t>
      </w:r>
      <w:r w:rsidRPr="00C07083">
        <w:rPr>
          <w:lang w:val="fr-FR"/>
        </w:rPr>
        <w:tab/>
      </w:r>
      <w:r>
        <w:rPr>
          <w:lang w:val="fr-FR"/>
        </w:rPr>
        <w:t>Elle réside habituellement en Zambie </w:t>
      </w:r>
      <w:r w:rsidRPr="00C07083">
        <w:rPr>
          <w:lang w:val="fr-FR"/>
        </w:rPr>
        <w:t>;</w:t>
      </w:r>
    </w:p>
    <w:p w:rsidR="00786D88" w:rsidRPr="00C07083" w:rsidRDefault="00786D88" w:rsidP="00786D88">
      <w:pPr>
        <w:pStyle w:val="SingleTxtG"/>
        <w:ind w:firstLine="567"/>
        <w:rPr>
          <w:lang w:val="fr-FR"/>
        </w:rPr>
      </w:pPr>
      <w:r w:rsidRPr="00C07083">
        <w:rPr>
          <w:lang w:val="fr-FR"/>
        </w:rPr>
        <w:t>c)</w:t>
      </w:r>
      <w:r w:rsidRPr="00C07083">
        <w:rPr>
          <w:lang w:val="fr-FR"/>
        </w:rPr>
        <w:tab/>
      </w:r>
      <w:r>
        <w:rPr>
          <w:lang w:val="fr-FR"/>
        </w:rPr>
        <w:t>Elle est âgée d’au moins 35 ans </w:t>
      </w:r>
      <w:r w:rsidRPr="00C07083">
        <w:rPr>
          <w:lang w:val="fr-FR"/>
        </w:rPr>
        <w:t xml:space="preserve">; </w:t>
      </w:r>
    </w:p>
    <w:p w:rsidR="00786D88" w:rsidRPr="00C07083" w:rsidRDefault="00786D88" w:rsidP="00786D88">
      <w:pPr>
        <w:pStyle w:val="SingleTxtG"/>
        <w:ind w:firstLine="567"/>
        <w:rPr>
          <w:lang w:val="fr-FR"/>
        </w:rPr>
      </w:pPr>
      <w:r w:rsidRPr="00C07083">
        <w:rPr>
          <w:lang w:val="fr-FR"/>
        </w:rPr>
        <w:t>d)</w:t>
      </w:r>
      <w:r w:rsidRPr="00C07083">
        <w:rPr>
          <w:lang w:val="fr-FR"/>
        </w:rPr>
        <w:tab/>
      </w:r>
      <w:r>
        <w:rPr>
          <w:lang w:val="fr-FR"/>
        </w:rPr>
        <w:t>Elle est inscrite sur les listes électorales</w:t>
      </w:r>
      <w:r w:rsidR="00717A51">
        <w:rPr>
          <w:lang w:val="fr-FR"/>
        </w:rPr>
        <w:t>.</w:t>
      </w:r>
      <w:r>
        <w:rPr>
          <w:lang w:val="fr-FR"/>
        </w:rPr>
        <w:t> ».</w:t>
      </w:r>
    </w:p>
    <w:p w:rsidR="00786D88" w:rsidRPr="005958B1" w:rsidRDefault="00786D88" w:rsidP="00AE3BFD">
      <w:pPr>
        <w:pStyle w:val="H1G"/>
        <w:rPr>
          <w:lang w:val="en-US"/>
        </w:rPr>
      </w:pPr>
      <w:r w:rsidRPr="00C07083">
        <w:rPr>
          <w:lang w:val="fr-FR"/>
        </w:rPr>
        <w:tab/>
      </w:r>
      <w:r w:rsidRPr="005958B1">
        <w:rPr>
          <w:lang w:val="en-US"/>
        </w:rPr>
        <w:t>4.</w:t>
      </w:r>
      <w:r w:rsidRPr="005958B1">
        <w:rPr>
          <w:lang w:val="en-US"/>
        </w:rPr>
        <w:tab/>
        <w:t xml:space="preserve">Affaire </w:t>
      </w:r>
      <w:r w:rsidRPr="00717A51">
        <w:rPr>
          <w:i/>
          <w:lang w:val="en-US"/>
        </w:rPr>
        <w:t>Roy Clarke</w:t>
      </w:r>
      <w:r w:rsidRPr="005958B1">
        <w:rPr>
          <w:lang w:val="en-US"/>
        </w:rPr>
        <w:t xml:space="preserve"> c. </w:t>
      </w:r>
      <w:r w:rsidRPr="00717A51">
        <w:rPr>
          <w:i/>
          <w:lang w:val="en-US"/>
        </w:rPr>
        <w:t>Attorney-General</w:t>
      </w:r>
    </w:p>
    <w:p w:rsidR="00786D88" w:rsidRPr="00C07083" w:rsidRDefault="00786D88" w:rsidP="00AE3BFD">
      <w:pPr>
        <w:pStyle w:val="H23G"/>
        <w:rPr>
          <w:szCs w:val="24"/>
          <w:lang w:val="fr-FR"/>
        </w:rPr>
      </w:pPr>
      <w:r w:rsidRPr="005958B1">
        <w:rPr>
          <w:lang w:val="en-US"/>
        </w:rPr>
        <w:tab/>
      </w:r>
      <w:r w:rsidRPr="005958B1">
        <w:rPr>
          <w:lang w:val="en-US"/>
        </w:rPr>
        <w:tab/>
      </w:r>
      <w:r>
        <w:rPr>
          <w:lang w:val="fr-FR"/>
        </w:rPr>
        <w:t xml:space="preserve">Observation finale </w:t>
      </w:r>
    </w:p>
    <w:p w:rsidR="00786D88" w:rsidRPr="00C07083" w:rsidRDefault="00786D88" w:rsidP="00786D88">
      <w:pPr>
        <w:pStyle w:val="SingleTxtG"/>
        <w:rPr>
          <w:b/>
          <w:lang w:val="fr-FR"/>
        </w:rPr>
      </w:pPr>
      <w:r w:rsidRPr="00C07083">
        <w:rPr>
          <w:lang w:val="fr-FR"/>
        </w:rPr>
        <w:t>13.</w:t>
      </w:r>
      <w:r w:rsidRPr="00C07083">
        <w:rPr>
          <w:lang w:val="fr-FR"/>
        </w:rPr>
        <w:tab/>
      </w:r>
      <w:r w:rsidRPr="00606D6D">
        <w:rPr>
          <w:b/>
          <w:lang w:val="fr-FR"/>
        </w:rPr>
        <w:t xml:space="preserve">Le Comité </w:t>
      </w:r>
      <w:r>
        <w:rPr>
          <w:b/>
          <w:lang w:val="fr-FR"/>
        </w:rPr>
        <w:t xml:space="preserve">a pris note de la décision de l’État partie de faire appel du jugement en l’affaire </w:t>
      </w:r>
      <w:r w:rsidRPr="00717A51">
        <w:rPr>
          <w:b/>
          <w:i/>
          <w:lang w:val="fr-FR"/>
        </w:rPr>
        <w:t>Roy Clarke</w:t>
      </w:r>
      <w:r w:rsidRPr="00C07083">
        <w:rPr>
          <w:b/>
          <w:lang w:val="fr-FR"/>
        </w:rPr>
        <w:t xml:space="preserve"> </w:t>
      </w:r>
      <w:r>
        <w:rPr>
          <w:b/>
          <w:lang w:val="fr-FR"/>
        </w:rPr>
        <w:t>c</w:t>
      </w:r>
      <w:r w:rsidRPr="00C07083">
        <w:rPr>
          <w:b/>
          <w:lang w:val="fr-FR"/>
        </w:rPr>
        <w:t xml:space="preserve">. </w:t>
      </w:r>
      <w:r w:rsidRPr="00717A51">
        <w:rPr>
          <w:b/>
          <w:i/>
          <w:lang w:val="fr-FR"/>
        </w:rPr>
        <w:t>Attorney-General</w:t>
      </w:r>
      <w:r w:rsidRPr="00C07083">
        <w:rPr>
          <w:b/>
          <w:lang w:val="fr-FR"/>
        </w:rPr>
        <w:t xml:space="preserve"> </w:t>
      </w:r>
      <w:r>
        <w:rPr>
          <w:b/>
          <w:lang w:val="fr-FR"/>
        </w:rPr>
        <w:t>et a demandé à l’État partie de lui fournir des renseignements détaillés sur la suite donnée à l’appel en question</w:t>
      </w:r>
      <w:r w:rsidRPr="00C07083">
        <w:rPr>
          <w:lang w:val="fr-FR"/>
        </w:rPr>
        <w:t>.</w:t>
      </w:r>
    </w:p>
    <w:p w:rsidR="00786D88" w:rsidRPr="00C07083" w:rsidRDefault="00786D88" w:rsidP="00AE3BFD">
      <w:pPr>
        <w:pStyle w:val="H23G"/>
        <w:rPr>
          <w:lang w:val="fr-FR"/>
        </w:rPr>
      </w:pPr>
      <w:r w:rsidRPr="00C07083">
        <w:rPr>
          <w:lang w:val="fr-FR"/>
        </w:rPr>
        <w:tab/>
      </w:r>
      <w:r w:rsidRPr="00C07083">
        <w:rPr>
          <w:lang w:val="fr-FR"/>
        </w:rPr>
        <w:tab/>
        <w:t>R</w:t>
      </w:r>
      <w:r>
        <w:rPr>
          <w:lang w:val="fr-FR"/>
        </w:rPr>
        <w:t>é</w:t>
      </w:r>
      <w:r w:rsidRPr="00C07083">
        <w:rPr>
          <w:lang w:val="fr-FR"/>
        </w:rPr>
        <w:t>ponse</w:t>
      </w:r>
    </w:p>
    <w:p w:rsidR="00786D88" w:rsidRPr="00C07083" w:rsidRDefault="00786D88" w:rsidP="00786D88">
      <w:pPr>
        <w:pStyle w:val="SingleTxtG"/>
        <w:rPr>
          <w:rFonts w:ascii="Bookman Old Style" w:hAnsi="Bookman Old Style"/>
          <w:color w:val="000000" w:themeColor="text1"/>
          <w:szCs w:val="24"/>
          <w:lang w:val="fr-FR"/>
        </w:rPr>
      </w:pPr>
      <w:r w:rsidRPr="00C07083">
        <w:rPr>
          <w:lang w:val="fr-FR"/>
        </w:rPr>
        <w:t>14.</w:t>
      </w:r>
      <w:r w:rsidRPr="00C07083">
        <w:rPr>
          <w:lang w:val="fr-FR"/>
        </w:rPr>
        <w:tab/>
      </w:r>
      <w:r>
        <w:rPr>
          <w:lang w:val="fr-FR"/>
        </w:rPr>
        <w:t xml:space="preserve">Le </w:t>
      </w:r>
      <w:r w:rsidRPr="00C07083">
        <w:rPr>
          <w:lang w:val="fr-FR"/>
        </w:rPr>
        <w:t>Comit</w:t>
      </w:r>
      <w:r>
        <w:rPr>
          <w:lang w:val="fr-FR"/>
        </w:rPr>
        <w:t>é</w:t>
      </w:r>
      <w:r w:rsidRPr="00C07083">
        <w:rPr>
          <w:lang w:val="fr-FR"/>
        </w:rPr>
        <w:t xml:space="preserve"> </w:t>
      </w:r>
      <w:r>
        <w:rPr>
          <w:lang w:val="fr-FR"/>
        </w:rPr>
        <w:t xml:space="preserve">pourrait souhaiter prendre note du fait que la Cour suprême a confirmé l’annulation de l’ordonnance d’expulsion dans l’affaire </w:t>
      </w:r>
      <w:r w:rsidRPr="00717A51">
        <w:rPr>
          <w:i/>
          <w:lang w:val="fr-FR"/>
        </w:rPr>
        <w:t>Attorney General</w:t>
      </w:r>
      <w:r w:rsidRPr="00C07083">
        <w:rPr>
          <w:lang w:val="fr-FR"/>
        </w:rPr>
        <w:t xml:space="preserve"> </w:t>
      </w:r>
      <w:r>
        <w:rPr>
          <w:lang w:val="fr-FR"/>
        </w:rPr>
        <w:t>c</w:t>
      </w:r>
      <w:r w:rsidR="00717A51">
        <w:rPr>
          <w:lang w:val="fr-FR"/>
        </w:rPr>
        <w:t>.</w:t>
      </w:r>
      <w:r w:rsidRPr="00C07083">
        <w:rPr>
          <w:lang w:val="fr-FR"/>
        </w:rPr>
        <w:t xml:space="preserve"> </w:t>
      </w:r>
      <w:r w:rsidRPr="00717A51">
        <w:rPr>
          <w:i/>
          <w:lang w:val="fr-FR"/>
        </w:rPr>
        <w:t>Roy Clarke</w:t>
      </w:r>
      <w:r w:rsidRPr="00C07083">
        <w:rPr>
          <w:lang w:val="fr-FR"/>
        </w:rPr>
        <w:t xml:space="preserve"> (2008). </w:t>
      </w:r>
      <w:r>
        <w:rPr>
          <w:lang w:val="fr-FR"/>
        </w:rPr>
        <w:t>La Cour suprême a considéré ce qui suit</w:t>
      </w:r>
      <w:r w:rsidR="00AE3BFD">
        <w:rPr>
          <w:lang w:val="fr-FR"/>
        </w:rPr>
        <w:t> </w:t>
      </w:r>
      <w:r>
        <w:rPr>
          <w:lang w:val="fr-FR"/>
        </w:rPr>
        <w:t>:</w:t>
      </w:r>
    </w:p>
    <w:p w:rsidR="00786D88" w:rsidRPr="00C07083" w:rsidRDefault="00786D88" w:rsidP="006832EA">
      <w:pPr>
        <w:pStyle w:val="SingleTxtG"/>
        <w:ind w:firstLine="567"/>
        <w:rPr>
          <w:lang w:val="fr-FR"/>
        </w:rPr>
      </w:pPr>
      <w:r>
        <w:rPr>
          <w:lang w:val="fr-FR"/>
        </w:rPr>
        <w:t>« Ayant déterminé, sur la base des faits relatifs à cette affaire et de la jurisprudence citée, que l’ordonnance d’expulsion était disproportionnée, nous avons rejeté l’appel</w:t>
      </w:r>
      <w:r w:rsidR="00717A51">
        <w:rPr>
          <w:lang w:val="fr-FR"/>
        </w:rPr>
        <w:t>.</w:t>
      </w:r>
      <w:r>
        <w:rPr>
          <w:lang w:val="fr-FR"/>
        </w:rPr>
        <w:t> »</w:t>
      </w:r>
      <w:r w:rsidRPr="00C07083">
        <w:rPr>
          <w:lang w:val="fr-FR"/>
        </w:rPr>
        <w:t>.</w:t>
      </w:r>
    </w:p>
    <w:p w:rsidR="00786D88" w:rsidRPr="00C07083" w:rsidRDefault="00786D88" w:rsidP="00AE3BFD">
      <w:pPr>
        <w:pStyle w:val="H1G"/>
        <w:rPr>
          <w:lang w:val="fr-FR"/>
        </w:rPr>
      </w:pPr>
      <w:r w:rsidRPr="00C07083">
        <w:rPr>
          <w:lang w:val="fr-FR"/>
        </w:rPr>
        <w:tab/>
        <w:t>5.</w:t>
      </w:r>
      <w:r w:rsidRPr="00C07083">
        <w:rPr>
          <w:lang w:val="fr-FR"/>
        </w:rPr>
        <w:tab/>
        <w:t>R</w:t>
      </w:r>
      <w:r>
        <w:rPr>
          <w:lang w:val="fr-FR"/>
        </w:rPr>
        <w:t>é</w:t>
      </w:r>
      <w:r w:rsidRPr="00C07083">
        <w:rPr>
          <w:lang w:val="fr-FR"/>
        </w:rPr>
        <w:t>fug</w:t>
      </w:r>
      <w:r>
        <w:rPr>
          <w:lang w:val="fr-FR"/>
        </w:rPr>
        <w:t>ié</w:t>
      </w:r>
      <w:r w:rsidRPr="00C07083">
        <w:rPr>
          <w:lang w:val="fr-FR"/>
        </w:rPr>
        <w:t>s</w:t>
      </w:r>
    </w:p>
    <w:p w:rsidR="00786D88" w:rsidRPr="00C07083" w:rsidRDefault="00786D88" w:rsidP="00AE3BFD">
      <w:pPr>
        <w:pStyle w:val="H23G"/>
        <w:rPr>
          <w:lang w:val="fr-FR"/>
        </w:rPr>
      </w:pPr>
      <w:r w:rsidRPr="00C07083">
        <w:rPr>
          <w:lang w:val="fr-FR"/>
        </w:rPr>
        <w:tab/>
      </w:r>
      <w:r w:rsidRPr="00C07083">
        <w:rPr>
          <w:lang w:val="fr-FR"/>
        </w:rPr>
        <w:tab/>
      </w:r>
      <w:r>
        <w:rPr>
          <w:lang w:val="fr-FR"/>
        </w:rPr>
        <w:t>Observation finale</w:t>
      </w:r>
    </w:p>
    <w:p w:rsidR="00786D88" w:rsidRPr="00C07083" w:rsidRDefault="00786D88" w:rsidP="00786D88">
      <w:pPr>
        <w:pStyle w:val="SingleTxtG"/>
        <w:rPr>
          <w:b/>
          <w:lang w:val="fr-FR"/>
        </w:rPr>
      </w:pPr>
      <w:r w:rsidRPr="00C07083">
        <w:rPr>
          <w:lang w:val="fr-FR"/>
        </w:rPr>
        <w:t>15.</w:t>
      </w:r>
      <w:r w:rsidRPr="00C07083">
        <w:rPr>
          <w:lang w:val="fr-FR"/>
        </w:rPr>
        <w:tab/>
      </w:r>
      <w:r w:rsidRPr="004111A6">
        <w:rPr>
          <w:b/>
          <w:lang w:val="fr-FR"/>
        </w:rPr>
        <w:t xml:space="preserve">Au </w:t>
      </w:r>
      <w:r>
        <w:rPr>
          <w:b/>
          <w:lang w:val="fr-FR"/>
        </w:rPr>
        <w:t xml:space="preserve">paragraphe </w:t>
      </w:r>
      <w:r w:rsidRPr="004111A6">
        <w:rPr>
          <w:b/>
          <w:lang w:val="fr-FR"/>
        </w:rPr>
        <w:t xml:space="preserve">14 de ses observations finales, le </w:t>
      </w:r>
      <w:r>
        <w:rPr>
          <w:b/>
          <w:lang w:val="fr-FR"/>
        </w:rPr>
        <w:t>C</w:t>
      </w:r>
      <w:r w:rsidRPr="004111A6">
        <w:rPr>
          <w:b/>
          <w:lang w:val="fr-FR"/>
        </w:rPr>
        <w:t xml:space="preserve">omité a </w:t>
      </w:r>
      <w:r>
        <w:rPr>
          <w:b/>
          <w:lang w:val="fr-FR"/>
        </w:rPr>
        <w:t xml:space="preserve">invité </w:t>
      </w:r>
      <w:r w:rsidRPr="004111A6">
        <w:rPr>
          <w:b/>
          <w:lang w:val="fr-FR"/>
        </w:rPr>
        <w:t>la Zambie</w:t>
      </w:r>
      <w:r w:rsidRPr="00C07083">
        <w:rPr>
          <w:b/>
          <w:lang w:val="fr-FR"/>
        </w:rPr>
        <w:t xml:space="preserve"> </w:t>
      </w:r>
      <w:r>
        <w:rPr>
          <w:b/>
          <w:lang w:val="fr-FR"/>
        </w:rPr>
        <w:t>à revoir sa politique en matière de réfugiés afin d’améliorer les perspectives d’insertion locale des réfugiés de longue date et, à cette fin, a recommandé à la Zambie de réviser la loi sur le contrôle des réfugiés et d’envisager de retirer la réserve qu’il a faite à la Convention de 1951 relative au statut des réfugiés</w:t>
      </w:r>
      <w:r w:rsidRPr="00C07083">
        <w:rPr>
          <w:lang w:val="fr-FR"/>
        </w:rPr>
        <w:t>.</w:t>
      </w:r>
    </w:p>
    <w:p w:rsidR="00786D88" w:rsidRPr="00C07083" w:rsidRDefault="00AE3BFD" w:rsidP="00AE3BFD">
      <w:pPr>
        <w:pStyle w:val="H23G"/>
        <w:rPr>
          <w:lang w:val="fr-FR"/>
        </w:rPr>
      </w:pPr>
      <w:r>
        <w:rPr>
          <w:lang w:val="fr-FR"/>
        </w:rPr>
        <w:tab/>
      </w:r>
      <w:r>
        <w:rPr>
          <w:lang w:val="fr-FR"/>
        </w:rPr>
        <w:tab/>
      </w:r>
      <w:r w:rsidR="00786D88" w:rsidRPr="00C07083">
        <w:rPr>
          <w:lang w:val="fr-FR"/>
        </w:rPr>
        <w:t>R</w:t>
      </w:r>
      <w:r w:rsidR="00786D88">
        <w:rPr>
          <w:lang w:val="fr-FR"/>
        </w:rPr>
        <w:t>é</w:t>
      </w:r>
      <w:r w:rsidR="00786D88" w:rsidRPr="00C07083">
        <w:rPr>
          <w:lang w:val="fr-FR"/>
        </w:rPr>
        <w:t>ponse</w:t>
      </w:r>
    </w:p>
    <w:p w:rsidR="00786D88" w:rsidRPr="00C07083" w:rsidRDefault="00786D88" w:rsidP="00AE3BFD">
      <w:pPr>
        <w:pStyle w:val="H23G"/>
        <w:rPr>
          <w:lang w:val="fr-FR"/>
        </w:rPr>
      </w:pPr>
      <w:r w:rsidRPr="00C07083">
        <w:rPr>
          <w:lang w:val="fr-FR"/>
        </w:rPr>
        <w:tab/>
      </w:r>
      <w:r w:rsidRPr="00C07083">
        <w:rPr>
          <w:lang w:val="fr-FR"/>
        </w:rPr>
        <w:tab/>
      </w:r>
      <w:r>
        <w:rPr>
          <w:lang w:val="fr-FR"/>
        </w:rPr>
        <w:t xml:space="preserve">Révision de la politique en matière de réfugiés et de la législation pertinente </w:t>
      </w:r>
    </w:p>
    <w:p w:rsidR="00786D88" w:rsidRPr="00C07083" w:rsidRDefault="00786D88" w:rsidP="00786D88">
      <w:pPr>
        <w:pStyle w:val="SingleTxtG"/>
        <w:rPr>
          <w:lang w:val="fr-FR"/>
        </w:rPr>
      </w:pPr>
      <w:r w:rsidRPr="00C07083">
        <w:rPr>
          <w:lang w:val="fr-FR"/>
        </w:rPr>
        <w:t>16.</w:t>
      </w:r>
      <w:r w:rsidRPr="00C07083">
        <w:rPr>
          <w:lang w:val="fr-FR"/>
        </w:rPr>
        <w:tab/>
      </w:r>
      <w:r>
        <w:rPr>
          <w:lang w:val="fr-FR"/>
        </w:rPr>
        <w:t>L’État partie tient à indiquer que la loi sur le contrôle des réfugiés de 1970 a été abr</w:t>
      </w:r>
      <w:r w:rsidR="00AE3BFD">
        <w:rPr>
          <w:lang w:val="fr-FR"/>
        </w:rPr>
        <w:t xml:space="preserve">ogée et remplacée par la loi </w:t>
      </w:r>
      <w:r w:rsidR="00AE3BFD" w:rsidRPr="00AE3BFD">
        <w:rPr>
          <w:rFonts w:eastAsia="MS Mincho"/>
          <w:szCs w:val="22"/>
          <w:lang w:val="fr-FR"/>
        </w:rPr>
        <w:t>n</w:t>
      </w:r>
      <w:r w:rsidR="00AE3BFD" w:rsidRPr="00AE3BFD">
        <w:rPr>
          <w:rFonts w:eastAsia="MS Mincho"/>
          <w:szCs w:val="22"/>
          <w:vertAlign w:val="superscript"/>
          <w:lang w:val="fr-FR"/>
        </w:rPr>
        <w:t>o</w:t>
      </w:r>
      <w:r w:rsidR="00AE3BFD">
        <w:rPr>
          <w:lang w:val="fr-FR"/>
        </w:rPr>
        <w:t> </w:t>
      </w:r>
      <w:r w:rsidRPr="00C07083">
        <w:rPr>
          <w:lang w:val="fr-FR"/>
        </w:rPr>
        <w:t xml:space="preserve">1 </w:t>
      </w:r>
      <w:r>
        <w:rPr>
          <w:lang w:val="fr-FR"/>
        </w:rPr>
        <w:t>de</w:t>
      </w:r>
      <w:r w:rsidR="00AE3BFD">
        <w:rPr>
          <w:lang w:val="fr-FR"/>
        </w:rPr>
        <w:t xml:space="preserve"> </w:t>
      </w:r>
      <w:r w:rsidRPr="00C07083">
        <w:rPr>
          <w:lang w:val="fr-FR"/>
        </w:rPr>
        <w:t xml:space="preserve">2017 </w:t>
      </w:r>
      <w:r>
        <w:rPr>
          <w:lang w:val="fr-FR"/>
        </w:rPr>
        <w:t>relative aux réfugiés, qui incorpore dans le droit interne la Convention des Nations Unies relative au statut des réfugiés</w:t>
      </w:r>
      <w:r w:rsidR="00AE3BFD">
        <w:rPr>
          <w:lang w:val="fr-FR"/>
        </w:rPr>
        <w:t xml:space="preserve"> de 1951 et son Protocole de </w:t>
      </w:r>
      <w:r>
        <w:rPr>
          <w:lang w:val="fr-FR"/>
        </w:rPr>
        <w:t>1967</w:t>
      </w:r>
      <w:r w:rsidRPr="00C07083">
        <w:rPr>
          <w:lang w:val="fr-FR"/>
        </w:rPr>
        <w:t xml:space="preserve">. </w:t>
      </w:r>
      <w:r>
        <w:rPr>
          <w:lang w:val="fr-FR"/>
        </w:rPr>
        <w:t>Le paragraphe 1 de l’article</w:t>
      </w:r>
      <w:r w:rsidR="00AE3BFD">
        <w:rPr>
          <w:lang w:val="fr-FR"/>
        </w:rPr>
        <w:t xml:space="preserve"> </w:t>
      </w:r>
      <w:r>
        <w:rPr>
          <w:lang w:val="fr-FR"/>
        </w:rPr>
        <w:t>20 de la nouvelle loi relative aux réfugiés invoque la clause de</w:t>
      </w:r>
      <w:r w:rsidR="00AE3BFD">
        <w:rPr>
          <w:lang w:val="fr-FR"/>
        </w:rPr>
        <w:t xml:space="preserve"> cessation en vertu de l’alinéa </w:t>
      </w:r>
      <w:r>
        <w:rPr>
          <w:lang w:val="fr-FR"/>
        </w:rPr>
        <w:t>5 du paragraphe c) de l’article</w:t>
      </w:r>
      <w:r w:rsidR="00AE3BFD">
        <w:rPr>
          <w:lang w:val="fr-FR"/>
        </w:rPr>
        <w:t xml:space="preserve"> </w:t>
      </w:r>
      <w:r w:rsidRPr="00C07083">
        <w:rPr>
          <w:lang w:val="fr-FR"/>
        </w:rPr>
        <w:t>1</w:t>
      </w:r>
      <w:r>
        <w:rPr>
          <w:lang w:val="fr-FR"/>
        </w:rPr>
        <w:t xml:space="preserve"> de la Convention relative au statut des réfugiés (</w:t>
      </w:r>
      <w:r w:rsidRPr="00C07083">
        <w:rPr>
          <w:lang w:val="fr-FR"/>
        </w:rPr>
        <w:t>1951</w:t>
      </w:r>
      <w:r>
        <w:rPr>
          <w:lang w:val="fr-FR"/>
        </w:rPr>
        <w:t>)</w:t>
      </w:r>
      <w:r w:rsidRPr="00C07083">
        <w:rPr>
          <w:lang w:val="fr-FR"/>
        </w:rPr>
        <w:t>.</w:t>
      </w:r>
    </w:p>
    <w:p w:rsidR="00786D88" w:rsidRPr="00C07083" w:rsidRDefault="00786D88" w:rsidP="00786D88">
      <w:pPr>
        <w:pStyle w:val="SingleTxtG"/>
        <w:rPr>
          <w:lang w:val="fr-FR"/>
        </w:rPr>
      </w:pPr>
      <w:r w:rsidRPr="00C07083">
        <w:rPr>
          <w:lang w:val="fr-FR"/>
        </w:rPr>
        <w:t>17.</w:t>
      </w:r>
      <w:r w:rsidRPr="00C07083">
        <w:rPr>
          <w:lang w:val="fr-FR"/>
        </w:rPr>
        <w:tab/>
      </w:r>
      <w:r>
        <w:rPr>
          <w:lang w:val="fr-FR"/>
        </w:rPr>
        <w:t>L’État partie indique, en ce qui concerne l’insertion locale, que de 2003</w:t>
      </w:r>
      <w:r w:rsidR="00AE3BFD">
        <w:rPr>
          <w:lang w:val="fr-FR"/>
        </w:rPr>
        <w:t xml:space="preserve"> </w:t>
      </w:r>
      <w:r>
        <w:rPr>
          <w:lang w:val="fr-FR"/>
        </w:rPr>
        <w:t>à ce jour, environ 190</w:t>
      </w:r>
      <w:r w:rsidR="00AE3BFD">
        <w:rPr>
          <w:lang w:val="fr-FR"/>
        </w:rPr>
        <w:t> </w:t>
      </w:r>
      <w:r>
        <w:rPr>
          <w:lang w:val="fr-FR"/>
        </w:rPr>
        <w:t>000</w:t>
      </w:r>
      <w:r w:rsidR="00AE3BFD">
        <w:rPr>
          <w:lang w:val="fr-FR"/>
        </w:rPr>
        <w:t xml:space="preserve"> </w:t>
      </w:r>
      <w:r>
        <w:rPr>
          <w:lang w:val="fr-FR"/>
        </w:rPr>
        <w:t>réfugiés angolais sont retournés en Angola de leur propre gré, de sorte qu’il ne reste p</w:t>
      </w:r>
      <w:r w:rsidR="00AE3BFD">
        <w:rPr>
          <w:lang w:val="fr-FR"/>
        </w:rPr>
        <w:t xml:space="preserve">lus qu’approximativement 23 000 </w:t>
      </w:r>
      <w:r>
        <w:rPr>
          <w:lang w:val="fr-FR"/>
        </w:rPr>
        <w:t>réfugiés angolais sur le territoire zambien</w:t>
      </w:r>
      <w:r w:rsidRPr="00C07083">
        <w:rPr>
          <w:lang w:val="fr-FR"/>
        </w:rPr>
        <w:t xml:space="preserve">. </w:t>
      </w:r>
      <w:r>
        <w:rPr>
          <w:lang w:val="fr-FR"/>
        </w:rPr>
        <w:t>Le nombre de réfugiés en attente de rapatriement est de 8 000. Un permis de séjour a été accordé à 905 des 15 000 réfugiés restants parce que </w:t>
      </w:r>
      <w:r w:rsidRPr="00C07083">
        <w:rPr>
          <w:lang w:val="fr-FR"/>
        </w:rPr>
        <w:t>:</w:t>
      </w:r>
    </w:p>
    <w:p w:rsidR="00786D88" w:rsidRPr="00C07083" w:rsidRDefault="00786D88" w:rsidP="00AE3BFD">
      <w:pPr>
        <w:pStyle w:val="Bullet1G"/>
        <w:rPr>
          <w:lang w:val="fr-FR"/>
        </w:rPr>
      </w:pPr>
      <w:r>
        <w:rPr>
          <w:lang w:val="fr-FR"/>
        </w:rPr>
        <w:t xml:space="preserve">Ils sont </w:t>
      </w:r>
      <w:r w:rsidRPr="00AE3BFD">
        <w:t>nés</w:t>
      </w:r>
      <w:r>
        <w:rPr>
          <w:lang w:val="fr-FR"/>
        </w:rPr>
        <w:t xml:space="preserve"> en Zambie de deux parents angolais </w:t>
      </w:r>
      <w:r w:rsidRPr="00C07083">
        <w:rPr>
          <w:lang w:val="fr-FR"/>
        </w:rPr>
        <w:t>;</w:t>
      </w:r>
    </w:p>
    <w:p w:rsidR="00786D88" w:rsidRPr="00C07083" w:rsidRDefault="00786D88" w:rsidP="00786D88">
      <w:pPr>
        <w:pStyle w:val="Bullet1G"/>
        <w:numPr>
          <w:ilvl w:val="0"/>
          <w:numId w:val="0"/>
        </w:numPr>
        <w:tabs>
          <w:tab w:val="left" w:pos="1701"/>
        </w:tabs>
        <w:ind w:left="1701" w:hanging="170"/>
        <w:rPr>
          <w:lang w:val="fr-FR"/>
        </w:rPr>
      </w:pPr>
      <w:r w:rsidRPr="00C07083">
        <w:rPr>
          <w:lang w:val="fr-FR"/>
        </w:rPr>
        <w:t>•</w:t>
      </w:r>
      <w:r w:rsidRPr="00C07083">
        <w:rPr>
          <w:lang w:val="fr-FR"/>
        </w:rPr>
        <w:tab/>
      </w:r>
      <w:r>
        <w:rPr>
          <w:lang w:val="fr-FR"/>
        </w:rPr>
        <w:t>Ils sont nés en Zambie et l’un de leurs parents est zambien de sorte qu’ils sont couverts par le paragraphe 1 de l’article</w:t>
      </w:r>
      <w:r w:rsidR="00AE3BFD">
        <w:rPr>
          <w:lang w:val="fr-FR"/>
        </w:rPr>
        <w:t xml:space="preserve"> 35 lu conjointement à la loi </w:t>
      </w:r>
      <w:r w:rsidR="00AE3BFD" w:rsidRPr="00AE3BFD">
        <w:rPr>
          <w:rFonts w:eastAsia="MS Mincho"/>
          <w:szCs w:val="22"/>
          <w:lang w:val="fr-FR"/>
        </w:rPr>
        <w:t>n</w:t>
      </w:r>
      <w:r w:rsidR="00AE3BFD" w:rsidRPr="00AE3BFD">
        <w:rPr>
          <w:rFonts w:eastAsia="MS Mincho"/>
          <w:szCs w:val="22"/>
          <w:vertAlign w:val="superscript"/>
          <w:lang w:val="fr-FR"/>
        </w:rPr>
        <w:t>o</w:t>
      </w:r>
      <w:r w:rsidR="00AE3BFD">
        <w:rPr>
          <w:lang w:val="fr-FR"/>
        </w:rPr>
        <w:t> </w:t>
      </w:r>
      <w:r>
        <w:rPr>
          <w:lang w:val="fr-FR"/>
        </w:rPr>
        <w:t>33 sur la citoyenneté zambienne de</w:t>
      </w:r>
      <w:r w:rsidR="00AE3BFD">
        <w:rPr>
          <w:lang w:val="fr-FR"/>
        </w:rPr>
        <w:t xml:space="preserve"> </w:t>
      </w:r>
      <w:r>
        <w:rPr>
          <w:lang w:val="fr-FR"/>
        </w:rPr>
        <w:t>2016</w:t>
      </w:r>
      <w:r w:rsidR="00AE3BFD">
        <w:rPr>
          <w:lang w:val="fr-FR"/>
        </w:rPr>
        <w:t> </w:t>
      </w:r>
      <w:r>
        <w:rPr>
          <w:lang w:val="fr-FR"/>
        </w:rPr>
        <w:t xml:space="preserve">; </w:t>
      </w:r>
    </w:p>
    <w:p w:rsidR="00786D88" w:rsidRPr="00C07083" w:rsidRDefault="00786D88" w:rsidP="00786D88">
      <w:pPr>
        <w:pStyle w:val="Bullet1G"/>
        <w:numPr>
          <w:ilvl w:val="0"/>
          <w:numId w:val="0"/>
        </w:numPr>
        <w:tabs>
          <w:tab w:val="left" w:pos="1701"/>
        </w:tabs>
        <w:ind w:left="1701" w:hanging="170"/>
        <w:rPr>
          <w:lang w:val="fr-FR"/>
        </w:rPr>
      </w:pPr>
      <w:r w:rsidRPr="00C07083">
        <w:rPr>
          <w:lang w:val="fr-FR"/>
        </w:rPr>
        <w:t>•</w:t>
      </w:r>
      <w:r w:rsidRPr="00C07083">
        <w:rPr>
          <w:lang w:val="fr-FR"/>
        </w:rPr>
        <w:tab/>
      </w:r>
      <w:r>
        <w:rPr>
          <w:lang w:val="fr-FR"/>
        </w:rPr>
        <w:t xml:space="preserve">Ils ont vécu en Zambie durant des périodes </w:t>
      </w:r>
      <w:r w:rsidR="00717A51">
        <w:rPr>
          <w:lang w:val="fr-FR"/>
        </w:rPr>
        <w:t>all</w:t>
      </w:r>
      <w:r>
        <w:rPr>
          <w:lang w:val="fr-FR"/>
        </w:rPr>
        <w:t>ant de 30 à 45</w:t>
      </w:r>
      <w:r w:rsidR="00AE3BFD">
        <w:rPr>
          <w:lang w:val="fr-FR"/>
        </w:rPr>
        <w:t> </w:t>
      </w:r>
      <w:r>
        <w:rPr>
          <w:lang w:val="fr-FR"/>
        </w:rPr>
        <w:t>ans</w:t>
      </w:r>
      <w:r w:rsidRPr="00C07083">
        <w:rPr>
          <w:lang w:val="fr-FR"/>
        </w:rPr>
        <w:t>.</w:t>
      </w:r>
    </w:p>
    <w:p w:rsidR="00786D88" w:rsidRPr="00C07083" w:rsidRDefault="00786D88" w:rsidP="00786D88">
      <w:pPr>
        <w:pStyle w:val="SingleTxtG"/>
        <w:rPr>
          <w:lang w:val="fr-FR"/>
        </w:rPr>
      </w:pPr>
      <w:r w:rsidRPr="00C07083">
        <w:rPr>
          <w:lang w:val="fr-FR"/>
        </w:rPr>
        <w:t>18.</w:t>
      </w:r>
      <w:r w:rsidRPr="00C07083">
        <w:rPr>
          <w:lang w:val="fr-FR"/>
        </w:rPr>
        <w:tab/>
      </w:r>
      <w:r>
        <w:rPr>
          <w:lang w:val="fr-FR"/>
        </w:rPr>
        <w:t xml:space="preserve">L’insertion locale des réfugiés mentionnés au premier et au troisième point ci-dessus est considérée conformément à la loi sur </w:t>
      </w:r>
      <w:r w:rsidR="00AE3BFD">
        <w:rPr>
          <w:lang w:val="fr-FR"/>
        </w:rPr>
        <w:t xml:space="preserve">l’immigration et l’expulsion de </w:t>
      </w:r>
      <w:r>
        <w:rPr>
          <w:lang w:val="fr-FR"/>
        </w:rPr>
        <w:t>2010, tandis que les réfugiés considérés au deuxième point sont couverts par l’article</w:t>
      </w:r>
      <w:r w:rsidR="00AE3BFD">
        <w:rPr>
          <w:lang w:val="fr-FR"/>
        </w:rPr>
        <w:t xml:space="preserve"> </w:t>
      </w:r>
      <w:r w:rsidRPr="00C07083">
        <w:rPr>
          <w:lang w:val="fr-FR"/>
        </w:rPr>
        <w:t xml:space="preserve">39 </w:t>
      </w:r>
      <w:r>
        <w:rPr>
          <w:lang w:val="fr-FR"/>
        </w:rPr>
        <w:t xml:space="preserve">de la </w:t>
      </w:r>
      <w:r w:rsidRPr="00C07083">
        <w:rPr>
          <w:lang w:val="fr-FR"/>
        </w:rPr>
        <w:t xml:space="preserve">Constitution. </w:t>
      </w:r>
      <w:r w:rsidR="00AE3BFD">
        <w:rPr>
          <w:lang w:val="fr-FR"/>
        </w:rPr>
        <w:t xml:space="preserve">Les 14 095 </w:t>
      </w:r>
      <w:r>
        <w:rPr>
          <w:lang w:val="fr-FR"/>
        </w:rPr>
        <w:t>réfugiés restants ont demandé à obtenir un permis de séjour et attendent l’iss</w:t>
      </w:r>
      <w:r w:rsidR="00AE3BFD">
        <w:rPr>
          <w:lang w:val="fr-FR"/>
        </w:rPr>
        <w:t>ue de l’examen de leur demande.</w:t>
      </w:r>
    </w:p>
    <w:p w:rsidR="00786D88" w:rsidRPr="00C07083" w:rsidRDefault="00786D88" w:rsidP="00786D88">
      <w:pPr>
        <w:pStyle w:val="SingleTxtG"/>
        <w:rPr>
          <w:spacing w:val="-2"/>
          <w:lang w:val="fr-FR"/>
        </w:rPr>
      </w:pPr>
      <w:r w:rsidRPr="00C07083">
        <w:rPr>
          <w:spacing w:val="-2"/>
          <w:lang w:val="fr-FR"/>
        </w:rPr>
        <w:lastRenderedPageBreak/>
        <w:t>19.</w:t>
      </w:r>
      <w:r w:rsidRPr="00C07083">
        <w:rPr>
          <w:spacing w:val="-2"/>
          <w:lang w:val="fr-FR"/>
        </w:rPr>
        <w:tab/>
      </w:r>
      <w:r>
        <w:rPr>
          <w:spacing w:val="-2"/>
          <w:lang w:val="fr-FR"/>
        </w:rPr>
        <w:t>Les réfugiés rwandais, quant à eux, peuvent être exemptés de la clause de cessation s’ils le souhaitent</w:t>
      </w:r>
      <w:r w:rsidRPr="00C07083">
        <w:rPr>
          <w:spacing w:val="-2"/>
          <w:lang w:val="fr-FR"/>
        </w:rPr>
        <w:t xml:space="preserve">. </w:t>
      </w:r>
      <w:r>
        <w:rPr>
          <w:spacing w:val="-2"/>
          <w:lang w:val="fr-FR"/>
        </w:rPr>
        <w:t>Les réfugiés qui sont titulaires d’un passeport national sont invités à suivre les procédures existantes pour obtenir le statut</w:t>
      </w:r>
      <w:r w:rsidRPr="00C07083">
        <w:rPr>
          <w:spacing w:val="-2"/>
          <w:lang w:val="fr-FR"/>
        </w:rPr>
        <w:t xml:space="preserve"> </w:t>
      </w:r>
      <w:r>
        <w:rPr>
          <w:spacing w:val="-2"/>
          <w:lang w:val="fr-FR"/>
        </w:rPr>
        <w:t>alternatif prévu par la loi sur l’immigration et l’expulsion</w:t>
      </w:r>
      <w:r w:rsidRPr="00C07083">
        <w:rPr>
          <w:spacing w:val="-2"/>
          <w:lang w:val="fr-FR"/>
        </w:rPr>
        <w:t>.</w:t>
      </w:r>
      <w:r>
        <w:rPr>
          <w:spacing w:val="-2"/>
          <w:lang w:val="fr-FR"/>
        </w:rPr>
        <w:t xml:space="preserve"> La question de l’insertion sociale est donc prise en compte de manière adéquate et, à cet égard, 30 réfugiés rwandais ont obtenu des permis de séjour</w:t>
      </w:r>
      <w:r w:rsidRPr="00C07083">
        <w:rPr>
          <w:spacing w:val="-2"/>
          <w:lang w:val="fr-FR"/>
        </w:rPr>
        <w:t>.</w:t>
      </w:r>
    </w:p>
    <w:p w:rsidR="00786D88" w:rsidRPr="00C07083" w:rsidRDefault="00786D88" w:rsidP="00786D88">
      <w:pPr>
        <w:pStyle w:val="SingleTxtG"/>
        <w:rPr>
          <w:lang w:val="fr-FR"/>
        </w:rPr>
      </w:pPr>
      <w:r w:rsidRPr="00C07083">
        <w:rPr>
          <w:lang w:val="fr-FR"/>
        </w:rPr>
        <w:t>20.</w:t>
      </w:r>
      <w:r w:rsidRPr="00C07083">
        <w:rPr>
          <w:lang w:val="fr-FR"/>
        </w:rPr>
        <w:tab/>
      </w:r>
      <w:r>
        <w:rPr>
          <w:lang w:val="fr-FR"/>
        </w:rPr>
        <w:t>En ce qui concerne la question d’un éventuel retrait des réserves, l’État partie a</w:t>
      </w:r>
      <w:r w:rsidR="00AE3BFD">
        <w:rPr>
          <w:lang w:val="fr-FR"/>
        </w:rPr>
        <w:t xml:space="preserve"> émis des réserves aux articles </w:t>
      </w:r>
      <w:r w:rsidRPr="00C07083">
        <w:rPr>
          <w:lang w:val="fr-FR"/>
        </w:rPr>
        <w:t xml:space="preserve">17, 22, 26 </w:t>
      </w:r>
      <w:r>
        <w:rPr>
          <w:lang w:val="fr-FR"/>
        </w:rPr>
        <w:t>et</w:t>
      </w:r>
      <w:r w:rsidRPr="00C07083">
        <w:rPr>
          <w:lang w:val="fr-FR"/>
        </w:rPr>
        <w:t xml:space="preserve"> 28 </w:t>
      </w:r>
      <w:r>
        <w:rPr>
          <w:lang w:val="fr-FR"/>
        </w:rPr>
        <w:t xml:space="preserve">de la </w:t>
      </w:r>
      <w:r w:rsidRPr="00C07083">
        <w:rPr>
          <w:lang w:val="fr-FR"/>
        </w:rPr>
        <w:t>Convention</w:t>
      </w:r>
      <w:r>
        <w:rPr>
          <w:lang w:val="fr-FR"/>
        </w:rPr>
        <w:t xml:space="preserve"> de 1951 dans le but de protéger l’intérêt national, notamment la sécurité et la protection de l’économie en développement de l’État partie</w:t>
      </w:r>
      <w:r w:rsidRPr="00C07083">
        <w:rPr>
          <w:lang w:val="fr-FR"/>
        </w:rPr>
        <w:t xml:space="preserve">. </w:t>
      </w:r>
      <w:r>
        <w:rPr>
          <w:lang w:val="fr-FR"/>
        </w:rPr>
        <w:t xml:space="preserve">Le </w:t>
      </w:r>
      <w:r w:rsidRPr="00C07083">
        <w:rPr>
          <w:lang w:val="fr-FR"/>
        </w:rPr>
        <w:t>Comit</w:t>
      </w:r>
      <w:r>
        <w:rPr>
          <w:lang w:val="fr-FR"/>
        </w:rPr>
        <w:t>é</w:t>
      </w:r>
      <w:r w:rsidRPr="00C07083">
        <w:rPr>
          <w:lang w:val="fr-FR"/>
        </w:rPr>
        <w:t xml:space="preserve"> </w:t>
      </w:r>
      <w:r>
        <w:rPr>
          <w:lang w:val="fr-FR"/>
        </w:rPr>
        <w:t xml:space="preserve">pourrait souhaiter prendre note du fait que l’État partie envisagera la possibilité de retirer ces réserves après avoir examiné le rapport préparé dans le cadre d’une étude indépendante menée par le Haut-Commissariat des Nations Unies pour les réfugiés (HCR). La conclusion de cette étude aidera l’État partie à prendre position en ce qui concerne le retrait de ces réserves à la </w:t>
      </w:r>
      <w:r w:rsidRPr="00C07083">
        <w:rPr>
          <w:lang w:val="fr-FR"/>
        </w:rPr>
        <w:t>Convention.</w:t>
      </w:r>
    </w:p>
    <w:p w:rsidR="00786D88" w:rsidRPr="00D05303" w:rsidRDefault="00786D88" w:rsidP="00AE3BFD">
      <w:pPr>
        <w:pStyle w:val="H1G"/>
        <w:rPr>
          <w:lang w:val="fr-FR"/>
        </w:rPr>
      </w:pPr>
      <w:r w:rsidRPr="005958B1">
        <w:tab/>
        <w:t>6.</w:t>
      </w:r>
      <w:r w:rsidRPr="005958B1">
        <w:tab/>
      </w:r>
      <w:r w:rsidRPr="00D05303">
        <w:rPr>
          <w:lang w:val="fr-FR"/>
        </w:rPr>
        <w:t>Discrimination raciale</w:t>
      </w:r>
      <w:r>
        <w:rPr>
          <w:lang w:val="fr-FR"/>
        </w:rPr>
        <w:t xml:space="preserve"> exercée </w:t>
      </w:r>
      <w:r w:rsidRPr="00717A51">
        <w:rPr>
          <w:lang w:val="fr-FR"/>
        </w:rPr>
        <w:t>de facto</w:t>
      </w:r>
      <w:r w:rsidRPr="00D05303">
        <w:rPr>
          <w:lang w:val="fr-FR"/>
        </w:rPr>
        <w:t xml:space="preserve"> par des acteurs non étatiques </w:t>
      </w:r>
    </w:p>
    <w:p w:rsidR="00786D88" w:rsidRPr="00D05303" w:rsidRDefault="00786D88" w:rsidP="00AE3BFD">
      <w:pPr>
        <w:pStyle w:val="H23G"/>
        <w:rPr>
          <w:lang w:val="fr-FR"/>
        </w:rPr>
      </w:pPr>
      <w:r w:rsidRPr="00D05303">
        <w:rPr>
          <w:lang w:val="fr-FR"/>
        </w:rPr>
        <w:tab/>
      </w:r>
      <w:r w:rsidRPr="00D05303">
        <w:rPr>
          <w:lang w:val="fr-FR"/>
        </w:rPr>
        <w:tab/>
        <w:t>Observation finale</w:t>
      </w:r>
    </w:p>
    <w:p w:rsidR="00786D88" w:rsidRPr="00D05303" w:rsidRDefault="00786D88" w:rsidP="00786D88">
      <w:pPr>
        <w:pStyle w:val="SingleTxtG"/>
        <w:rPr>
          <w:b/>
          <w:lang w:val="fr-FR"/>
        </w:rPr>
      </w:pPr>
      <w:r w:rsidRPr="00D05303">
        <w:rPr>
          <w:lang w:val="fr-FR"/>
        </w:rPr>
        <w:t>21.</w:t>
      </w:r>
      <w:r w:rsidRPr="00D05303">
        <w:rPr>
          <w:lang w:val="fr-FR"/>
        </w:rPr>
        <w:tab/>
      </w:r>
      <w:r w:rsidRPr="00B32331">
        <w:rPr>
          <w:b/>
          <w:lang w:val="fr-FR"/>
        </w:rPr>
        <w:t>Le Comité</w:t>
      </w:r>
      <w:r>
        <w:rPr>
          <w:lang w:val="fr-FR"/>
        </w:rPr>
        <w:t xml:space="preserve"> </w:t>
      </w:r>
      <w:r>
        <w:rPr>
          <w:b/>
          <w:lang w:val="fr-FR"/>
        </w:rPr>
        <w:t xml:space="preserve">a noté que la discrimination raciale exercée </w:t>
      </w:r>
      <w:r w:rsidRPr="00AE3BFD">
        <w:rPr>
          <w:b/>
          <w:lang w:val="fr-FR"/>
        </w:rPr>
        <w:t>de facto</w:t>
      </w:r>
      <w:r w:rsidRPr="00D05303">
        <w:rPr>
          <w:b/>
          <w:lang w:val="fr-FR"/>
        </w:rPr>
        <w:t xml:space="preserve"> </w:t>
      </w:r>
      <w:r>
        <w:rPr>
          <w:b/>
          <w:lang w:val="fr-FR"/>
        </w:rPr>
        <w:t xml:space="preserve">par des acteurs non étatiques soulève pour l’État partie des difficultés quotidiennes </w:t>
      </w:r>
      <w:r w:rsidRPr="00D05303">
        <w:rPr>
          <w:b/>
          <w:lang w:val="fr-FR"/>
        </w:rPr>
        <w:t>(</w:t>
      </w:r>
      <w:r>
        <w:rPr>
          <w:b/>
          <w:lang w:val="fr-FR"/>
        </w:rPr>
        <w:t>a</w:t>
      </w:r>
      <w:r w:rsidRPr="00D05303">
        <w:rPr>
          <w:b/>
          <w:lang w:val="fr-FR"/>
        </w:rPr>
        <w:t>rt</w:t>
      </w:r>
      <w:r w:rsidR="00AE3BFD">
        <w:rPr>
          <w:b/>
          <w:lang w:val="fr-FR"/>
        </w:rPr>
        <w:t>. </w:t>
      </w:r>
      <w:r w:rsidRPr="00D05303">
        <w:rPr>
          <w:b/>
          <w:lang w:val="fr-FR"/>
        </w:rPr>
        <w:t xml:space="preserve">4 </w:t>
      </w:r>
      <w:r>
        <w:rPr>
          <w:b/>
          <w:lang w:val="fr-FR"/>
        </w:rPr>
        <w:t>et</w:t>
      </w:r>
      <w:r w:rsidR="00AE3BFD">
        <w:rPr>
          <w:b/>
          <w:lang w:val="fr-FR"/>
        </w:rPr>
        <w:t xml:space="preserve"> </w:t>
      </w:r>
      <w:r w:rsidRPr="00D05303">
        <w:rPr>
          <w:b/>
          <w:lang w:val="fr-FR"/>
        </w:rPr>
        <w:t xml:space="preserve">5) </w:t>
      </w:r>
      <w:r>
        <w:rPr>
          <w:b/>
          <w:lang w:val="fr-FR"/>
        </w:rPr>
        <w:t>et a donc invité instamment la Zambie à définir des stratégies pour faire face à ce problème, en collaboration avec la Commission zambienne des droits de l’homme et d’autres parties intéressées</w:t>
      </w:r>
      <w:r w:rsidRPr="00D05303">
        <w:rPr>
          <w:lang w:val="fr-FR"/>
        </w:rPr>
        <w:t>.</w:t>
      </w:r>
    </w:p>
    <w:p w:rsidR="00786D88" w:rsidRPr="00D05303" w:rsidRDefault="00AE3BFD" w:rsidP="00786D88">
      <w:pPr>
        <w:pStyle w:val="H23G"/>
        <w:rPr>
          <w:lang w:val="fr-FR"/>
        </w:rPr>
      </w:pPr>
      <w:r>
        <w:rPr>
          <w:lang w:val="fr-FR"/>
        </w:rPr>
        <w:tab/>
      </w:r>
      <w:r>
        <w:rPr>
          <w:lang w:val="fr-FR"/>
        </w:rPr>
        <w:tab/>
      </w:r>
      <w:r w:rsidR="00786D88" w:rsidRPr="00D05303">
        <w:rPr>
          <w:lang w:val="fr-FR"/>
        </w:rPr>
        <w:t>R</w:t>
      </w:r>
      <w:r w:rsidR="00786D88">
        <w:rPr>
          <w:lang w:val="fr-FR"/>
        </w:rPr>
        <w:t>é</w:t>
      </w:r>
      <w:r w:rsidR="00786D88" w:rsidRPr="00D05303">
        <w:rPr>
          <w:lang w:val="fr-FR"/>
        </w:rPr>
        <w:t>ponse</w:t>
      </w:r>
    </w:p>
    <w:p w:rsidR="00786D88" w:rsidRPr="00D05303" w:rsidRDefault="00786D88" w:rsidP="00786D88">
      <w:pPr>
        <w:pStyle w:val="SingleTxtG"/>
        <w:rPr>
          <w:lang w:val="fr-FR"/>
        </w:rPr>
      </w:pPr>
      <w:r w:rsidRPr="00D05303">
        <w:rPr>
          <w:lang w:val="fr-FR"/>
        </w:rPr>
        <w:t>22.</w:t>
      </w:r>
      <w:r w:rsidRPr="00D05303">
        <w:rPr>
          <w:lang w:val="fr-FR"/>
        </w:rPr>
        <w:tab/>
      </w:r>
      <w:r>
        <w:rPr>
          <w:lang w:val="fr-FR"/>
        </w:rPr>
        <w:t>Le Comité</w:t>
      </w:r>
      <w:r w:rsidRPr="00D05303">
        <w:rPr>
          <w:lang w:val="fr-FR"/>
        </w:rPr>
        <w:t xml:space="preserve"> </w:t>
      </w:r>
      <w:r>
        <w:rPr>
          <w:lang w:val="fr-FR"/>
        </w:rPr>
        <w:t>pourrait souhaiter prendre acte du fait que le droit interne de l</w:t>
      </w:r>
      <w:r w:rsidRPr="00D05303">
        <w:rPr>
          <w:lang w:val="fr-FR"/>
        </w:rPr>
        <w:t xml:space="preserve">’État partie </w:t>
      </w:r>
      <w:r>
        <w:rPr>
          <w:lang w:val="fr-FR"/>
        </w:rPr>
        <w:t xml:space="preserve">comprend des mesures visant à décourager la discrimination raciale exercée </w:t>
      </w:r>
      <w:r w:rsidRPr="00AE3BFD">
        <w:rPr>
          <w:lang w:val="fr-FR"/>
        </w:rPr>
        <w:t>de facto</w:t>
      </w:r>
      <w:r w:rsidRPr="00D05303">
        <w:rPr>
          <w:lang w:val="fr-FR"/>
        </w:rPr>
        <w:t xml:space="preserve"> </w:t>
      </w:r>
      <w:r>
        <w:rPr>
          <w:lang w:val="fr-FR"/>
        </w:rPr>
        <w:t xml:space="preserve">par des acteurs non étatiques. La loi </w:t>
      </w:r>
      <w:r w:rsidR="00AE3BFD" w:rsidRPr="00AE3BFD">
        <w:rPr>
          <w:rFonts w:eastAsia="MS Mincho"/>
          <w:szCs w:val="22"/>
          <w:lang w:val="fr-FR"/>
        </w:rPr>
        <w:t>n</w:t>
      </w:r>
      <w:r w:rsidR="00AE3BFD" w:rsidRPr="00AE3BFD">
        <w:rPr>
          <w:rFonts w:eastAsia="MS Mincho"/>
          <w:szCs w:val="22"/>
          <w:vertAlign w:val="superscript"/>
          <w:lang w:val="fr-FR"/>
        </w:rPr>
        <w:t>o</w:t>
      </w:r>
      <w:r w:rsidR="00AE3BFD">
        <w:rPr>
          <w:lang w:val="fr-FR"/>
        </w:rPr>
        <w:t> </w:t>
      </w:r>
      <w:r>
        <w:rPr>
          <w:lang w:val="fr-FR"/>
        </w:rPr>
        <w:t>18 de 2010 sur l’immigration et l’expulsion dispose à aux alinéas</w:t>
      </w:r>
      <w:r w:rsidR="00AE3BFD">
        <w:rPr>
          <w:lang w:val="fr-FR"/>
        </w:rPr>
        <w:t xml:space="preserve"> </w:t>
      </w:r>
      <w:r>
        <w:rPr>
          <w:lang w:val="fr-FR"/>
        </w:rPr>
        <w:t>e) et</w:t>
      </w:r>
      <w:r w:rsidR="00AE3BFD">
        <w:rPr>
          <w:lang w:val="fr-FR"/>
        </w:rPr>
        <w:t xml:space="preserve"> </w:t>
      </w:r>
      <w:r>
        <w:rPr>
          <w:lang w:val="fr-FR"/>
        </w:rPr>
        <w:t>f) du paragraphe 3 de l’article</w:t>
      </w:r>
      <w:r w:rsidR="00AE3BFD">
        <w:rPr>
          <w:lang w:val="fr-FR"/>
        </w:rPr>
        <w:t xml:space="preserve"> </w:t>
      </w:r>
      <w:r w:rsidRPr="00D05303">
        <w:rPr>
          <w:lang w:val="fr-FR"/>
        </w:rPr>
        <w:t>5</w:t>
      </w:r>
      <w:r>
        <w:rPr>
          <w:lang w:val="fr-FR"/>
        </w:rPr>
        <w:t xml:space="preserve"> que </w:t>
      </w:r>
      <w:r w:rsidRPr="00D05303">
        <w:rPr>
          <w:lang w:val="fr-FR"/>
        </w:rPr>
        <w:t>:</w:t>
      </w:r>
    </w:p>
    <w:p w:rsidR="00786D88" w:rsidRPr="00D05303" w:rsidRDefault="00786D88" w:rsidP="006832EA">
      <w:pPr>
        <w:pStyle w:val="SingleTxtG"/>
        <w:ind w:left="1701" w:firstLine="567"/>
        <w:rPr>
          <w:rFonts w:eastAsia="Calibri"/>
          <w:lang w:val="fr-FR"/>
        </w:rPr>
      </w:pPr>
      <w:r>
        <w:rPr>
          <w:rFonts w:eastAsia="Calibri"/>
          <w:lang w:val="fr-FR"/>
        </w:rPr>
        <w:t xml:space="preserve">Le directeur général de l’immigration, dans l’exercice des fonctions du Service, ainsi que précisées au paragraphe </w:t>
      </w:r>
      <w:r w:rsidRPr="00D05303">
        <w:rPr>
          <w:rFonts w:eastAsia="Calibri"/>
          <w:lang w:val="fr-FR"/>
        </w:rPr>
        <w:t>1)</w:t>
      </w:r>
      <w:r>
        <w:rPr>
          <w:rFonts w:eastAsia="Calibri"/>
          <w:lang w:val="fr-FR"/>
        </w:rPr>
        <w:t> </w:t>
      </w:r>
      <w:r w:rsidRPr="00D05303">
        <w:rPr>
          <w:rFonts w:eastAsia="Calibri"/>
          <w:lang w:val="fr-FR"/>
        </w:rPr>
        <w:t>:</w:t>
      </w:r>
    </w:p>
    <w:p w:rsidR="00786D88" w:rsidRPr="00D05303" w:rsidRDefault="00786D88" w:rsidP="006832EA">
      <w:pPr>
        <w:pStyle w:val="SingleTxtG"/>
        <w:ind w:left="1701" w:firstLine="567"/>
        <w:rPr>
          <w:rFonts w:eastAsia="Calibri"/>
          <w:lang w:val="fr-FR" w:eastAsia="en-GB"/>
        </w:rPr>
      </w:pPr>
      <w:r w:rsidRPr="00D05303">
        <w:rPr>
          <w:rFonts w:eastAsia="Calibri"/>
          <w:lang w:val="fr-FR" w:eastAsia="en-GB"/>
        </w:rPr>
        <w:t>e)</w:t>
      </w:r>
      <w:r w:rsidRPr="00D05303">
        <w:rPr>
          <w:rFonts w:eastAsia="Calibri"/>
          <w:lang w:val="fr-FR" w:eastAsia="en-GB"/>
        </w:rPr>
        <w:tab/>
      </w:r>
      <w:r>
        <w:rPr>
          <w:rFonts w:eastAsia="Calibri"/>
          <w:lang w:val="fr-FR" w:eastAsia="en-GB"/>
        </w:rPr>
        <w:t>En consultation avec le Commissaire aux réfugiés et tout autre organe pertinent, informe les membres de la population et les organismes de la société civile des droits des étrangers et des réfugiés </w:t>
      </w:r>
      <w:r w:rsidRPr="00D05303">
        <w:rPr>
          <w:rFonts w:eastAsia="Calibri"/>
          <w:lang w:val="fr-FR" w:eastAsia="en-GB"/>
        </w:rPr>
        <w:t>;</w:t>
      </w:r>
    </w:p>
    <w:p w:rsidR="00786D88" w:rsidRPr="00D05303" w:rsidRDefault="00786D88" w:rsidP="006832EA">
      <w:pPr>
        <w:pStyle w:val="SingleTxtG"/>
        <w:ind w:left="1701" w:firstLine="567"/>
        <w:rPr>
          <w:rFonts w:eastAsia="Calibri"/>
          <w:lang w:val="fr-FR" w:eastAsia="en-GB"/>
        </w:rPr>
      </w:pPr>
      <w:r w:rsidRPr="00D05303">
        <w:rPr>
          <w:rFonts w:eastAsia="Calibri"/>
          <w:iCs/>
          <w:lang w:val="fr-FR" w:eastAsia="en-GB"/>
        </w:rPr>
        <w:t>f)</w:t>
      </w:r>
      <w:r w:rsidRPr="00D05303">
        <w:rPr>
          <w:rFonts w:eastAsia="Calibri"/>
          <w:iCs/>
          <w:lang w:val="fr-FR" w:eastAsia="en-GB"/>
        </w:rPr>
        <w:tab/>
      </w:r>
      <w:r w:rsidRPr="006832EA">
        <w:rPr>
          <w:rFonts w:eastAsia="Calibri"/>
          <w:lang w:val="fr-FR" w:eastAsia="en-GB"/>
        </w:rPr>
        <w:t>Organise</w:t>
      </w:r>
      <w:r>
        <w:rPr>
          <w:rFonts w:eastAsia="Calibri"/>
          <w:iCs/>
          <w:lang w:val="fr-FR" w:eastAsia="en-GB"/>
        </w:rPr>
        <w:t xml:space="preserve"> des forums locaux ou autres organismes communautaires et participe aux activités de ces derniers pour décourager la xénophobie et exposer à la population les questions de migration</w:t>
      </w:r>
      <w:r w:rsidRPr="00D05303">
        <w:rPr>
          <w:rFonts w:eastAsia="Calibri"/>
          <w:lang w:val="fr-FR" w:eastAsia="en-GB"/>
        </w:rPr>
        <w:t>.</w:t>
      </w:r>
    </w:p>
    <w:p w:rsidR="00786D88" w:rsidRPr="00D05303" w:rsidRDefault="00786D88" w:rsidP="00786D88">
      <w:pPr>
        <w:pStyle w:val="SingleTxtG"/>
        <w:rPr>
          <w:rFonts w:eastAsia="Calibri"/>
          <w:lang w:val="fr-FR" w:eastAsia="en-GB"/>
        </w:rPr>
      </w:pPr>
      <w:r w:rsidRPr="00D05303">
        <w:rPr>
          <w:rFonts w:eastAsia="Calibri"/>
          <w:lang w:val="fr-FR" w:eastAsia="en-GB"/>
        </w:rPr>
        <w:t>23.</w:t>
      </w:r>
      <w:r w:rsidRPr="00D05303">
        <w:rPr>
          <w:rFonts w:eastAsia="Calibri"/>
          <w:lang w:val="fr-FR" w:eastAsia="en-GB"/>
        </w:rPr>
        <w:tab/>
        <w:t xml:space="preserve">L’État partie </w:t>
      </w:r>
      <w:r>
        <w:rPr>
          <w:rFonts w:eastAsia="Calibri"/>
          <w:lang w:val="fr-FR" w:eastAsia="en-GB"/>
        </w:rPr>
        <w:t>tient à indiquer que, en 2015, la Commission zambienne des droits de l’homme a formulé le plan stratégique de la campagne de lutte contre la torture, qui met l’accent sur le principe de non-discrimination. La Commission a aussi poursuivi la stratégie de communication conçue pour faire mieux connaître et comprendre les droits de l’homme en Zambie en procédant à des communications et en partageant des informations. La Commission zambienne de développement du droit a préparé, en collaboration avec la Commission des droits de l’homme, un avant-projet de loi contre la torture faisant l’objet de consultations avec les parties prenantes préalablement à son adoption</w:t>
      </w:r>
      <w:r w:rsidRPr="00D05303">
        <w:rPr>
          <w:rFonts w:eastAsia="Calibri"/>
          <w:lang w:val="fr-FR" w:eastAsia="en-GB"/>
        </w:rPr>
        <w:t>.</w:t>
      </w:r>
    </w:p>
    <w:p w:rsidR="00786D88" w:rsidRPr="00D05303" w:rsidRDefault="00786D88" w:rsidP="00786D88">
      <w:pPr>
        <w:pStyle w:val="SingleTxtG"/>
        <w:rPr>
          <w:rFonts w:eastAsia="Calibri"/>
          <w:lang w:val="fr-FR" w:eastAsia="en-GB"/>
        </w:rPr>
      </w:pPr>
      <w:r w:rsidRPr="00D05303">
        <w:rPr>
          <w:rFonts w:eastAsia="Calibri"/>
          <w:lang w:val="fr-FR" w:eastAsia="en-GB"/>
        </w:rPr>
        <w:t>24.</w:t>
      </w:r>
      <w:r w:rsidRPr="00D05303">
        <w:rPr>
          <w:rFonts w:eastAsia="Calibri"/>
          <w:lang w:val="fr-FR" w:eastAsia="en-GB"/>
        </w:rPr>
        <w:tab/>
        <w:t xml:space="preserve">L’État partie </w:t>
      </w:r>
      <w:r>
        <w:rPr>
          <w:rFonts w:eastAsia="Calibri"/>
          <w:lang w:val="fr-FR" w:eastAsia="en-GB"/>
        </w:rPr>
        <w:t>tient aussi à indiquer que diverses mesures ont été mises en place par la Commission zambienne des droits de l’homme qui dispose, en ce domaine, d’un large mandat couvrant, notamment, l’éducation et la sensibilisation du public. Ces actions s’inscrivent dans le plan stratégique de la Commission des droits de l’homme pour la période </w:t>
      </w:r>
      <w:r w:rsidRPr="00D05303">
        <w:rPr>
          <w:rFonts w:eastAsia="Calibri"/>
          <w:lang w:val="fr-FR" w:eastAsia="en-GB"/>
        </w:rPr>
        <w:t>2014-2016.</w:t>
      </w:r>
    </w:p>
    <w:p w:rsidR="00786D88" w:rsidRPr="00D05303" w:rsidRDefault="00786D88" w:rsidP="00786D88">
      <w:pPr>
        <w:pStyle w:val="SingleTxtG"/>
        <w:rPr>
          <w:rFonts w:eastAsia="Calibri"/>
          <w:lang w:val="fr-FR" w:eastAsia="en-GB"/>
        </w:rPr>
      </w:pPr>
      <w:r w:rsidRPr="00D05303">
        <w:rPr>
          <w:rFonts w:eastAsia="Calibri"/>
          <w:lang w:val="fr-FR" w:eastAsia="en-GB"/>
        </w:rPr>
        <w:t>25.</w:t>
      </w:r>
      <w:r w:rsidRPr="00D05303">
        <w:rPr>
          <w:rFonts w:eastAsia="Calibri"/>
          <w:lang w:val="fr-FR" w:eastAsia="en-GB"/>
        </w:rPr>
        <w:tab/>
      </w:r>
      <w:r>
        <w:rPr>
          <w:rFonts w:eastAsia="Calibri"/>
          <w:lang w:val="fr-FR" w:eastAsia="en-GB"/>
        </w:rPr>
        <w:t xml:space="preserve">Préalablement au </w:t>
      </w:r>
      <w:proofErr w:type="spellStart"/>
      <w:r>
        <w:rPr>
          <w:rFonts w:eastAsia="Calibri"/>
          <w:lang w:val="fr-FR" w:eastAsia="en-GB"/>
        </w:rPr>
        <w:t>référendum</w:t>
      </w:r>
      <w:proofErr w:type="spellEnd"/>
      <w:r>
        <w:rPr>
          <w:rFonts w:eastAsia="Calibri"/>
          <w:lang w:val="fr-FR" w:eastAsia="en-GB"/>
        </w:rPr>
        <w:t xml:space="preserve"> organisé en août</w:t>
      </w:r>
      <w:r w:rsidR="00AE3BFD">
        <w:rPr>
          <w:rFonts w:eastAsia="Calibri"/>
          <w:lang w:val="fr-FR" w:eastAsia="en-GB"/>
        </w:rPr>
        <w:t xml:space="preserve"> </w:t>
      </w:r>
      <w:r>
        <w:rPr>
          <w:rFonts w:eastAsia="Calibri"/>
          <w:lang w:val="fr-FR" w:eastAsia="en-GB"/>
        </w:rPr>
        <w:t>2016 dans le but de modifier la Charte des droits, l</w:t>
      </w:r>
      <w:r w:rsidRPr="00D05303">
        <w:rPr>
          <w:rFonts w:eastAsia="Calibri"/>
          <w:lang w:val="fr-FR" w:eastAsia="en-GB"/>
        </w:rPr>
        <w:t xml:space="preserve">’État partie </w:t>
      </w:r>
      <w:r>
        <w:rPr>
          <w:rFonts w:eastAsia="Calibri"/>
          <w:lang w:val="fr-FR" w:eastAsia="en-GB"/>
        </w:rPr>
        <w:t>a également lancé une initiative de portée nationale visant à faire connaître les dispositions de cette charte, qui consacre la protection contre la discrimination raciale</w:t>
      </w:r>
      <w:r w:rsidRPr="00D05303">
        <w:rPr>
          <w:rFonts w:eastAsia="Calibri"/>
          <w:lang w:val="fr-FR" w:eastAsia="en-GB"/>
        </w:rPr>
        <w:t>.</w:t>
      </w:r>
    </w:p>
    <w:p w:rsidR="00786D88" w:rsidRPr="00D05303" w:rsidRDefault="00786D88" w:rsidP="00AE3BFD">
      <w:pPr>
        <w:pStyle w:val="H1G"/>
        <w:rPr>
          <w:lang w:val="fr-FR"/>
        </w:rPr>
      </w:pPr>
      <w:r w:rsidRPr="00D05303">
        <w:rPr>
          <w:lang w:val="fr-FR" w:eastAsia="en-GB"/>
        </w:rPr>
        <w:lastRenderedPageBreak/>
        <w:tab/>
        <w:t>7.</w:t>
      </w:r>
      <w:r w:rsidRPr="00D05303">
        <w:rPr>
          <w:lang w:val="fr-FR" w:eastAsia="en-GB"/>
        </w:rPr>
        <w:tab/>
      </w:r>
      <w:r>
        <w:rPr>
          <w:lang w:val="fr-FR" w:eastAsia="en-GB"/>
        </w:rPr>
        <w:t xml:space="preserve">Ériger en infraction tombant sous le coup de la loi la participation à des organisations encourageant ou incitant à la discrimination raciale </w:t>
      </w:r>
    </w:p>
    <w:p w:rsidR="00786D88" w:rsidRPr="00D05303" w:rsidRDefault="00AE3BFD" w:rsidP="00AE3BFD">
      <w:pPr>
        <w:pStyle w:val="H23G"/>
        <w:rPr>
          <w:lang w:val="fr-FR" w:eastAsia="en-GB"/>
        </w:rPr>
      </w:pPr>
      <w:r>
        <w:rPr>
          <w:lang w:val="fr-FR" w:eastAsia="en-GB"/>
        </w:rPr>
        <w:tab/>
      </w:r>
      <w:r>
        <w:rPr>
          <w:lang w:val="fr-FR" w:eastAsia="en-GB"/>
        </w:rPr>
        <w:tab/>
      </w:r>
      <w:r w:rsidR="00786D88" w:rsidRPr="00D05303">
        <w:rPr>
          <w:lang w:val="fr-FR" w:eastAsia="en-GB"/>
        </w:rPr>
        <w:t>Observation finale</w:t>
      </w:r>
    </w:p>
    <w:p w:rsidR="00786D88" w:rsidRPr="00D05303" w:rsidRDefault="00786D88" w:rsidP="00786D88">
      <w:pPr>
        <w:pStyle w:val="SingleTxtG"/>
        <w:rPr>
          <w:b/>
          <w:lang w:val="fr-FR"/>
        </w:rPr>
      </w:pPr>
      <w:r w:rsidRPr="00D05303">
        <w:rPr>
          <w:lang w:val="fr-FR"/>
        </w:rPr>
        <w:t>26.</w:t>
      </w:r>
      <w:r w:rsidRPr="00BE2F41">
        <w:rPr>
          <w:b/>
          <w:lang w:val="fr-FR"/>
        </w:rPr>
        <w:tab/>
        <w:t>Le</w:t>
      </w:r>
      <w:r>
        <w:rPr>
          <w:lang w:val="fr-FR"/>
        </w:rPr>
        <w:t xml:space="preserve"> </w:t>
      </w:r>
      <w:r>
        <w:rPr>
          <w:b/>
          <w:lang w:val="fr-FR"/>
        </w:rPr>
        <w:t>Comité</w:t>
      </w:r>
      <w:r w:rsidRPr="00D05303">
        <w:rPr>
          <w:b/>
          <w:lang w:val="fr-FR"/>
        </w:rPr>
        <w:t xml:space="preserve"> </w:t>
      </w:r>
      <w:r>
        <w:rPr>
          <w:b/>
          <w:lang w:val="fr-FR"/>
        </w:rPr>
        <w:t>s’est déclaré inquiet devant le fait que le paragraphe b) de l’article</w:t>
      </w:r>
      <w:r w:rsidR="00AE3BFD">
        <w:rPr>
          <w:b/>
          <w:lang w:val="fr-FR"/>
        </w:rPr>
        <w:t> </w:t>
      </w:r>
      <w:r w:rsidRPr="00D05303">
        <w:rPr>
          <w:b/>
          <w:lang w:val="fr-FR"/>
        </w:rPr>
        <w:t xml:space="preserve">4) </w:t>
      </w:r>
      <w:r>
        <w:rPr>
          <w:b/>
          <w:lang w:val="fr-FR"/>
        </w:rPr>
        <w:t xml:space="preserve">de la </w:t>
      </w:r>
      <w:r w:rsidRPr="00D05303">
        <w:rPr>
          <w:b/>
          <w:lang w:val="fr-FR"/>
        </w:rPr>
        <w:t xml:space="preserve">Convention </w:t>
      </w:r>
      <w:r>
        <w:rPr>
          <w:b/>
          <w:lang w:val="fr-FR"/>
        </w:rPr>
        <w:t>n’est pas encore été pleinement intégré dans le droit interne et recommande à la Zambie d’ériger en infraction tombant sous le coup de la loi la participation à des organisations encourageant ou incitant à la discrimination raciale</w:t>
      </w:r>
      <w:r w:rsidRPr="00D05303">
        <w:rPr>
          <w:lang w:val="fr-FR"/>
        </w:rPr>
        <w:t>.</w:t>
      </w:r>
    </w:p>
    <w:p w:rsidR="00786D88" w:rsidRPr="00D05303" w:rsidRDefault="00786D88" w:rsidP="00AE3BFD">
      <w:pPr>
        <w:pStyle w:val="H23G"/>
        <w:rPr>
          <w:lang w:val="fr-FR"/>
        </w:rPr>
      </w:pPr>
      <w:r w:rsidRPr="00D05303">
        <w:rPr>
          <w:lang w:val="fr-FR"/>
        </w:rPr>
        <w:tab/>
      </w:r>
      <w:r w:rsidRPr="00D05303">
        <w:rPr>
          <w:lang w:val="fr-FR"/>
        </w:rPr>
        <w:tab/>
        <w:t>R</w:t>
      </w:r>
      <w:r>
        <w:rPr>
          <w:lang w:val="fr-FR"/>
        </w:rPr>
        <w:t>é</w:t>
      </w:r>
      <w:r w:rsidRPr="00D05303">
        <w:rPr>
          <w:lang w:val="fr-FR"/>
        </w:rPr>
        <w:t>ponse</w:t>
      </w:r>
    </w:p>
    <w:p w:rsidR="00786D88" w:rsidRPr="00D05303" w:rsidRDefault="00786D88" w:rsidP="00786D88">
      <w:pPr>
        <w:pStyle w:val="SingleTxtG"/>
        <w:rPr>
          <w:lang w:val="fr-FR"/>
        </w:rPr>
      </w:pPr>
      <w:r w:rsidRPr="00D05303">
        <w:rPr>
          <w:lang w:val="fr-FR"/>
        </w:rPr>
        <w:t>27.</w:t>
      </w:r>
      <w:r w:rsidRPr="00D05303">
        <w:rPr>
          <w:lang w:val="fr-FR"/>
        </w:rPr>
        <w:tab/>
        <w:t xml:space="preserve">L’État partie </w:t>
      </w:r>
      <w:r>
        <w:rPr>
          <w:lang w:val="fr-FR"/>
        </w:rPr>
        <w:t>ti</w:t>
      </w:r>
      <w:r w:rsidR="00AE3BFD">
        <w:rPr>
          <w:lang w:val="fr-FR"/>
        </w:rPr>
        <w:t xml:space="preserve">ent à indiquer que les articles </w:t>
      </w:r>
      <w:r w:rsidRPr="00D05303">
        <w:rPr>
          <w:lang w:val="fr-FR"/>
        </w:rPr>
        <w:t>4</w:t>
      </w:r>
      <w:r>
        <w:rPr>
          <w:lang w:val="fr-FR"/>
        </w:rPr>
        <w:t xml:space="preserve"> et</w:t>
      </w:r>
      <w:r w:rsidR="00AE3BFD">
        <w:rPr>
          <w:lang w:val="fr-FR"/>
        </w:rPr>
        <w:t xml:space="preserve"> </w:t>
      </w:r>
      <w:r w:rsidRPr="00D05303">
        <w:rPr>
          <w:lang w:val="fr-FR"/>
        </w:rPr>
        <w:t xml:space="preserve">11 </w:t>
      </w:r>
      <w:r>
        <w:rPr>
          <w:lang w:val="fr-FR"/>
        </w:rPr>
        <w:t>et le paragraphe 3 de l’article</w:t>
      </w:r>
      <w:r w:rsidR="00AE3BFD">
        <w:rPr>
          <w:lang w:val="fr-FR"/>
        </w:rPr>
        <w:t xml:space="preserve"> </w:t>
      </w:r>
      <w:r w:rsidRPr="00D05303">
        <w:rPr>
          <w:lang w:val="fr-FR"/>
        </w:rPr>
        <w:t>23</w:t>
      </w:r>
      <w:r>
        <w:rPr>
          <w:lang w:val="fr-FR"/>
        </w:rPr>
        <w:t xml:space="preserve"> de la</w:t>
      </w:r>
      <w:r w:rsidRPr="00D05303">
        <w:rPr>
          <w:lang w:val="fr-FR"/>
        </w:rPr>
        <w:t xml:space="preserve"> Constitution </w:t>
      </w:r>
      <w:r>
        <w:rPr>
          <w:lang w:val="fr-FR"/>
        </w:rPr>
        <w:t>zambienne favorisent la jouissance des droits fondamentaux en l’absence de toute discrimination raciale. L’article</w:t>
      </w:r>
      <w:r w:rsidR="00AE3BFD">
        <w:rPr>
          <w:lang w:val="fr-FR"/>
        </w:rPr>
        <w:t xml:space="preserve"> </w:t>
      </w:r>
      <w:r>
        <w:rPr>
          <w:lang w:val="fr-FR"/>
        </w:rPr>
        <w:t>11 dispose ce qui suit </w:t>
      </w:r>
      <w:r w:rsidRPr="00D05303">
        <w:rPr>
          <w:lang w:val="fr-FR"/>
        </w:rPr>
        <w:t>:</w:t>
      </w:r>
    </w:p>
    <w:p w:rsidR="00786D88" w:rsidRPr="00D05303" w:rsidRDefault="00786D88" w:rsidP="006832EA">
      <w:pPr>
        <w:pStyle w:val="SingleTxtG"/>
        <w:ind w:firstLine="567"/>
        <w:rPr>
          <w:lang w:val="fr-FR"/>
        </w:rPr>
      </w:pPr>
      <w:r>
        <w:rPr>
          <w:lang w:val="fr-FR"/>
        </w:rPr>
        <w:t>« </w:t>
      </w:r>
      <w:r w:rsidRPr="00D05303">
        <w:rPr>
          <w:lang w:val="fr-FR"/>
        </w:rPr>
        <w:t>I</w:t>
      </w:r>
      <w:r>
        <w:rPr>
          <w:lang w:val="fr-FR"/>
        </w:rPr>
        <w:t>l est entendu et déclaré que toute personne se trouvant en Zambie</w:t>
      </w:r>
      <w:r w:rsidRPr="00D05303">
        <w:rPr>
          <w:lang w:val="fr-FR"/>
        </w:rPr>
        <w:t xml:space="preserve"> </w:t>
      </w:r>
      <w:r>
        <w:rPr>
          <w:lang w:val="fr-FR"/>
        </w:rPr>
        <w:t>a, et continuera d’avoir, le droit de jouir des libertés et des droits fondamentaux, sans distinction de sa race, d’origine, d’opinion politique, de couleur, de croyance, de sexe ou de situation matrimoniale.</w:t>
      </w:r>
      <w:r w:rsidR="00AE3BFD">
        <w:rPr>
          <w:lang w:val="fr-FR"/>
        </w:rPr>
        <w:t> </w:t>
      </w:r>
      <w:r>
        <w:rPr>
          <w:lang w:val="fr-FR"/>
        </w:rPr>
        <w:t>»</w:t>
      </w:r>
      <w:r w:rsidRPr="00D05303">
        <w:rPr>
          <w:lang w:val="fr-FR"/>
        </w:rPr>
        <w:t>.</w:t>
      </w:r>
    </w:p>
    <w:p w:rsidR="00786D88" w:rsidRPr="00D05303" w:rsidRDefault="00786D88" w:rsidP="006832EA">
      <w:pPr>
        <w:pStyle w:val="SingleTxtG"/>
        <w:ind w:firstLine="567"/>
        <w:rPr>
          <w:lang w:val="fr-FR"/>
        </w:rPr>
      </w:pPr>
      <w:r>
        <w:rPr>
          <w:lang w:val="fr-FR"/>
        </w:rPr>
        <w:t>Le paragraphe 3 de l’article</w:t>
      </w:r>
      <w:r w:rsidR="00AE3BFD">
        <w:rPr>
          <w:lang w:val="fr-FR"/>
        </w:rPr>
        <w:t xml:space="preserve"> </w:t>
      </w:r>
      <w:r w:rsidRPr="00D05303">
        <w:rPr>
          <w:lang w:val="fr-FR"/>
        </w:rPr>
        <w:t>23</w:t>
      </w:r>
      <w:r>
        <w:rPr>
          <w:lang w:val="fr-FR"/>
        </w:rPr>
        <w:t xml:space="preserve"> définit la discrimination en ces termes</w:t>
      </w:r>
      <w:r w:rsidR="00DC5A77">
        <w:rPr>
          <w:lang w:val="fr-FR"/>
        </w:rPr>
        <w:t> </w:t>
      </w:r>
      <w:r>
        <w:rPr>
          <w:lang w:val="fr-FR"/>
        </w:rPr>
        <w:t>:</w:t>
      </w:r>
    </w:p>
    <w:p w:rsidR="00786D88" w:rsidRPr="00D05303" w:rsidRDefault="00786D88" w:rsidP="006832EA">
      <w:pPr>
        <w:pStyle w:val="SingleTxtG"/>
        <w:ind w:firstLine="567"/>
        <w:rPr>
          <w:spacing w:val="-1"/>
          <w:lang w:val="fr-FR"/>
        </w:rPr>
      </w:pPr>
      <w:r>
        <w:rPr>
          <w:spacing w:val="-1"/>
          <w:lang w:val="fr-FR"/>
        </w:rPr>
        <w:t>« Dans le présent article, le terme « discriminatoire » signifie l’application d’un traitement différent à des personnes différentes en raison, uniquement ou principalement, de leurs particularités, notamment leur race, leur appartenance tribale, leur sexe, leur lieu d’origine, leur situation matrimoniale, leurs opinions politiques, leur couleur ou leurs croyances, lorsque ledit traitement a pour effet d’assujettir les personnes possédant de telles particularités à des handicaps ou à des restrictions qui ne sont pas imposées aux personnes ne présentant pas ces particularités, ou de leur accorder des privilèges ou des avantages qui ne sont pas consentis aux personnes qui ne présentent pas ces particularités</w:t>
      </w:r>
      <w:r w:rsidRPr="00D05303">
        <w:rPr>
          <w:spacing w:val="-1"/>
          <w:lang w:val="fr-FR"/>
        </w:rPr>
        <w:t>.</w:t>
      </w:r>
      <w:r>
        <w:rPr>
          <w:spacing w:val="-1"/>
          <w:lang w:val="fr-FR"/>
        </w:rPr>
        <w:t> »</w:t>
      </w:r>
      <w:r w:rsidR="00DC5A77">
        <w:rPr>
          <w:spacing w:val="-1"/>
          <w:lang w:val="fr-FR"/>
        </w:rPr>
        <w:t>.</w:t>
      </w:r>
    </w:p>
    <w:p w:rsidR="00786D88" w:rsidRPr="00D05303" w:rsidRDefault="00786D88" w:rsidP="00786D88">
      <w:pPr>
        <w:pStyle w:val="SingleTxtG"/>
        <w:rPr>
          <w:lang w:val="fr-FR"/>
        </w:rPr>
      </w:pPr>
      <w:r w:rsidRPr="00D05303">
        <w:rPr>
          <w:lang w:val="fr-FR"/>
        </w:rPr>
        <w:t>28.</w:t>
      </w:r>
      <w:r w:rsidRPr="00D05303">
        <w:rPr>
          <w:lang w:val="fr-FR"/>
        </w:rPr>
        <w:tab/>
        <w:t>L’État partie</w:t>
      </w:r>
      <w:r>
        <w:rPr>
          <w:lang w:val="fr-FR"/>
        </w:rPr>
        <w:t xml:space="preserve"> tient de surcroît à indiquer que la promotion et l’incitation à la discrimination </w:t>
      </w:r>
      <w:r w:rsidRPr="00717A51">
        <w:rPr>
          <w:spacing w:val="-2"/>
          <w:lang w:val="fr-FR"/>
        </w:rPr>
        <w:t>raciale est une infraction tombant sous le coup de la loi en vertu</w:t>
      </w:r>
      <w:r>
        <w:rPr>
          <w:lang w:val="fr-FR"/>
        </w:rPr>
        <w:t xml:space="preserve"> de l’article</w:t>
      </w:r>
      <w:r w:rsidR="00AE3BFD">
        <w:rPr>
          <w:lang w:val="fr-FR"/>
        </w:rPr>
        <w:t xml:space="preserve"> </w:t>
      </w:r>
      <w:r w:rsidRPr="00D05303">
        <w:rPr>
          <w:lang w:val="fr-FR"/>
        </w:rPr>
        <w:t xml:space="preserve">70 </w:t>
      </w:r>
      <w:r>
        <w:rPr>
          <w:lang w:val="fr-FR"/>
        </w:rPr>
        <w:t>du Code pénal. Ledit article</w:t>
      </w:r>
      <w:r w:rsidR="00AE3BFD">
        <w:rPr>
          <w:lang w:val="fr-FR"/>
        </w:rPr>
        <w:t xml:space="preserve"> </w:t>
      </w:r>
      <w:r w:rsidRPr="00D05303">
        <w:rPr>
          <w:lang w:val="fr-FR"/>
        </w:rPr>
        <w:t xml:space="preserve">70 </w:t>
      </w:r>
      <w:r>
        <w:rPr>
          <w:lang w:val="fr-FR"/>
        </w:rPr>
        <w:t>dispose que </w:t>
      </w:r>
      <w:r w:rsidRPr="00D05303">
        <w:rPr>
          <w:lang w:val="fr-FR"/>
        </w:rPr>
        <w:t>:</w:t>
      </w:r>
    </w:p>
    <w:p w:rsidR="00786D88" w:rsidRPr="00DC5A77" w:rsidRDefault="00786D88" w:rsidP="006832EA">
      <w:pPr>
        <w:pStyle w:val="SingleTxtG"/>
        <w:ind w:firstLine="567"/>
      </w:pPr>
      <w:r w:rsidRPr="00DC5A77">
        <w:rPr>
          <w:rStyle w:val="PlainTable31"/>
          <w:i w:val="0"/>
          <w:iCs w:val="0"/>
          <w:color w:val="auto"/>
        </w:rPr>
        <w:t>« Toute personne tenant, oralement ou par écrit, des propos exprimant ou manifestant des sentiments de haine, de ridicule ou de mépris à l’égard de toute personne ou de tout groupe uniquement ou principalement pour des motifs de race, d’appartenance tribale, de lieu d’origine ou de couleur de la peau se rend coupable d’une infraction et, si elle est reconnue coupable, est passible d’une peine d’une durée maximale de deux ans. »</w:t>
      </w:r>
      <w:r w:rsidR="00DC5A77">
        <w:rPr>
          <w:rStyle w:val="PlainTable31"/>
          <w:i w:val="0"/>
          <w:iCs w:val="0"/>
          <w:color w:val="auto"/>
        </w:rPr>
        <w:t>.</w:t>
      </w:r>
    </w:p>
    <w:p w:rsidR="00786D88" w:rsidRPr="00D05303" w:rsidRDefault="00786D88" w:rsidP="00786D88">
      <w:pPr>
        <w:pStyle w:val="SingleTxtG"/>
        <w:rPr>
          <w:lang w:val="fr-FR"/>
        </w:rPr>
      </w:pPr>
      <w:r w:rsidRPr="00D05303">
        <w:rPr>
          <w:lang w:val="fr-FR"/>
        </w:rPr>
        <w:t>29.</w:t>
      </w:r>
      <w:r w:rsidRPr="00D05303">
        <w:rPr>
          <w:lang w:val="fr-FR"/>
        </w:rPr>
        <w:tab/>
      </w:r>
      <w:r>
        <w:rPr>
          <w:lang w:val="fr-FR"/>
        </w:rPr>
        <w:t>Le Comité pourrait souhaiter prendre acte du fait que la participation, la promotion ou l’incitation à la discrimination raciale par toute organisation est considérée comme une infraction pénale en vertu de la loi</w:t>
      </w:r>
      <w:r w:rsidRPr="00D05303">
        <w:rPr>
          <w:lang w:val="fr-FR"/>
        </w:rPr>
        <w:t>.</w:t>
      </w:r>
    </w:p>
    <w:p w:rsidR="00786D88" w:rsidRPr="00D05303" w:rsidRDefault="00786D88" w:rsidP="00DC5A77">
      <w:pPr>
        <w:pStyle w:val="H1G"/>
        <w:rPr>
          <w:lang w:val="fr-FR"/>
        </w:rPr>
      </w:pPr>
      <w:r w:rsidRPr="00D05303">
        <w:rPr>
          <w:lang w:val="fr-FR"/>
        </w:rPr>
        <w:tab/>
        <w:t>8.</w:t>
      </w:r>
      <w:r w:rsidRPr="00D05303">
        <w:rPr>
          <w:lang w:val="fr-FR"/>
        </w:rPr>
        <w:tab/>
      </w:r>
      <w:r>
        <w:rPr>
          <w:lang w:val="fr-FR"/>
        </w:rPr>
        <w:t xml:space="preserve">Renseignements statistiques sur les affaires de discrimination raciale </w:t>
      </w:r>
    </w:p>
    <w:p w:rsidR="00786D88" w:rsidRPr="00D05303" w:rsidRDefault="00DC5A77" w:rsidP="00DC5A77">
      <w:pPr>
        <w:pStyle w:val="H23G"/>
        <w:rPr>
          <w:lang w:val="fr-FR"/>
        </w:rPr>
      </w:pPr>
      <w:r>
        <w:rPr>
          <w:lang w:val="fr-FR"/>
        </w:rPr>
        <w:tab/>
      </w:r>
      <w:r>
        <w:rPr>
          <w:lang w:val="fr-FR"/>
        </w:rPr>
        <w:tab/>
      </w:r>
      <w:r w:rsidR="00786D88" w:rsidRPr="00D05303">
        <w:rPr>
          <w:lang w:val="fr-FR"/>
        </w:rPr>
        <w:t>Observation finale</w:t>
      </w:r>
    </w:p>
    <w:p w:rsidR="00786D88" w:rsidRPr="00D05303" w:rsidRDefault="00786D88" w:rsidP="00786D88">
      <w:pPr>
        <w:pStyle w:val="SingleTxtG"/>
        <w:rPr>
          <w:b/>
          <w:lang w:val="fr-FR"/>
        </w:rPr>
      </w:pPr>
      <w:r w:rsidRPr="00D05303">
        <w:rPr>
          <w:lang w:val="fr-FR"/>
        </w:rPr>
        <w:t>30.</w:t>
      </w:r>
      <w:r w:rsidRPr="00D05303">
        <w:rPr>
          <w:lang w:val="fr-FR"/>
        </w:rPr>
        <w:tab/>
      </w:r>
      <w:r w:rsidRPr="00CA1309">
        <w:rPr>
          <w:b/>
          <w:lang w:val="fr-FR"/>
        </w:rPr>
        <w:t>Le</w:t>
      </w:r>
      <w:r>
        <w:rPr>
          <w:lang w:val="fr-FR"/>
        </w:rPr>
        <w:t xml:space="preserve"> </w:t>
      </w:r>
      <w:r>
        <w:rPr>
          <w:b/>
          <w:lang w:val="fr-FR"/>
        </w:rPr>
        <w:t>Comité</w:t>
      </w:r>
      <w:r w:rsidRPr="00D05303">
        <w:rPr>
          <w:b/>
          <w:lang w:val="fr-FR"/>
        </w:rPr>
        <w:t xml:space="preserve"> </w:t>
      </w:r>
      <w:r>
        <w:rPr>
          <w:b/>
          <w:lang w:val="fr-FR"/>
        </w:rPr>
        <w:t xml:space="preserve">a demandé à la Zambie, au paragraphe </w:t>
      </w:r>
      <w:r w:rsidRPr="00D05303">
        <w:rPr>
          <w:b/>
          <w:lang w:val="fr-FR"/>
        </w:rPr>
        <w:t xml:space="preserve">17 </w:t>
      </w:r>
      <w:r>
        <w:rPr>
          <w:b/>
          <w:lang w:val="fr-FR"/>
        </w:rPr>
        <w:t>de ses observations finales</w:t>
      </w:r>
      <w:r w:rsidRPr="00D05303">
        <w:rPr>
          <w:b/>
          <w:lang w:val="fr-FR"/>
        </w:rPr>
        <w:t xml:space="preserve">, </w:t>
      </w:r>
      <w:r>
        <w:rPr>
          <w:b/>
          <w:lang w:val="fr-FR"/>
        </w:rPr>
        <w:t>de donner dans son prochain rapport périodique des renseignements statistiques sur les plaintes pour discrimination raciale déposées auprès des tribunaux nationaux et de la Commission zambienne des droits de l’homme, et sur le sort qui leur a été réservé</w:t>
      </w:r>
      <w:r w:rsidRPr="00D05303">
        <w:rPr>
          <w:lang w:val="fr-FR"/>
        </w:rPr>
        <w:t>.</w:t>
      </w:r>
    </w:p>
    <w:p w:rsidR="00786D88" w:rsidRPr="00D05303" w:rsidRDefault="00DC5A77" w:rsidP="00786D88">
      <w:pPr>
        <w:pStyle w:val="H23G"/>
        <w:rPr>
          <w:lang w:val="fr-FR"/>
        </w:rPr>
      </w:pPr>
      <w:r>
        <w:rPr>
          <w:lang w:val="fr-FR"/>
        </w:rPr>
        <w:lastRenderedPageBreak/>
        <w:tab/>
      </w:r>
      <w:r>
        <w:rPr>
          <w:lang w:val="fr-FR"/>
        </w:rPr>
        <w:tab/>
      </w:r>
      <w:r w:rsidR="00786D88" w:rsidRPr="00D05303">
        <w:rPr>
          <w:lang w:val="fr-FR"/>
        </w:rPr>
        <w:t>R</w:t>
      </w:r>
      <w:r w:rsidR="00786D88">
        <w:rPr>
          <w:lang w:val="fr-FR"/>
        </w:rPr>
        <w:t>é</w:t>
      </w:r>
      <w:r w:rsidR="00786D88" w:rsidRPr="00D05303">
        <w:rPr>
          <w:lang w:val="fr-FR"/>
        </w:rPr>
        <w:t>ponse</w:t>
      </w:r>
    </w:p>
    <w:p w:rsidR="00786D88" w:rsidRPr="00D05303" w:rsidRDefault="00786D88" w:rsidP="00DC5A77">
      <w:pPr>
        <w:pStyle w:val="H23G"/>
        <w:rPr>
          <w:lang w:val="fr-FR"/>
        </w:rPr>
      </w:pPr>
      <w:r w:rsidRPr="00D05303">
        <w:rPr>
          <w:lang w:val="fr-FR"/>
        </w:rPr>
        <w:tab/>
        <w:t>A.</w:t>
      </w:r>
      <w:r w:rsidRPr="00D05303">
        <w:rPr>
          <w:lang w:val="fr-FR"/>
        </w:rPr>
        <w:tab/>
      </w:r>
      <w:r>
        <w:rPr>
          <w:lang w:val="fr-FR"/>
        </w:rPr>
        <w:t xml:space="preserve">Tribunaux nationaux </w:t>
      </w:r>
    </w:p>
    <w:p w:rsidR="00786D88" w:rsidRPr="00D05303" w:rsidRDefault="00786D88" w:rsidP="00786D88">
      <w:pPr>
        <w:pStyle w:val="SingleTxtG"/>
        <w:rPr>
          <w:b/>
          <w:lang w:val="fr-FR"/>
        </w:rPr>
      </w:pPr>
      <w:r w:rsidRPr="00D05303">
        <w:rPr>
          <w:lang w:val="fr-FR"/>
        </w:rPr>
        <w:t>31.</w:t>
      </w:r>
      <w:r w:rsidRPr="00D05303">
        <w:rPr>
          <w:lang w:val="fr-FR"/>
        </w:rPr>
        <w:tab/>
        <w:t xml:space="preserve">L’État partie </w:t>
      </w:r>
      <w:r>
        <w:rPr>
          <w:lang w:val="fr-FR"/>
        </w:rPr>
        <w:t>tient à indiquer qu’aucune plainte pour discrimination raciale n’a été déposée auprès des tribunaux. Aucun renseignement statistique sur les plaintes pour discrimination raciale ne peut donc être inclus dans le rapport</w:t>
      </w:r>
      <w:r w:rsidRPr="00D05303">
        <w:rPr>
          <w:lang w:val="fr-FR"/>
        </w:rPr>
        <w:t>.</w:t>
      </w:r>
    </w:p>
    <w:p w:rsidR="00786D88" w:rsidRPr="00D05303" w:rsidRDefault="00786D88" w:rsidP="00DC5A77">
      <w:pPr>
        <w:pStyle w:val="H23G"/>
        <w:rPr>
          <w:lang w:val="fr-FR"/>
        </w:rPr>
      </w:pPr>
      <w:r w:rsidRPr="00D05303">
        <w:rPr>
          <w:lang w:val="fr-FR"/>
        </w:rPr>
        <w:tab/>
        <w:t>B.</w:t>
      </w:r>
      <w:r w:rsidRPr="00D05303">
        <w:rPr>
          <w:lang w:val="fr-FR"/>
        </w:rPr>
        <w:tab/>
      </w:r>
      <w:r>
        <w:rPr>
          <w:lang w:val="fr-FR"/>
        </w:rPr>
        <w:t xml:space="preserve">Commission </w:t>
      </w:r>
      <w:r w:rsidR="00DC5A77">
        <w:rPr>
          <w:lang w:val="fr-FR"/>
        </w:rPr>
        <w:t>zambienne des droits de l’homme</w:t>
      </w:r>
    </w:p>
    <w:p w:rsidR="00786D88" w:rsidRPr="00D05303" w:rsidRDefault="00786D88" w:rsidP="00786D88">
      <w:pPr>
        <w:pStyle w:val="SingleTxtG"/>
        <w:rPr>
          <w:b/>
          <w:lang w:val="fr-FR"/>
        </w:rPr>
      </w:pPr>
      <w:r w:rsidRPr="00D05303">
        <w:rPr>
          <w:lang w:val="fr-FR"/>
        </w:rPr>
        <w:t>32.</w:t>
      </w:r>
      <w:r w:rsidRPr="00D05303">
        <w:rPr>
          <w:lang w:val="fr-FR"/>
        </w:rPr>
        <w:tab/>
        <w:t>L’État</w:t>
      </w:r>
      <w:r>
        <w:rPr>
          <w:lang w:val="fr-FR"/>
        </w:rPr>
        <w:t xml:space="preserve"> tient à indiquer que, depuis le dernier rapport établi en 2007, la Commission zambienne des droits de l’homme a reçu une plainte pour discrimination raciale soumise par un musulman expulsé du Comité islamique parce qu’il était noir</w:t>
      </w:r>
      <w:r w:rsidRPr="00D05303">
        <w:rPr>
          <w:lang w:val="fr-FR"/>
        </w:rPr>
        <w:t xml:space="preserve">. </w:t>
      </w:r>
      <w:r>
        <w:rPr>
          <w:lang w:val="fr-FR"/>
        </w:rPr>
        <w:t>L’enquête sur cette affaire suit son cours. Les autres affaires soumises à la Commission concernent, pour la plupart, des faits de discrimination fondée sur l’origine ethnique et émanent de certaines chefferies de l’État partie</w:t>
      </w:r>
      <w:r w:rsidRPr="00D05303">
        <w:rPr>
          <w:lang w:val="fr-FR"/>
        </w:rPr>
        <w:t>.</w:t>
      </w:r>
    </w:p>
    <w:p w:rsidR="00786D88" w:rsidRPr="00D05303" w:rsidRDefault="00786D88" w:rsidP="00DC5A77">
      <w:pPr>
        <w:pStyle w:val="H23G"/>
        <w:rPr>
          <w:lang w:val="fr-FR"/>
        </w:rPr>
      </w:pPr>
      <w:r w:rsidRPr="00D05303">
        <w:rPr>
          <w:lang w:val="fr-FR"/>
        </w:rPr>
        <w:tab/>
        <w:t>C.</w:t>
      </w:r>
      <w:r w:rsidRPr="00D05303">
        <w:rPr>
          <w:lang w:val="fr-FR"/>
        </w:rPr>
        <w:tab/>
      </w:r>
      <w:r>
        <w:rPr>
          <w:lang w:val="fr-FR"/>
        </w:rPr>
        <w:t xml:space="preserve">Affaires de discrimination raciale portées devant d’autres institutions </w:t>
      </w:r>
    </w:p>
    <w:p w:rsidR="00786D88" w:rsidRPr="00D05303" w:rsidRDefault="00786D88" w:rsidP="00786D88">
      <w:pPr>
        <w:pStyle w:val="SingleTxtG"/>
        <w:rPr>
          <w:spacing w:val="-1"/>
          <w:lang w:val="fr-FR"/>
        </w:rPr>
      </w:pPr>
      <w:r w:rsidRPr="00D05303">
        <w:rPr>
          <w:spacing w:val="-1"/>
          <w:lang w:val="fr-FR"/>
        </w:rPr>
        <w:t>33.</w:t>
      </w:r>
      <w:r w:rsidRPr="00D05303">
        <w:rPr>
          <w:spacing w:val="-1"/>
          <w:lang w:val="fr-FR"/>
        </w:rPr>
        <w:tab/>
        <w:t xml:space="preserve">L’État partie </w:t>
      </w:r>
      <w:r>
        <w:rPr>
          <w:spacing w:val="-1"/>
          <w:lang w:val="fr-FR"/>
        </w:rPr>
        <w:t>tient à indiquer que, durant la période allant de</w:t>
      </w:r>
      <w:r w:rsidR="00DC5A77">
        <w:rPr>
          <w:spacing w:val="-1"/>
          <w:lang w:val="fr-FR"/>
        </w:rPr>
        <w:t xml:space="preserve"> </w:t>
      </w:r>
      <w:r>
        <w:rPr>
          <w:spacing w:val="-1"/>
          <w:lang w:val="fr-FR"/>
        </w:rPr>
        <w:t>2007 à</w:t>
      </w:r>
      <w:r w:rsidR="00DC5A77">
        <w:rPr>
          <w:spacing w:val="-1"/>
          <w:lang w:val="fr-FR"/>
        </w:rPr>
        <w:t xml:space="preserve"> </w:t>
      </w:r>
      <w:r>
        <w:rPr>
          <w:spacing w:val="-1"/>
          <w:lang w:val="fr-FR"/>
        </w:rPr>
        <w:t>2017, le Ministère du travail et de la sécurité sociale a été saisi de six affaires de discrimination raciale pour emploi de termes péjoratifs et actes de victimisation. Des enquêtes ont été menées et des mesures appropriées ont été prises à l’encontre des entités jugées coupables de discrimination </w:t>
      </w:r>
      <w:r w:rsidRPr="00D05303">
        <w:rPr>
          <w:spacing w:val="-1"/>
          <w:lang w:val="fr-FR"/>
        </w:rPr>
        <w:t>:</w:t>
      </w:r>
    </w:p>
    <w:p w:rsidR="00786D88" w:rsidRPr="00D05303" w:rsidRDefault="00786D88" w:rsidP="00786D88">
      <w:pPr>
        <w:pStyle w:val="SingleTxtG"/>
        <w:ind w:firstLine="567"/>
        <w:rPr>
          <w:lang w:val="fr-FR"/>
        </w:rPr>
      </w:pPr>
      <w:r w:rsidRPr="00D05303">
        <w:rPr>
          <w:lang w:val="fr-FR"/>
        </w:rPr>
        <w:t>i)</w:t>
      </w:r>
      <w:r w:rsidRPr="00D05303">
        <w:rPr>
          <w:lang w:val="fr-FR"/>
        </w:rPr>
        <w:tab/>
      </w:r>
      <w:proofErr w:type="spellStart"/>
      <w:r w:rsidRPr="00D05303">
        <w:rPr>
          <w:lang w:val="fr-FR"/>
        </w:rPr>
        <w:t>Southern</w:t>
      </w:r>
      <w:proofErr w:type="spellEnd"/>
      <w:r w:rsidRPr="00D05303">
        <w:rPr>
          <w:lang w:val="fr-FR"/>
        </w:rPr>
        <w:t xml:space="preserve"> Sun </w:t>
      </w:r>
      <w:proofErr w:type="spellStart"/>
      <w:r w:rsidRPr="00D05303">
        <w:rPr>
          <w:lang w:val="fr-FR"/>
        </w:rPr>
        <w:t>Hotel</w:t>
      </w:r>
      <w:proofErr w:type="spellEnd"/>
      <w:r w:rsidRPr="00D05303">
        <w:rPr>
          <w:lang w:val="fr-FR"/>
        </w:rPr>
        <w:t xml:space="preserve"> </w:t>
      </w:r>
      <w:r w:rsidR="00DC5A77">
        <w:rPr>
          <w:lang w:val="fr-FR"/>
        </w:rPr>
        <w:t>−</w:t>
      </w:r>
      <w:r w:rsidRPr="00D05303">
        <w:rPr>
          <w:lang w:val="fr-FR"/>
        </w:rPr>
        <w:t xml:space="preserve"> </w:t>
      </w:r>
      <w:r>
        <w:rPr>
          <w:lang w:val="fr-FR"/>
        </w:rPr>
        <w:t>dans cette affaire, les employés zambiens se sont plaints des propos injurieux tenus par les employés expatriés à leur égard ; ils se sont aussi plaints d’être rémunérés suivant un barème inférieur à celui utilisé pour les expatriés et d’être moins bien traités que ces derniers</w:t>
      </w:r>
      <w:r w:rsidRPr="00D05303">
        <w:rPr>
          <w:lang w:val="fr-FR"/>
        </w:rPr>
        <w:t xml:space="preserve">. </w:t>
      </w:r>
      <w:r>
        <w:rPr>
          <w:lang w:val="fr-FR"/>
        </w:rPr>
        <w:t>La société a reçu un avertissement </w:t>
      </w:r>
      <w:r w:rsidRPr="00D05303">
        <w:rPr>
          <w:lang w:val="fr-FR"/>
        </w:rPr>
        <w:t>;</w:t>
      </w:r>
    </w:p>
    <w:p w:rsidR="00786D88" w:rsidRPr="00D05303" w:rsidRDefault="00786D88" w:rsidP="00786D88">
      <w:pPr>
        <w:pStyle w:val="SingleTxtG"/>
        <w:ind w:firstLine="567"/>
        <w:rPr>
          <w:lang w:val="fr-FR"/>
        </w:rPr>
      </w:pPr>
      <w:r w:rsidRPr="00D05303">
        <w:rPr>
          <w:lang w:val="fr-FR"/>
        </w:rPr>
        <w:t>ii)</w:t>
      </w:r>
      <w:r w:rsidRPr="00D05303">
        <w:rPr>
          <w:lang w:val="fr-FR"/>
        </w:rPr>
        <w:tab/>
      </w:r>
      <w:proofErr w:type="spellStart"/>
      <w:r w:rsidRPr="00D05303">
        <w:rPr>
          <w:lang w:val="fr-FR"/>
        </w:rPr>
        <w:t>Mundawanga</w:t>
      </w:r>
      <w:proofErr w:type="spellEnd"/>
      <w:r w:rsidRPr="00D05303">
        <w:rPr>
          <w:lang w:val="fr-FR"/>
        </w:rPr>
        <w:t xml:space="preserve"> </w:t>
      </w:r>
      <w:proofErr w:type="spellStart"/>
      <w:r w:rsidRPr="00D05303">
        <w:rPr>
          <w:lang w:val="fr-FR"/>
        </w:rPr>
        <w:t>Botanical</w:t>
      </w:r>
      <w:proofErr w:type="spellEnd"/>
      <w:r w:rsidRPr="00D05303">
        <w:rPr>
          <w:lang w:val="fr-FR"/>
        </w:rPr>
        <w:t xml:space="preserve"> Gardens </w:t>
      </w:r>
      <w:r w:rsidR="00DC5A77">
        <w:rPr>
          <w:lang w:val="fr-FR"/>
        </w:rPr>
        <w:t>−</w:t>
      </w:r>
      <w:r w:rsidRPr="00D05303">
        <w:rPr>
          <w:lang w:val="fr-FR"/>
        </w:rPr>
        <w:t xml:space="preserve"> </w:t>
      </w:r>
      <w:r>
        <w:rPr>
          <w:lang w:val="fr-FR"/>
        </w:rPr>
        <w:t>dans cette affaire, les employés zambiens se sont plaints des propos injurieux tenus à leur égard par des employés expatriés ; ils se sont aussi plaints d’être moins bien traités que ces derniers. La société a reçu un avertissement </w:t>
      </w:r>
      <w:r w:rsidRPr="00D05303">
        <w:rPr>
          <w:lang w:val="fr-FR"/>
        </w:rPr>
        <w:t>;</w:t>
      </w:r>
    </w:p>
    <w:p w:rsidR="00786D88" w:rsidRPr="00D05303" w:rsidRDefault="00786D88" w:rsidP="00717A51">
      <w:pPr>
        <w:pStyle w:val="SingleTxtG"/>
        <w:ind w:firstLine="567"/>
        <w:rPr>
          <w:lang w:val="fr-FR"/>
        </w:rPr>
      </w:pPr>
      <w:r w:rsidRPr="00D05303">
        <w:rPr>
          <w:lang w:val="fr-FR"/>
        </w:rPr>
        <w:t>iii)</w:t>
      </w:r>
      <w:r w:rsidRPr="00D05303">
        <w:rPr>
          <w:lang w:val="fr-FR"/>
        </w:rPr>
        <w:tab/>
      </w:r>
      <w:proofErr w:type="spellStart"/>
      <w:r w:rsidRPr="00D05303">
        <w:rPr>
          <w:lang w:val="fr-FR"/>
        </w:rPr>
        <w:t>Kansanshi</w:t>
      </w:r>
      <w:proofErr w:type="spellEnd"/>
      <w:r w:rsidRPr="00D05303">
        <w:rPr>
          <w:lang w:val="fr-FR"/>
        </w:rPr>
        <w:t xml:space="preserve"> Mining PLC </w:t>
      </w:r>
      <w:r w:rsidR="00DC5A77">
        <w:rPr>
          <w:lang w:val="fr-FR"/>
        </w:rPr>
        <w:t>−</w:t>
      </w:r>
      <w:r w:rsidRPr="00D05303">
        <w:rPr>
          <w:lang w:val="fr-FR"/>
        </w:rPr>
        <w:t xml:space="preserve"> </w:t>
      </w:r>
      <w:r>
        <w:rPr>
          <w:lang w:val="fr-FR"/>
        </w:rPr>
        <w:t xml:space="preserve">dans cette affaire, les employés zambiens se sont plaints des propos injurieux tenus à leur égard par les employés expatriés ; </w:t>
      </w:r>
      <w:r w:rsidRPr="00E26C70">
        <w:rPr>
          <w:lang w:val="fr-FR"/>
        </w:rPr>
        <w:t>ils se sont aussi plaints d’être rémunérés suivant un barème inférieur à celui utilisé pour les expatriés et d’être moins bien traités que ces derniers</w:t>
      </w:r>
      <w:r>
        <w:rPr>
          <w:lang w:val="fr-FR"/>
        </w:rPr>
        <w:t>. L’enquête a établi que ces allégations étaient fausses </w:t>
      </w:r>
      <w:r w:rsidRPr="00D05303">
        <w:rPr>
          <w:lang w:val="fr-FR"/>
        </w:rPr>
        <w:t>;</w:t>
      </w:r>
    </w:p>
    <w:p w:rsidR="00786D88" w:rsidRPr="00D05303" w:rsidRDefault="00786D88" w:rsidP="00786D88">
      <w:pPr>
        <w:pStyle w:val="SingleTxtG"/>
        <w:ind w:left="1170" w:firstLine="540"/>
        <w:rPr>
          <w:lang w:val="fr-FR"/>
        </w:rPr>
      </w:pPr>
      <w:r w:rsidRPr="00D05303">
        <w:rPr>
          <w:lang w:val="fr-FR"/>
        </w:rPr>
        <w:t>iv)</w:t>
      </w:r>
      <w:r w:rsidRPr="00D05303">
        <w:rPr>
          <w:lang w:val="fr-FR"/>
        </w:rPr>
        <w:tab/>
      </w:r>
      <w:proofErr w:type="spellStart"/>
      <w:r w:rsidRPr="00D05303">
        <w:rPr>
          <w:lang w:val="fr-FR"/>
        </w:rPr>
        <w:t>Zambezi</w:t>
      </w:r>
      <w:proofErr w:type="spellEnd"/>
      <w:r w:rsidRPr="00D05303">
        <w:rPr>
          <w:lang w:val="fr-FR"/>
        </w:rPr>
        <w:t xml:space="preserve"> Portland </w:t>
      </w:r>
      <w:proofErr w:type="spellStart"/>
      <w:r w:rsidRPr="00D05303">
        <w:rPr>
          <w:lang w:val="fr-FR"/>
        </w:rPr>
        <w:t>Cement</w:t>
      </w:r>
      <w:proofErr w:type="spellEnd"/>
      <w:r w:rsidRPr="00D05303">
        <w:rPr>
          <w:lang w:val="fr-FR"/>
        </w:rPr>
        <w:t xml:space="preserve"> </w:t>
      </w:r>
      <w:r w:rsidR="00DC5A77">
        <w:rPr>
          <w:lang w:val="fr-FR"/>
        </w:rPr>
        <w:t>−</w:t>
      </w:r>
      <w:r w:rsidRPr="00D05303">
        <w:rPr>
          <w:lang w:val="fr-FR"/>
        </w:rPr>
        <w:t xml:space="preserve"> </w:t>
      </w:r>
      <w:r w:rsidRPr="000D621C">
        <w:rPr>
          <w:lang w:val="fr-FR"/>
        </w:rPr>
        <w:t xml:space="preserve">dans cette affaire, les employés zambiens se sont plaints des propos injurieux tenus à leur égard par </w:t>
      </w:r>
      <w:r>
        <w:rPr>
          <w:lang w:val="fr-FR"/>
        </w:rPr>
        <w:t>l’employé expatrié. Ce dernier a été expulsé </w:t>
      </w:r>
      <w:r w:rsidRPr="00D05303">
        <w:rPr>
          <w:lang w:val="fr-FR"/>
        </w:rPr>
        <w:t>;</w:t>
      </w:r>
    </w:p>
    <w:p w:rsidR="00786D88" w:rsidRPr="00D05303" w:rsidRDefault="00786D88" w:rsidP="00786D88">
      <w:pPr>
        <w:pStyle w:val="SingleTxtG"/>
        <w:ind w:left="1170" w:firstLine="540"/>
        <w:rPr>
          <w:lang w:val="fr-FR"/>
        </w:rPr>
      </w:pPr>
      <w:r w:rsidRPr="00D05303">
        <w:rPr>
          <w:lang w:val="fr-FR"/>
        </w:rPr>
        <w:t>v)</w:t>
      </w:r>
      <w:r w:rsidRPr="00D05303">
        <w:rPr>
          <w:lang w:val="fr-FR"/>
        </w:rPr>
        <w:tab/>
      </w:r>
      <w:proofErr w:type="spellStart"/>
      <w:r w:rsidRPr="00D05303">
        <w:rPr>
          <w:lang w:val="fr-FR"/>
        </w:rPr>
        <w:t>Allied</w:t>
      </w:r>
      <w:proofErr w:type="spellEnd"/>
      <w:r w:rsidRPr="00D05303">
        <w:rPr>
          <w:lang w:val="fr-FR"/>
        </w:rPr>
        <w:t xml:space="preserve"> Mobile </w:t>
      </w:r>
      <w:r w:rsidR="00DC5A77">
        <w:rPr>
          <w:lang w:val="fr-FR"/>
        </w:rPr>
        <w:t>−</w:t>
      </w:r>
      <w:r w:rsidRPr="00D05303">
        <w:rPr>
          <w:lang w:val="fr-FR"/>
        </w:rPr>
        <w:t xml:space="preserve"> </w:t>
      </w:r>
      <w:r w:rsidRPr="000D621C">
        <w:rPr>
          <w:lang w:val="fr-FR"/>
        </w:rPr>
        <w:t xml:space="preserve">dans cette affaire, les employés zambiens se sont plaints des propos injurieux tenus à leur égard par </w:t>
      </w:r>
      <w:r>
        <w:rPr>
          <w:lang w:val="fr-FR"/>
        </w:rPr>
        <w:t xml:space="preserve">un </w:t>
      </w:r>
      <w:r w:rsidRPr="000D621C">
        <w:rPr>
          <w:lang w:val="fr-FR"/>
        </w:rPr>
        <w:t>employé expatrié</w:t>
      </w:r>
      <w:r>
        <w:rPr>
          <w:lang w:val="fr-FR"/>
        </w:rPr>
        <w:t xml:space="preserve"> ; ils se sont aussi plaints </w:t>
      </w:r>
      <w:r w:rsidRPr="000D621C">
        <w:rPr>
          <w:lang w:val="fr-FR"/>
        </w:rPr>
        <w:t xml:space="preserve">d’être </w:t>
      </w:r>
      <w:r>
        <w:rPr>
          <w:lang w:val="fr-FR"/>
        </w:rPr>
        <w:t xml:space="preserve">moins bien </w:t>
      </w:r>
      <w:r w:rsidRPr="000D621C">
        <w:rPr>
          <w:lang w:val="fr-FR"/>
        </w:rPr>
        <w:t>traités que</w:t>
      </w:r>
      <w:r>
        <w:rPr>
          <w:lang w:val="fr-FR"/>
        </w:rPr>
        <w:t xml:space="preserve"> les employés expatriés</w:t>
      </w:r>
      <w:r w:rsidRPr="00D05303">
        <w:rPr>
          <w:lang w:val="fr-FR"/>
        </w:rPr>
        <w:t xml:space="preserve">. </w:t>
      </w:r>
      <w:r>
        <w:rPr>
          <w:lang w:val="fr-FR"/>
        </w:rPr>
        <w:t>La société a reçu un avertissement, l’employé a présenté ses excuses, puis a démissionné et quitté le pays</w:t>
      </w:r>
      <w:r w:rsidR="00DC5A77">
        <w:rPr>
          <w:lang w:val="fr-FR"/>
        </w:rPr>
        <w:t> </w:t>
      </w:r>
      <w:r>
        <w:rPr>
          <w:lang w:val="fr-FR"/>
        </w:rPr>
        <w:t xml:space="preserve">; </w:t>
      </w:r>
    </w:p>
    <w:p w:rsidR="00786D88" w:rsidRPr="00D05303" w:rsidRDefault="00786D88" w:rsidP="00786D88">
      <w:pPr>
        <w:pStyle w:val="SingleTxtG"/>
        <w:ind w:firstLine="567"/>
        <w:rPr>
          <w:lang w:val="fr-FR"/>
        </w:rPr>
      </w:pPr>
      <w:r w:rsidRPr="00D05303">
        <w:rPr>
          <w:lang w:val="fr-FR"/>
        </w:rPr>
        <w:t>vi)</w:t>
      </w:r>
      <w:r w:rsidRPr="00D05303">
        <w:rPr>
          <w:lang w:val="fr-FR"/>
        </w:rPr>
        <w:tab/>
        <w:t xml:space="preserve">Horse </w:t>
      </w:r>
      <w:proofErr w:type="spellStart"/>
      <w:r w:rsidRPr="00D05303">
        <w:rPr>
          <w:lang w:val="fr-FR"/>
        </w:rPr>
        <w:t>Shoe</w:t>
      </w:r>
      <w:proofErr w:type="spellEnd"/>
      <w:r w:rsidRPr="00D05303">
        <w:rPr>
          <w:lang w:val="fr-FR"/>
        </w:rPr>
        <w:t xml:space="preserve"> Restaurant </w:t>
      </w:r>
      <w:r w:rsidR="00DC5A77">
        <w:rPr>
          <w:lang w:val="fr-FR"/>
        </w:rPr>
        <w:t>−</w:t>
      </w:r>
      <w:r w:rsidRPr="00D05303">
        <w:rPr>
          <w:lang w:val="fr-FR"/>
        </w:rPr>
        <w:t xml:space="preserve"> </w:t>
      </w:r>
      <w:r>
        <w:rPr>
          <w:lang w:val="fr-FR"/>
        </w:rPr>
        <w:t>dans cette affaire, les employés zambiens se sont plaints d’être maltraités par les employés expatriés, de faire l’objet de propos injurieux de la part de ces derniers, d’être surchargés de travail et de ne pas être rémunérés pour les heures supplémentaires accomplies. Une plainte a été également déposée pour violation de la législation zambienne du travail par les expatriés. La société a reçu un avertissement</w:t>
      </w:r>
      <w:r w:rsidRPr="00D05303">
        <w:rPr>
          <w:lang w:val="fr-FR"/>
        </w:rPr>
        <w:t>.</w:t>
      </w:r>
    </w:p>
    <w:p w:rsidR="00786D88" w:rsidRPr="00D05303" w:rsidRDefault="00786D88" w:rsidP="00DC5A77">
      <w:pPr>
        <w:pStyle w:val="H1G"/>
        <w:rPr>
          <w:lang w:val="fr-FR"/>
        </w:rPr>
      </w:pPr>
      <w:r w:rsidRPr="00D05303">
        <w:rPr>
          <w:lang w:val="fr-FR"/>
        </w:rPr>
        <w:tab/>
        <w:t>9.</w:t>
      </w:r>
      <w:r w:rsidRPr="00D05303">
        <w:rPr>
          <w:lang w:val="fr-FR"/>
        </w:rPr>
        <w:tab/>
      </w:r>
      <w:r>
        <w:rPr>
          <w:lang w:val="fr-FR"/>
        </w:rPr>
        <w:t xml:space="preserve">Prise de conscience des droits de l’homme </w:t>
      </w:r>
    </w:p>
    <w:p w:rsidR="00786D88" w:rsidRPr="00D05303" w:rsidRDefault="00786D88" w:rsidP="00DC5A77">
      <w:pPr>
        <w:pStyle w:val="H23G"/>
        <w:rPr>
          <w:lang w:val="fr-FR"/>
        </w:rPr>
      </w:pPr>
      <w:r w:rsidRPr="00D05303">
        <w:rPr>
          <w:lang w:val="fr-FR"/>
        </w:rPr>
        <w:tab/>
      </w:r>
      <w:r w:rsidRPr="00D05303">
        <w:rPr>
          <w:lang w:val="fr-FR"/>
        </w:rPr>
        <w:tab/>
        <w:t>Observation finale</w:t>
      </w:r>
    </w:p>
    <w:p w:rsidR="00786D88" w:rsidRPr="00D05303" w:rsidRDefault="00786D88" w:rsidP="00786D88">
      <w:pPr>
        <w:pStyle w:val="SingleTxtG"/>
        <w:rPr>
          <w:b/>
          <w:lang w:val="fr-FR"/>
        </w:rPr>
      </w:pPr>
      <w:r w:rsidRPr="00D05303">
        <w:rPr>
          <w:lang w:val="fr-FR"/>
        </w:rPr>
        <w:t>34.</w:t>
      </w:r>
      <w:r w:rsidRPr="00D05303">
        <w:rPr>
          <w:lang w:val="fr-FR"/>
        </w:rPr>
        <w:tab/>
      </w:r>
      <w:r w:rsidRPr="003B3499">
        <w:rPr>
          <w:b/>
          <w:lang w:val="fr-FR"/>
        </w:rPr>
        <w:t xml:space="preserve">Le </w:t>
      </w:r>
      <w:r>
        <w:rPr>
          <w:b/>
          <w:lang w:val="fr-FR"/>
        </w:rPr>
        <w:t>Comité</w:t>
      </w:r>
      <w:r w:rsidRPr="00D05303">
        <w:rPr>
          <w:b/>
          <w:lang w:val="fr-FR"/>
        </w:rPr>
        <w:t xml:space="preserve"> </w:t>
      </w:r>
      <w:r>
        <w:rPr>
          <w:b/>
          <w:lang w:val="fr-FR"/>
        </w:rPr>
        <w:t xml:space="preserve">s’est déclaré préoccupé, au paragraphe </w:t>
      </w:r>
      <w:r w:rsidRPr="00D05303">
        <w:rPr>
          <w:b/>
          <w:lang w:val="fr-FR"/>
        </w:rPr>
        <w:t xml:space="preserve">19 </w:t>
      </w:r>
      <w:r>
        <w:rPr>
          <w:b/>
          <w:lang w:val="fr-FR"/>
        </w:rPr>
        <w:t xml:space="preserve">de ses observations finales, par le fait que la plupart des personnes vivant en Zambie ne connaissent pas leurs droits et ont donc du mal à demander réparation lorsque ces droits sont violés et, </w:t>
      </w:r>
      <w:r>
        <w:rPr>
          <w:b/>
          <w:lang w:val="fr-FR"/>
        </w:rPr>
        <w:lastRenderedPageBreak/>
        <w:t>à cet égard, a recommandé à la Zambie de redoubler d’efforts pour faire prendre conscience de leurs droits aux Zambiens, informer les victimes des voies de recours qui leur sont ouvertes, leur rendre la justice plus accessible et former dans le même sens que les magistrats, les avocats et les personnels chargés de faire appliquer les lois</w:t>
      </w:r>
      <w:r w:rsidRPr="00D05303">
        <w:rPr>
          <w:lang w:val="fr-FR"/>
        </w:rPr>
        <w:t>.</w:t>
      </w:r>
    </w:p>
    <w:p w:rsidR="00786D88" w:rsidRPr="00D05303" w:rsidRDefault="00786D88" w:rsidP="00DC5A77">
      <w:pPr>
        <w:pStyle w:val="H23G"/>
        <w:rPr>
          <w:lang w:val="fr-FR"/>
        </w:rPr>
      </w:pPr>
      <w:r w:rsidRPr="00D05303">
        <w:rPr>
          <w:lang w:val="fr-FR"/>
        </w:rPr>
        <w:tab/>
      </w:r>
      <w:r w:rsidRPr="00D05303">
        <w:rPr>
          <w:lang w:val="fr-FR"/>
        </w:rPr>
        <w:tab/>
        <w:t>R</w:t>
      </w:r>
      <w:r>
        <w:rPr>
          <w:lang w:val="fr-FR"/>
        </w:rPr>
        <w:t>é</w:t>
      </w:r>
      <w:r w:rsidRPr="00D05303">
        <w:rPr>
          <w:lang w:val="fr-FR"/>
        </w:rPr>
        <w:t>ponse</w:t>
      </w:r>
    </w:p>
    <w:p w:rsidR="00786D88" w:rsidRPr="00D05303" w:rsidRDefault="00786D88" w:rsidP="00786D88">
      <w:pPr>
        <w:pStyle w:val="SingleTxtG"/>
        <w:rPr>
          <w:lang w:val="fr-FR"/>
        </w:rPr>
      </w:pPr>
      <w:r w:rsidRPr="00D05303">
        <w:rPr>
          <w:lang w:val="fr-FR"/>
        </w:rPr>
        <w:t>35.</w:t>
      </w:r>
      <w:r w:rsidRPr="00D05303">
        <w:rPr>
          <w:lang w:val="fr-FR"/>
        </w:rPr>
        <w:tab/>
        <w:t xml:space="preserve">L’État partie </w:t>
      </w:r>
      <w:r>
        <w:rPr>
          <w:lang w:val="fr-FR"/>
        </w:rPr>
        <w:t>tient à indiquer qu’il a pris des mesures pour mieux faire connaître ses droits à la population</w:t>
      </w:r>
      <w:r w:rsidRPr="00D05303">
        <w:rPr>
          <w:lang w:val="fr-FR"/>
        </w:rPr>
        <w:t xml:space="preserve">. </w:t>
      </w:r>
      <w:r>
        <w:rPr>
          <w:lang w:val="fr-FR"/>
        </w:rPr>
        <w:t>Le Comité</w:t>
      </w:r>
      <w:r w:rsidRPr="00D05303">
        <w:rPr>
          <w:lang w:val="fr-FR"/>
        </w:rPr>
        <w:t xml:space="preserve"> </w:t>
      </w:r>
      <w:r>
        <w:rPr>
          <w:lang w:val="fr-FR"/>
        </w:rPr>
        <w:t xml:space="preserve">pourrait vouloir prendre note du fait que, outre les programmes d’information sur les droits de l’homme menés par la Commission zambienne des droits de l’homme, des programmes de sensibilisation sont poursuivis en ce domaine </w:t>
      </w:r>
      <w:r w:rsidRPr="00DC5A77">
        <w:rPr>
          <w:spacing w:val="-2"/>
          <w:lang w:val="fr-FR"/>
        </w:rPr>
        <w:t>par d’autres institutions publiques, conjointement à des organisations non</w:t>
      </w:r>
      <w:r>
        <w:rPr>
          <w:lang w:val="fr-FR"/>
        </w:rPr>
        <w:t xml:space="preserve"> gouvernementales locales, des organisations confessionnelles, des organisations de la société civile, la Commission parlementaire des droits de l’homme et d’autres acteurs étatiques</w:t>
      </w:r>
      <w:r w:rsidRPr="00D05303">
        <w:rPr>
          <w:lang w:val="fr-FR"/>
        </w:rPr>
        <w:t>.</w:t>
      </w:r>
    </w:p>
    <w:p w:rsidR="00786D88" w:rsidRPr="00D05303" w:rsidRDefault="00786D88" w:rsidP="00786D88">
      <w:pPr>
        <w:pStyle w:val="SingleTxtG"/>
        <w:rPr>
          <w:lang w:val="fr-FR"/>
        </w:rPr>
      </w:pPr>
      <w:r w:rsidRPr="00D05303">
        <w:rPr>
          <w:lang w:val="fr-FR"/>
        </w:rPr>
        <w:t>36.</w:t>
      </w:r>
      <w:r w:rsidRPr="00D05303">
        <w:rPr>
          <w:lang w:val="fr-FR"/>
        </w:rPr>
        <w:tab/>
        <w:t xml:space="preserve">L’État partie </w:t>
      </w:r>
      <w:r>
        <w:rPr>
          <w:lang w:val="fr-FR"/>
        </w:rPr>
        <w:t>tient à indiquer que des efforts de sensibilisation des chefs traditionnels et de certains membres de la population ont été menés dans le but de faire mieux prendre conscience aux dirigeants locaux des formes de violence sexiste et des droits de l’homme et, ce faisant, de mieux les informer ainsi que la population, de ces questions</w:t>
      </w:r>
      <w:r w:rsidRPr="00D05303">
        <w:rPr>
          <w:lang w:val="fr-FR"/>
        </w:rPr>
        <w:t>.</w:t>
      </w:r>
    </w:p>
    <w:p w:rsidR="00786D88" w:rsidRPr="00D05303" w:rsidRDefault="00786D88" w:rsidP="00786D88">
      <w:pPr>
        <w:pStyle w:val="SingleTxtG"/>
        <w:rPr>
          <w:lang w:val="fr-FR"/>
        </w:rPr>
      </w:pPr>
      <w:r w:rsidRPr="00D05303">
        <w:rPr>
          <w:lang w:val="fr-FR"/>
        </w:rPr>
        <w:t>37.</w:t>
      </w:r>
      <w:r w:rsidRPr="00D05303">
        <w:rPr>
          <w:lang w:val="fr-FR"/>
        </w:rPr>
        <w:tab/>
        <w:t xml:space="preserve">L’État partie </w:t>
      </w:r>
      <w:r>
        <w:rPr>
          <w:lang w:val="fr-FR"/>
        </w:rPr>
        <w:t>tient à indiquer que les autorités judiciaires organisent des conférences annuelles à l’intention des juges qui portent, entre autres, sur les questions relatives aux droits de l’homme</w:t>
      </w:r>
      <w:r w:rsidRPr="00D05303">
        <w:rPr>
          <w:lang w:val="fr-FR"/>
        </w:rPr>
        <w:t>.</w:t>
      </w:r>
    </w:p>
    <w:p w:rsidR="00786D88" w:rsidRPr="00D05303" w:rsidRDefault="00786D88" w:rsidP="00786D88">
      <w:pPr>
        <w:pStyle w:val="SingleTxtG"/>
        <w:rPr>
          <w:lang w:val="fr-FR"/>
        </w:rPr>
      </w:pPr>
      <w:r w:rsidRPr="00D05303">
        <w:rPr>
          <w:lang w:val="fr-FR"/>
        </w:rPr>
        <w:t>38.</w:t>
      </w:r>
      <w:r w:rsidRPr="00D05303">
        <w:rPr>
          <w:lang w:val="fr-FR"/>
        </w:rPr>
        <w:tab/>
      </w:r>
      <w:r>
        <w:rPr>
          <w:lang w:val="fr-FR"/>
        </w:rPr>
        <w:t>En 2015, préalablement aux élections tripartites, la Commission zambienne des droits de l’homme a entrepris de sensibiliser les services chargés de l’application des lois à la nécessité d’assurer le respect des droits de l’homme. Elle a également organisé un atelier d’une durée de deux jours à l’intention des services correctionnels pour rappeler aux agents de ces services que les détenus ont le droit de participer aux élections</w:t>
      </w:r>
      <w:r w:rsidRPr="00D05303">
        <w:rPr>
          <w:lang w:val="fr-FR"/>
        </w:rPr>
        <w:t xml:space="preserve">. </w:t>
      </w:r>
      <w:r>
        <w:rPr>
          <w:lang w:val="fr-FR"/>
        </w:rPr>
        <w:t>La Commission des droits de l’homme a par ailleurs révisé le manuel des élections durant l’année. Treize programmes télévisés ont été diffusés préalablement aux élections dans le but de faire prendre conscience à la population des droits de l’homme. Par suite de la révision de la</w:t>
      </w:r>
      <w:r w:rsidRPr="00D05303">
        <w:rPr>
          <w:lang w:val="fr-FR"/>
        </w:rPr>
        <w:t xml:space="preserve"> Constitution</w:t>
      </w:r>
      <w:r>
        <w:rPr>
          <w:lang w:val="fr-FR"/>
        </w:rPr>
        <w:t xml:space="preserve"> en application de la loi</w:t>
      </w:r>
      <w:r w:rsidR="00DC5A77">
        <w:rPr>
          <w:lang w:val="fr-FR"/>
        </w:rPr>
        <w:t xml:space="preserve"> </w:t>
      </w:r>
      <w:r w:rsidR="00DC5A77" w:rsidRPr="00DC5A77">
        <w:rPr>
          <w:rFonts w:eastAsia="MS Mincho"/>
          <w:szCs w:val="22"/>
          <w:lang w:val="fr-FR"/>
        </w:rPr>
        <w:t>n</w:t>
      </w:r>
      <w:r w:rsidR="00DC5A77" w:rsidRPr="00DC5A77">
        <w:rPr>
          <w:rFonts w:eastAsia="MS Mincho"/>
          <w:szCs w:val="22"/>
          <w:vertAlign w:val="superscript"/>
          <w:lang w:val="fr-FR"/>
        </w:rPr>
        <w:t>o</w:t>
      </w:r>
      <w:r w:rsidR="00DC5A77">
        <w:rPr>
          <w:lang w:val="fr-FR"/>
        </w:rPr>
        <w:t> </w:t>
      </w:r>
      <w:r>
        <w:rPr>
          <w:lang w:val="fr-FR"/>
        </w:rPr>
        <w:t>2 de</w:t>
      </w:r>
      <w:r w:rsidRPr="00D05303">
        <w:rPr>
          <w:lang w:val="fr-FR"/>
        </w:rPr>
        <w:t xml:space="preserve"> 2016, </w:t>
      </w:r>
      <w:r>
        <w:rPr>
          <w:lang w:val="fr-FR"/>
        </w:rPr>
        <w:t>l’article</w:t>
      </w:r>
      <w:r w:rsidR="00AE3BFD">
        <w:rPr>
          <w:lang w:val="fr-FR"/>
        </w:rPr>
        <w:t xml:space="preserve"> </w:t>
      </w:r>
      <w:r w:rsidRPr="00D05303">
        <w:rPr>
          <w:lang w:val="fr-FR"/>
        </w:rPr>
        <w:t xml:space="preserve">46 </w:t>
      </w:r>
      <w:r>
        <w:rPr>
          <w:lang w:val="fr-FR"/>
        </w:rPr>
        <w:t xml:space="preserve">de la </w:t>
      </w:r>
      <w:r w:rsidRPr="00D05303">
        <w:rPr>
          <w:lang w:val="fr-FR"/>
        </w:rPr>
        <w:t>Constitution</w:t>
      </w:r>
      <w:r>
        <w:rPr>
          <w:lang w:val="fr-FR"/>
        </w:rPr>
        <w:t xml:space="preserve"> accorde aux détenus le droit de vote dans le cadre d’élections.</w:t>
      </w:r>
    </w:p>
    <w:p w:rsidR="00786D88" w:rsidRPr="00D05303" w:rsidRDefault="00786D88" w:rsidP="00DC5A77">
      <w:pPr>
        <w:pStyle w:val="H1G"/>
        <w:rPr>
          <w:lang w:val="fr-FR"/>
        </w:rPr>
      </w:pPr>
      <w:r w:rsidRPr="00D05303">
        <w:rPr>
          <w:lang w:val="fr-FR"/>
        </w:rPr>
        <w:tab/>
        <w:t>10.</w:t>
      </w:r>
      <w:r w:rsidRPr="00D05303">
        <w:rPr>
          <w:lang w:val="fr-FR"/>
        </w:rPr>
        <w:tab/>
      </w:r>
      <w:r>
        <w:rPr>
          <w:lang w:val="fr-FR"/>
        </w:rPr>
        <w:t>Exemples de mesures prises par l</w:t>
      </w:r>
      <w:r w:rsidRPr="00D05303">
        <w:rPr>
          <w:lang w:val="fr-FR"/>
        </w:rPr>
        <w:t xml:space="preserve">’État partie </w:t>
      </w:r>
      <w:r>
        <w:rPr>
          <w:lang w:val="fr-FR"/>
        </w:rPr>
        <w:t xml:space="preserve">pour faire prendre conscience des droits de l’homme et donner accès à la justice </w:t>
      </w:r>
    </w:p>
    <w:p w:rsidR="00786D88" w:rsidRPr="00D05303" w:rsidRDefault="00786D88" w:rsidP="00DC5A77">
      <w:pPr>
        <w:pStyle w:val="H23G"/>
        <w:rPr>
          <w:lang w:val="fr-FR"/>
        </w:rPr>
      </w:pPr>
      <w:r w:rsidRPr="00D05303">
        <w:rPr>
          <w:lang w:val="fr-FR"/>
        </w:rPr>
        <w:tab/>
        <w:t>A.</w:t>
      </w:r>
      <w:r w:rsidRPr="00D05303">
        <w:rPr>
          <w:lang w:val="fr-FR"/>
        </w:rPr>
        <w:tab/>
      </w:r>
      <w:r>
        <w:rPr>
          <w:lang w:val="fr-FR"/>
        </w:rPr>
        <w:t xml:space="preserve">Demande de réforme des secteurs juridique et judiciaire </w:t>
      </w:r>
    </w:p>
    <w:p w:rsidR="00786D88" w:rsidRPr="00D05303" w:rsidRDefault="00786D88" w:rsidP="00786D88">
      <w:pPr>
        <w:pStyle w:val="SingleTxtG"/>
        <w:rPr>
          <w:lang w:val="fr-FR"/>
        </w:rPr>
      </w:pPr>
      <w:r w:rsidRPr="00D05303">
        <w:rPr>
          <w:lang w:val="fr-FR"/>
        </w:rPr>
        <w:t>39.</w:t>
      </w:r>
      <w:r w:rsidRPr="00D05303">
        <w:rPr>
          <w:lang w:val="fr-FR"/>
        </w:rPr>
        <w:tab/>
        <w:t xml:space="preserve">L’État partie </w:t>
      </w:r>
      <w:r>
        <w:rPr>
          <w:lang w:val="fr-FR"/>
        </w:rPr>
        <w:t>tient à indiquer que, en 2014, il a demandé à la commission chargée de la réforme des secteurs juridiques et judiciaires de procéder à une enquête publique approfondie sur la situation de ces secteurs en Zambie et de recommander les réformes nécessaires</w:t>
      </w:r>
      <w:r w:rsidRPr="00D05303">
        <w:rPr>
          <w:lang w:val="fr-FR"/>
        </w:rPr>
        <w:t>.</w:t>
      </w:r>
    </w:p>
    <w:p w:rsidR="00786D88" w:rsidRPr="00D05303" w:rsidRDefault="00786D88" w:rsidP="00DC5A77">
      <w:pPr>
        <w:pStyle w:val="H23G"/>
        <w:rPr>
          <w:lang w:val="fr-FR"/>
        </w:rPr>
      </w:pPr>
      <w:r w:rsidRPr="00D05303">
        <w:rPr>
          <w:lang w:val="fr-FR"/>
        </w:rPr>
        <w:tab/>
        <w:t>B.</w:t>
      </w:r>
      <w:r w:rsidRPr="00D05303">
        <w:rPr>
          <w:lang w:val="fr-FR"/>
        </w:rPr>
        <w:tab/>
        <w:t>D</w:t>
      </w:r>
      <w:r>
        <w:rPr>
          <w:lang w:val="fr-FR"/>
        </w:rPr>
        <w:t>é</w:t>
      </w:r>
      <w:r w:rsidRPr="00D05303">
        <w:rPr>
          <w:lang w:val="fr-FR"/>
        </w:rPr>
        <w:t xml:space="preserve">centralisation </w:t>
      </w:r>
      <w:r>
        <w:rPr>
          <w:lang w:val="fr-FR"/>
        </w:rPr>
        <w:t xml:space="preserve">des bureaux de la Commission d’aide juridictionnelle </w:t>
      </w:r>
      <w:r w:rsidR="00DC5A77">
        <w:rPr>
          <w:lang w:val="fr-FR"/>
        </w:rPr>
        <w:br/>
      </w:r>
      <w:r>
        <w:rPr>
          <w:lang w:val="fr-FR"/>
        </w:rPr>
        <w:t xml:space="preserve">dans un plus grand nombre de districts et de provinces </w:t>
      </w:r>
    </w:p>
    <w:p w:rsidR="00786D88" w:rsidRPr="00D05303" w:rsidRDefault="00786D88" w:rsidP="00786D88">
      <w:pPr>
        <w:pStyle w:val="SingleTxtG"/>
        <w:rPr>
          <w:lang w:val="fr-FR"/>
        </w:rPr>
      </w:pPr>
      <w:r w:rsidRPr="00D05303">
        <w:rPr>
          <w:lang w:val="fr-FR"/>
        </w:rPr>
        <w:t>40.</w:t>
      </w:r>
      <w:r w:rsidRPr="00D05303">
        <w:rPr>
          <w:lang w:val="fr-FR"/>
        </w:rPr>
        <w:tab/>
      </w:r>
      <w:r>
        <w:rPr>
          <w:lang w:val="fr-FR"/>
        </w:rPr>
        <w:t xml:space="preserve">La Commission d’aide juridictionnelle, qui assure des services aux indigents, a décentralisé ses services de manière à avoir des bureaux dans les dix </w:t>
      </w:r>
      <w:r w:rsidRPr="00D05303">
        <w:rPr>
          <w:lang w:val="fr-FR"/>
        </w:rPr>
        <w:t>(10)</w:t>
      </w:r>
      <w:r w:rsidR="00DC5A77">
        <w:rPr>
          <w:lang w:val="fr-FR"/>
        </w:rPr>
        <w:t xml:space="preserve"> </w:t>
      </w:r>
      <w:r w:rsidRPr="00D05303">
        <w:rPr>
          <w:lang w:val="fr-FR"/>
        </w:rPr>
        <w:t xml:space="preserve">provinces </w:t>
      </w:r>
      <w:r>
        <w:rPr>
          <w:lang w:val="fr-FR"/>
        </w:rPr>
        <w:t>zambiennes</w:t>
      </w:r>
      <w:r w:rsidRPr="00D05303">
        <w:rPr>
          <w:lang w:val="fr-FR"/>
        </w:rPr>
        <w:t>.</w:t>
      </w:r>
    </w:p>
    <w:p w:rsidR="00786D88" w:rsidRPr="00D05303" w:rsidRDefault="00786D88" w:rsidP="00DC5A77">
      <w:pPr>
        <w:pStyle w:val="H23G"/>
        <w:rPr>
          <w:lang w:val="fr-FR"/>
        </w:rPr>
      </w:pPr>
      <w:r w:rsidRPr="00D05303">
        <w:rPr>
          <w:lang w:val="fr-FR"/>
        </w:rPr>
        <w:tab/>
        <w:t>C.</w:t>
      </w:r>
      <w:r w:rsidRPr="00D05303">
        <w:rPr>
          <w:lang w:val="fr-FR"/>
        </w:rPr>
        <w:tab/>
      </w:r>
      <w:r>
        <w:rPr>
          <w:lang w:val="fr-FR"/>
        </w:rPr>
        <w:t xml:space="preserve">Programme d’enseignement des écoles secondaires </w:t>
      </w:r>
    </w:p>
    <w:p w:rsidR="00786D88" w:rsidRPr="00D05303" w:rsidRDefault="00786D88" w:rsidP="00786D88">
      <w:pPr>
        <w:pStyle w:val="SingleTxtG"/>
        <w:rPr>
          <w:lang w:val="fr-FR"/>
        </w:rPr>
      </w:pPr>
      <w:r w:rsidRPr="00D05303">
        <w:rPr>
          <w:lang w:val="fr-FR"/>
        </w:rPr>
        <w:t>41.</w:t>
      </w:r>
      <w:r w:rsidRPr="00D05303">
        <w:rPr>
          <w:lang w:val="fr-FR"/>
        </w:rPr>
        <w:tab/>
      </w:r>
      <w:r>
        <w:rPr>
          <w:lang w:val="fr-FR"/>
        </w:rPr>
        <w:t>Le programme d’enseignement des écoles secondaires a été révisé de manière à inclure l’éducation civique</w:t>
      </w:r>
      <w:r w:rsidRPr="00D05303">
        <w:rPr>
          <w:lang w:val="fr-FR"/>
        </w:rPr>
        <w:t xml:space="preserve">. </w:t>
      </w:r>
      <w:r>
        <w:rPr>
          <w:lang w:val="fr-FR"/>
        </w:rPr>
        <w:t>Cette mesure a été prise dans le but d’intégrer l’enseignement des droits civiques dans les programmes scolaires de base</w:t>
      </w:r>
      <w:r w:rsidRPr="00D05303">
        <w:rPr>
          <w:lang w:val="fr-FR"/>
        </w:rPr>
        <w:t xml:space="preserve">. </w:t>
      </w:r>
      <w:r>
        <w:rPr>
          <w:lang w:val="fr-FR"/>
        </w:rPr>
        <w:t>L’éducation civique est maintenant offerte à tous les niveaux, de l’enseignement primaire à l’enseignement tertiaire, et contribue à faire mieux connaître les droits civiques aux élèves et à la population en général</w:t>
      </w:r>
      <w:r w:rsidRPr="00D05303">
        <w:rPr>
          <w:lang w:val="fr-FR"/>
        </w:rPr>
        <w:t>.</w:t>
      </w:r>
    </w:p>
    <w:p w:rsidR="00786D88" w:rsidRPr="00D05303" w:rsidRDefault="00786D88" w:rsidP="00786D88">
      <w:pPr>
        <w:pStyle w:val="H23G"/>
        <w:rPr>
          <w:lang w:val="fr-FR"/>
        </w:rPr>
      </w:pPr>
      <w:r w:rsidRPr="00D05303">
        <w:rPr>
          <w:lang w:val="fr-FR"/>
        </w:rPr>
        <w:lastRenderedPageBreak/>
        <w:tab/>
        <w:t>D.</w:t>
      </w:r>
      <w:r w:rsidRPr="00D05303">
        <w:rPr>
          <w:lang w:val="fr-FR"/>
        </w:rPr>
        <w:tab/>
      </w:r>
      <w:r>
        <w:rPr>
          <w:lang w:val="fr-FR"/>
        </w:rPr>
        <w:t xml:space="preserve">Ouverture de bureaux de services juridiques </w:t>
      </w:r>
    </w:p>
    <w:p w:rsidR="00786D88" w:rsidRPr="00D05303" w:rsidRDefault="00786D88" w:rsidP="00786D88">
      <w:pPr>
        <w:pStyle w:val="SingleTxtG"/>
        <w:rPr>
          <w:lang w:val="fr-FR"/>
        </w:rPr>
      </w:pPr>
      <w:r w:rsidRPr="00D05303">
        <w:rPr>
          <w:lang w:val="fr-FR"/>
        </w:rPr>
        <w:t>42.</w:t>
      </w:r>
      <w:r w:rsidRPr="00D05303">
        <w:rPr>
          <w:lang w:val="fr-FR"/>
        </w:rPr>
        <w:tab/>
      </w:r>
      <w:r>
        <w:rPr>
          <w:lang w:val="fr-FR"/>
        </w:rPr>
        <w:t>Le Gouvernement a, en collaboration avec les parties prenantes, ouvert cinq bureaux de services juridiques auprès de tribunaux en 2017. Ces bureaux opèrent, à ce jour, au tribunal d’instance de</w:t>
      </w:r>
      <w:r w:rsidRPr="00D05303">
        <w:rPr>
          <w:lang w:val="fr-FR"/>
        </w:rPr>
        <w:t xml:space="preserve"> Choma, </w:t>
      </w:r>
      <w:r>
        <w:rPr>
          <w:lang w:val="fr-FR"/>
        </w:rPr>
        <w:t xml:space="preserve">au tribunal d’instance de </w:t>
      </w:r>
      <w:r w:rsidRPr="00D05303">
        <w:rPr>
          <w:lang w:val="fr-FR"/>
        </w:rPr>
        <w:t xml:space="preserve">Lusaka, </w:t>
      </w:r>
      <w:r>
        <w:rPr>
          <w:lang w:val="fr-FR"/>
        </w:rPr>
        <w:t xml:space="preserve">au tribunal d’instance de </w:t>
      </w:r>
      <w:proofErr w:type="spellStart"/>
      <w:r w:rsidRPr="00D05303">
        <w:rPr>
          <w:lang w:val="fr-FR"/>
        </w:rPr>
        <w:t>Kitwe</w:t>
      </w:r>
      <w:proofErr w:type="spellEnd"/>
      <w:r w:rsidRPr="00D05303">
        <w:rPr>
          <w:lang w:val="fr-FR"/>
        </w:rPr>
        <w:t xml:space="preserve">, </w:t>
      </w:r>
      <w:r>
        <w:rPr>
          <w:lang w:val="fr-FR"/>
        </w:rPr>
        <w:t xml:space="preserve">au tribunal d’instance de </w:t>
      </w:r>
      <w:r w:rsidRPr="00D05303">
        <w:rPr>
          <w:lang w:val="fr-FR"/>
        </w:rPr>
        <w:t xml:space="preserve">Chingola </w:t>
      </w:r>
      <w:r>
        <w:rPr>
          <w:lang w:val="fr-FR"/>
        </w:rPr>
        <w:t>et dans la province du Nord-Ouest</w:t>
      </w:r>
      <w:r w:rsidRPr="00D05303">
        <w:rPr>
          <w:lang w:val="fr-FR"/>
        </w:rPr>
        <w:t xml:space="preserve">. </w:t>
      </w:r>
      <w:r>
        <w:rPr>
          <w:lang w:val="fr-FR"/>
        </w:rPr>
        <w:t xml:space="preserve">Le programme est dirigé par le Ministère de la justice avec l’appui de </w:t>
      </w:r>
      <w:r w:rsidRPr="00DA72C4">
        <w:rPr>
          <w:lang w:val="fr-FR"/>
        </w:rPr>
        <w:t xml:space="preserve">Gesellschaft </w:t>
      </w:r>
      <w:proofErr w:type="spellStart"/>
      <w:r w:rsidRPr="00DA72C4">
        <w:rPr>
          <w:lang w:val="fr-FR"/>
        </w:rPr>
        <w:t>f</w:t>
      </w:r>
      <w:r w:rsidR="00717A51">
        <w:rPr>
          <w:lang w:val="fr-FR"/>
        </w:rPr>
        <w:t>ü</w:t>
      </w:r>
      <w:r w:rsidRPr="00DA72C4">
        <w:rPr>
          <w:lang w:val="fr-FR"/>
        </w:rPr>
        <w:t>r</w:t>
      </w:r>
      <w:proofErr w:type="spellEnd"/>
      <w:r w:rsidRPr="00DA72C4">
        <w:rPr>
          <w:lang w:val="fr-FR"/>
        </w:rPr>
        <w:t xml:space="preserve"> Internationale </w:t>
      </w:r>
      <w:proofErr w:type="spellStart"/>
      <w:r w:rsidRPr="00DA72C4">
        <w:rPr>
          <w:lang w:val="fr-FR"/>
        </w:rPr>
        <w:t>Zusammenarbeit</w:t>
      </w:r>
      <w:proofErr w:type="spellEnd"/>
      <w:r w:rsidRPr="00DA72C4">
        <w:rPr>
          <w:lang w:val="fr-FR"/>
        </w:rPr>
        <w:t xml:space="preserve"> </w:t>
      </w:r>
      <w:r>
        <w:rPr>
          <w:lang w:val="fr-FR"/>
        </w:rPr>
        <w:t>(</w:t>
      </w:r>
      <w:r w:rsidRPr="00D05303">
        <w:rPr>
          <w:lang w:val="fr-FR"/>
        </w:rPr>
        <w:t>GIZ</w:t>
      </w:r>
      <w:r>
        <w:rPr>
          <w:lang w:val="fr-FR"/>
        </w:rPr>
        <w:t>)</w:t>
      </w:r>
      <w:r w:rsidRPr="00D05303">
        <w:rPr>
          <w:lang w:val="fr-FR"/>
        </w:rPr>
        <w:t xml:space="preserve">. </w:t>
      </w:r>
      <w:r>
        <w:rPr>
          <w:lang w:val="fr-FR"/>
        </w:rPr>
        <w:t>Il est également prévu d’ouvrir des bureaux de services juridiques dans les établissements pénitentiaires et dans les postes de police. Le programme, qui se poursuit, permettra d’ouvrir davantage de bureaux de manière à élargir l’accès des indigents aux services juridiques</w:t>
      </w:r>
      <w:r w:rsidRPr="00D05303">
        <w:rPr>
          <w:lang w:val="fr-FR"/>
        </w:rPr>
        <w:t>.</w:t>
      </w:r>
    </w:p>
    <w:p w:rsidR="00786D88" w:rsidRPr="00D05303" w:rsidRDefault="00786D88" w:rsidP="00786D88">
      <w:pPr>
        <w:pStyle w:val="H23G"/>
        <w:rPr>
          <w:lang w:val="fr-FR"/>
        </w:rPr>
      </w:pPr>
      <w:r w:rsidRPr="00D05303">
        <w:rPr>
          <w:lang w:val="fr-FR"/>
        </w:rPr>
        <w:tab/>
        <w:t>E.</w:t>
      </w:r>
      <w:r w:rsidRPr="00D05303">
        <w:rPr>
          <w:lang w:val="fr-FR"/>
        </w:rPr>
        <w:tab/>
      </w:r>
      <w:r>
        <w:rPr>
          <w:lang w:val="fr-FR"/>
        </w:rPr>
        <w:t xml:space="preserve">Sensibilisation </w:t>
      </w:r>
    </w:p>
    <w:p w:rsidR="00786D88" w:rsidRPr="00D05303" w:rsidRDefault="00786D88" w:rsidP="00786D88">
      <w:pPr>
        <w:pStyle w:val="SingleTxtG"/>
        <w:rPr>
          <w:lang w:val="fr-FR"/>
        </w:rPr>
      </w:pPr>
      <w:r w:rsidRPr="00D05303">
        <w:rPr>
          <w:lang w:val="fr-FR"/>
        </w:rPr>
        <w:t>43.</w:t>
      </w:r>
      <w:r w:rsidRPr="00D05303">
        <w:rPr>
          <w:lang w:val="fr-FR"/>
        </w:rPr>
        <w:tab/>
      </w:r>
      <w:r>
        <w:rPr>
          <w:lang w:val="fr-FR"/>
        </w:rPr>
        <w:t>Le Gouvernement a intensifié ses activités de sensibilisation de la population en imprimant et en distribuant des documents d’éducation et d’information sur les procédures à suivre pour présenter une demande de mise en liberté sous caution ou avec citation à comparaître</w:t>
      </w:r>
      <w:r w:rsidRPr="00D05303">
        <w:rPr>
          <w:lang w:val="fr-FR"/>
        </w:rPr>
        <w:t>.</w:t>
      </w:r>
    </w:p>
    <w:p w:rsidR="00786D88" w:rsidRPr="00DC5A77" w:rsidRDefault="00786D88" w:rsidP="00786D88">
      <w:pPr>
        <w:pStyle w:val="H23G"/>
        <w:rPr>
          <w:rFonts w:ascii="Times New Roman Gras" w:hAnsi="Times New Roman Gras"/>
          <w:spacing w:val="-2"/>
          <w:lang w:val="fr-FR"/>
        </w:rPr>
      </w:pPr>
      <w:r w:rsidRPr="005958B1">
        <w:tab/>
      </w:r>
      <w:r w:rsidRPr="00BB505F">
        <w:rPr>
          <w:lang w:val="fr-FR"/>
        </w:rPr>
        <w:t>F.</w:t>
      </w:r>
      <w:r w:rsidRPr="00BB505F">
        <w:rPr>
          <w:lang w:val="fr-FR"/>
        </w:rPr>
        <w:tab/>
      </w:r>
      <w:r w:rsidRPr="00DC5A77">
        <w:rPr>
          <w:rFonts w:ascii="Times New Roman Gras" w:hAnsi="Times New Roman Gras"/>
          <w:spacing w:val="2"/>
          <w:lang w:val="fr-FR"/>
        </w:rPr>
        <w:t xml:space="preserve">Création d’unités de protection sociale et nomination de responsables </w:t>
      </w:r>
      <w:r w:rsidR="00DC5A77" w:rsidRPr="00DC5A77">
        <w:rPr>
          <w:rFonts w:ascii="Times New Roman Gras" w:hAnsi="Times New Roman Gras"/>
          <w:spacing w:val="2"/>
          <w:lang w:val="fr-FR"/>
        </w:rPr>
        <w:br/>
      </w:r>
      <w:r w:rsidRPr="00DC5A77">
        <w:rPr>
          <w:rFonts w:ascii="Times New Roman Gras" w:hAnsi="Times New Roman Gras"/>
          <w:spacing w:val="-2"/>
          <w:lang w:val="fr-FR"/>
        </w:rPr>
        <w:t xml:space="preserve">de la coordination des questions d’égalité des sexes dans les 110 districts </w:t>
      </w:r>
    </w:p>
    <w:p w:rsidR="00786D88" w:rsidRPr="00BB505F" w:rsidRDefault="00786D88" w:rsidP="00786D88">
      <w:pPr>
        <w:pStyle w:val="SingleTxtG"/>
        <w:rPr>
          <w:lang w:val="fr-FR"/>
        </w:rPr>
      </w:pPr>
      <w:r w:rsidRPr="00BB505F">
        <w:rPr>
          <w:lang w:val="fr-FR"/>
        </w:rPr>
        <w:t>44.</w:t>
      </w:r>
      <w:r w:rsidRPr="00BB505F">
        <w:rPr>
          <w:lang w:val="fr-FR"/>
        </w:rPr>
        <w:tab/>
      </w:r>
      <w:r>
        <w:rPr>
          <w:lang w:val="fr-FR"/>
        </w:rPr>
        <w:t>Le Gouvernement a également facilité la création d’unités de protection sociale ainsi que la nomination de responsables de la coordination des questions d’égalité des sexes dans tous les districts au sein des services de police.</w:t>
      </w:r>
      <w:r w:rsidRPr="00BB505F">
        <w:rPr>
          <w:lang w:val="fr-FR"/>
        </w:rPr>
        <w:t xml:space="preserve"> </w:t>
      </w:r>
      <w:r>
        <w:rPr>
          <w:lang w:val="fr-FR"/>
        </w:rPr>
        <w:t>Ces unités communiquent avec les membres de la population pour leur faire prendre conscience de leurs droits dans le domaine de la violence sexiste et leur indiquer les voies de recours qui leur sont ouvertes</w:t>
      </w:r>
      <w:r w:rsidRPr="00BB505F">
        <w:rPr>
          <w:lang w:val="fr-FR"/>
        </w:rPr>
        <w:t>.</w:t>
      </w:r>
    </w:p>
    <w:p w:rsidR="00786D88" w:rsidRPr="00BB505F" w:rsidRDefault="00786D88" w:rsidP="00DC5A77">
      <w:pPr>
        <w:pStyle w:val="H1G"/>
        <w:rPr>
          <w:lang w:val="fr-FR"/>
        </w:rPr>
      </w:pPr>
      <w:r w:rsidRPr="00BB505F">
        <w:rPr>
          <w:lang w:val="fr-FR"/>
        </w:rPr>
        <w:tab/>
        <w:t>11.</w:t>
      </w:r>
      <w:r w:rsidRPr="00BB505F">
        <w:rPr>
          <w:lang w:val="fr-FR"/>
        </w:rPr>
        <w:tab/>
      </w:r>
      <w:r>
        <w:rPr>
          <w:lang w:val="fr-FR"/>
        </w:rPr>
        <w:t xml:space="preserve">Efficacité de la Commission zambienne des droits de l’homme </w:t>
      </w:r>
    </w:p>
    <w:p w:rsidR="00786D88" w:rsidRPr="00BB505F" w:rsidRDefault="00DC5A77" w:rsidP="00786D88">
      <w:pPr>
        <w:pStyle w:val="H23G"/>
        <w:rPr>
          <w:lang w:val="fr-FR"/>
        </w:rPr>
      </w:pPr>
      <w:r>
        <w:rPr>
          <w:lang w:val="fr-FR"/>
        </w:rPr>
        <w:tab/>
      </w:r>
      <w:r>
        <w:rPr>
          <w:lang w:val="fr-FR"/>
        </w:rPr>
        <w:tab/>
      </w:r>
      <w:r w:rsidR="00786D88" w:rsidRPr="00BB505F">
        <w:rPr>
          <w:lang w:val="fr-FR"/>
        </w:rPr>
        <w:t>Observation finale</w:t>
      </w:r>
    </w:p>
    <w:p w:rsidR="00786D88" w:rsidRPr="00BB505F" w:rsidRDefault="00786D88" w:rsidP="00786D88">
      <w:pPr>
        <w:pStyle w:val="SingleTxtG"/>
        <w:rPr>
          <w:b/>
          <w:lang w:val="fr-FR"/>
        </w:rPr>
      </w:pPr>
      <w:r w:rsidRPr="00BB505F">
        <w:rPr>
          <w:lang w:val="fr-FR"/>
        </w:rPr>
        <w:t>45.</w:t>
      </w:r>
      <w:r w:rsidRPr="00BB505F">
        <w:rPr>
          <w:lang w:val="fr-FR"/>
        </w:rPr>
        <w:tab/>
      </w:r>
      <w:r w:rsidRPr="00AF1629">
        <w:rPr>
          <w:b/>
          <w:lang w:val="fr-FR"/>
        </w:rPr>
        <w:t xml:space="preserve">Au </w:t>
      </w:r>
      <w:r>
        <w:rPr>
          <w:b/>
          <w:lang w:val="fr-FR"/>
        </w:rPr>
        <w:t xml:space="preserve">paragraphe </w:t>
      </w:r>
      <w:r w:rsidRPr="00AF1629">
        <w:rPr>
          <w:b/>
          <w:lang w:val="fr-FR"/>
        </w:rPr>
        <w:t xml:space="preserve">20 de ses observations finales, le </w:t>
      </w:r>
      <w:r w:rsidRPr="00BB505F">
        <w:rPr>
          <w:b/>
          <w:lang w:val="fr-FR"/>
        </w:rPr>
        <w:t>Comité</w:t>
      </w:r>
      <w:r>
        <w:rPr>
          <w:b/>
          <w:lang w:val="fr-FR"/>
        </w:rPr>
        <w:t xml:space="preserve"> a recommandé à l’État partie de s’efforcer davantage de rendre la Commission des droits de l’homme plus efficace, notamment en lui affectant des ressources budgétaires suffisantes et a demandé à obtenir des renseignements détaillés sur la suite que les autorités publiques ont donnée aux recommandations de la Commission et sur les rapports qui se sont établis entre celle-ci et la société civile</w:t>
      </w:r>
      <w:r w:rsidRPr="00BB505F">
        <w:rPr>
          <w:lang w:val="fr-FR"/>
        </w:rPr>
        <w:t>.</w:t>
      </w:r>
    </w:p>
    <w:p w:rsidR="00786D88" w:rsidRPr="00BB505F" w:rsidRDefault="00786D88" w:rsidP="00DC5A77">
      <w:pPr>
        <w:pStyle w:val="H23G"/>
        <w:rPr>
          <w:lang w:val="fr-FR"/>
        </w:rPr>
      </w:pPr>
      <w:r w:rsidRPr="00BB505F">
        <w:rPr>
          <w:lang w:val="fr-FR"/>
        </w:rPr>
        <w:tab/>
      </w:r>
      <w:r w:rsidRPr="00BB505F">
        <w:rPr>
          <w:lang w:val="fr-FR"/>
        </w:rPr>
        <w:tab/>
        <w:t>R</w:t>
      </w:r>
      <w:r>
        <w:rPr>
          <w:lang w:val="fr-FR"/>
        </w:rPr>
        <w:t>é</w:t>
      </w:r>
      <w:r w:rsidRPr="00BB505F">
        <w:rPr>
          <w:lang w:val="fr-FR"/>
        </w:rPr>
        <w:t>ponse</w:t>
      </w:r>
    </w:p>
    <w:p w:rsidR="00786D88" w:rsidRPr="00BB505F" w:rsidRDefault="00786D88" w:rsidP="00786D88">
      <w:pPr>
        <w:pStyle w:val="SingleTxtG"/>
        <w:rPr>
          <w:lang w:val="fr-FR"/>
        </w:rPr>
      </w:pPr>
      <w:r w:rsidRPr="00BB505F">
        <w:rPr>
          <w:lang w:val="fr-FR"/>
        </w:rPr>
        <w:t>46.</w:t>
      </w:r>
      <w:r w:rsidRPr="00BB505F">
        <w:rPr>
          <w:lang w:val="fr-FR"/>
        </w:rPr>
        <w:tab/>
        <w:t xml:space="preserve">L’État partie </w:t>
      </w:r>
      <w:r>
        <w:rPr>
          <w:lang w:val="fr-FR"/>
        </w:rPr>
        <w:t>tient à indiquer que le paragraphe 2 de l’article</w:t>
      </w:r>
      <w:r w:rsidR="00AE3BFD">
        <w:rPr>
          <w:lang w:val="fr-FR"/>
        </w:rPr>
        <w:t xml:space="preserve"> </w:t>
      </w:r>
      <w:r w:rsidRPr="00BB505F">
        <w:rPr>
          <w:lang w:val="fr-FR"/>
        </w:rPr>
        <w:t>22</w:t>
      </w:r>
      <w:r>
        <w:rPr>
          <w:lang w:val="fr-FR"/>
        </w:rPr>
        <w:t xml:space="preserve"> de la loi relative à la Commission des droits de l’homme dispose que</w:t>
      </w:r>
      <w:r w:rsidR="00DC5A77">
        <w:rPr>
          <w:lang w:val="fr-FR"/>
        </w:rPr>
        <w:t> </w:t>
      </w:r>
      <w:r>
        <w:rPr>
          <w:lang w:val="fr-FR"/>
        </w:rPr>
        <w:t xml:space="preserve">: « la </w:t>
      </w:r>
      <w:r w:rsidRPr="00BB505F">
        <w:rPr>
          <w:lang w:val="fr-FR"/>
        </w:rPr>
        <w:t xml:space="preserve">Commission </w:t>
      </w:r>
      <w:r>
        <w:rPr>
          <w:lang w:val="fr-FR"/>
        </w:rPr>
        <w:t>peut, sous réserve de l’approbation du Président, accepter des fonds à titre de subventions ou de dons de toute origine, et lever, par voie d’emprunt ou autre, les ressources dont elle peut avoir besoin pour s’acquitter de ses fonctions ». La Commission des droits de l’homme est, de ce fait, en mesure de solliciter et d’obtenir des fonds d’institutions internationales ou de toute autre source si elle le juge approprié</w:t>
      </w:r>
      <w:r w:rsidRPr="00BB505F">
        <w:rPr>
          <w:lang w:val="fr-FR"/>
        </w:rPr>
        <w:t>.</w:t>
      </w:r>
    </w:p>
    <w:p w:rsidR="00786D88" w:rsidRPr="00BB505F" w:rsidRDefault="00786D88" w:rsidP="00786D88">
      <w:pPr>
        <w:pStyle w:val="SingleTxtG"/>
        <w:rPr>
          <w:b/>
          <w:lang w:val="fr-FR"/>
        </w:rPr>
      </w:pPr>
      <w:r w:rsidRPr="00BB505F">
        <w:rPr>
          <w:lang w:val="fr-FR"/>
        </w:rPr>
        <w:t>47.</w:t>
      </w:r>
      <w:r w:rsidRPr="00BB505F">
        <w:rPr>
          <w:lang w:val="fr-FR"/>
        </w:rPr>
        <w:tab/>
        <w:t xml:space="preserve">L’État partie </w:t>
      </w:r>
      <w:r>
        <w:rPr>
          <w:lang w:val="fr-FR"/>
        </w:rPr>
        <w:t>tient également à indiquer que la loi relative à la Commission des droits de l’homme fait état des fonctions et des attributions de ladite Commission et en établit la composition. L’État partie confirme que les dispositions de la loi sont pleinement conformes aux Principes de Paris</w:t>
      </w:r>
      <w:r w:rsidRPr="00BB505F">
        <w:rPr>
          <w:lang w:val="fr-FR"/>
        </w:rPr>
        <w:t xml:space="preserve">. </w:t>
      </w:r>
      <w:r>
        <w:rPr>
          <w:lang w:val="fr-FR"/>
        </w:rPr>
        <w:t>Par exemple, l’article</w:t>
      </w:r>
      <w:r w:rsidR="00AE3BFD">
        <w:rPr>
          <w:lang w:val="fr-FR"/>
        </w:rPr>
        <w:t xml:space="preserve"> </w:t>
      </w:r>
      <w:r w:rsidRPr="00BB505F">
        <w:rPr>
          <w:lang w:val="fr-FR"/>
        </w:rPr>
        <w:t xml:space="preserve">3 </w:t>
      </w:r>
      <w:r>
        <w:rPr>
          <w:lang w:val="fr-FR"/>
        </w:rPr>
        <w:t>de cette loi dispose que</w:t>
      </w:r>
      <w:r w:rsidR="00DC5A77">
        <w:rPr>
          <w:lang w:val="fr-FR"/>
        </w:rPr>
        <w:t> </w:t>
      </w:r>
      <w:r>
        <w:rPr>
          <w:lang w:val="fr-FR"/>
        </w:rPr>
        <w:t xml:space="preserve">: « la Commission ne sera pas placée, dans l’exercice de ses devoirs, sous la direction ou le contrôle d’une personne ou d’une autorité quelconque ». La </w:t>
      </w:r>
      <w:r w:rsidRPr="00BB505F">
        <w:rPr>
          <w:lang w:val="fr-FR"/>
        </w:rPr>
        <w:t xml:space="preserve">Commission </w:t>
      </w:r>
      <w:r>
        <w:rPr>
          <w:lang w:val="fr-FR"/>
        </w:rPr>
        <w:t>dispose, par ailleurs, de la latitude nécessaire pour formuler</w:t>
      </w:r>
      <w:r w:rsidRPr="00135661">
        <w:rPr>
          <w:lang w:val="fr-FR"/>
        </w:rPr>
        <w:t xml:space="preserve"> </w:t>
      </w:r>
      <w:r>
        <w:rPr>
          <w:lang w:val="fr-FR"/>
        </w:rPr>
        <w:t>elle-même, les règles régissant ses activités</w:t>
      </w:r>
      <w:r w:rsidRPr="00BB505F">
        <w:rPr>
          <w:lang w:val="fr-FR"/>
        </w:rPr>
        <w:t>.</w:t>
      </w:r>
    </w:p>
    <w:p w:rsidR="00786D88" w:rsidRPr="00BB505F" w:rsidRDefault="00786D88" w:rsidP="00DC5A77">
      <w:pPr>
        <w:pStyle w:val="H1G"/>
        <w:rPr>
          <w:lang w:val="fr-FR"/>
        </w:rPr>
      </w:pPr>
      <w:r w:rsidRPr="00BB505F">
        <w:rPr>
          <w:lang w:val="fr-FR"/>
        </w:rPr>
        <w:lastRenderedPageBreak/>
        <w:tab/>
        <w:t>12.</w:t>
      </w:r>
      <w:r w:rsidRPr="00BB505F">
        <w:rPr>
          <w:lang w:val="fr-FR"/>
        </w:rPr>
        <w:tab/>
      </w:r>
      <w:r>
        <w:rPr>
          <w:lang w:val="fr-FR"/>
        </w:rPr>
        <w:t xml:space="preserve">Déclaration et programme d’action de </w:t>
      </w:r>
      <w:r w:rsidRPr="00BB505F">
        <w:rPr>
          <w:lang w:val="fr-FR"/>
        </w:rPr>
        <w:t>Durban</w:t>
      </w:r>
    </w:p>
    <w:p w:rsidR="00786D88" w:rsidRPr="00BB505F" w:rsidRDefault="00786D88" w:rsidP="00786D88">
      <w:pPr>
        <w:pStyle w:val="H23G"/>
        <w:rPr>
          <w:lang w:val="fr-FR"/>
        </w:rPr>
      </w:pPr>
      <w:r w:rsidRPr="00BB505F">
        <w:rPr>
          <w:lang w:val="fr-FR"/>
        </w:rPr>
        <w:tab/>
      </w:r>
      <w:r w:rsidRPr="00BB505F">
        <w:rPr>
          <w:lang w:val="fr-FR"/>
        </w:rPr>
        <w:tab/>
        <w:t>Observation finale</w:t>
      </w:r>
    </w:p>
    <w:p w:rsidR="00786D88" w:rsidRPr="00BB505F" w:rsidRDefault="00786D88" w:rsidP="00786D88">
      <w:pPr>
        <w:pStyle w:val="SingleTxtG"/>
        <w:rPr>
          <w:b/>
          <w:lang w:val="fr-FR"/>
        </w:rPr>
      </w:pPr>
      <w:r w:rsidRPr="00BB505F">
        <w:rPr>
          <w:lang w:val="fr-FR"/>
        </w:rPr>
        <w:t>48.</w:t>
      </w:r>
      <w:r w:rsidRPr="00BB505F">
        <w:rPr>
          <w:lang w:val="fr-FR"/>
        </w:rPr>
        <w:tab/>
      </w:r>
      <w:r w:rsidRPr="00135661">
        <w:rPr>
          <w:b/>
          <w:lang w:val="fr-FR"/>
        </w:rPr>
        <w:t xml:space="preserve">Au </w:t>
      </w:r>
      <w:r>
        <w:rPr>
          <w:b/>
          <w:lang w:val="fr-FR"/>
        </w:rPr>
        <w:t xml:space="preserve">paragraphe </w:t>
      </w:r>
      <w:r w:rsidRPr="00BB505F">
        <w:rPr>
          <w:b/>
          <w:lang w:val="fr-FR"/>
        </w:rPr>
        <w:t xml:space="preserve">21 </w:t>
      </w:r>
      <w:r>
        <w:rPr>
          <w:b/>
          <w:lang w:val="fr-FR"/>
        </w:rPr>
        <w:t>de ses o</w:t>
      </w:r>
      <w:r w:rsidRPr="00BB505F">
        <w:rPr>
          <w:b/>
          <w:lang w:val="fr-FR"/>
        </w:rPr>
        <w:t>bservation</w:t>
      </w:r>
      <w:r>
        <w:rPr>
          <w:b/>
          <w:lang w:val="fr-FR"/>
        </w:rPr>
        <w:t>s</w:t>
      </w:r>
      <w:r w:rsidRPr="00BB505F">
        <w:rPr>
          <w:b/>
          <w:lang w:val="fr-FR"/>
        </w:rPr>
        <w:t xml:space="preserve"> finales, </w:t>
      </w:r>
      <w:r>
        <w:rPr>
          <w:b/>
          <w:lang w:val="fr-FR"/>
        </w:rPr>
        <w:t xml:space="preserve">le </w:t>
      </w:r>
      <w:r w:rsidRPr="00BB505F">
        <w:rPr>
          <w:b/>
          <w:lang w:val="fr-FR"/>
        </w:rPr>
        <w:t xml:space="preserve">Comité </w:t>
      </w:r>
      <w:r>
        <w:rPr>
          <w:b/>
          <w:lang w:val="fr-FR"/>
        </w:rPr>
        <w:t xml:space="preserve">a recommandé à la </w:t>
      </w:r>
      <w:r w:rsidRPr="00BB505F">
        <w:rPr>
          <w:b/>
          <w:lang w:val="fr-FR"/>
        </w:rPr>
        <w:t>Zambi</w:t>
      </w:r>
      <w:r>
        <w:rPr>
          <w:b/>
          <w:lang w:val="fr-FR"/>
        </w:rPr>
        <w:t>e</w:t>
      </w:r>
      <w:r w:rsidRPr="00BB505F">
        <w:rPr>
          <w:b/>
          <w:lang w:val="fr-FR"/>
        </w:rPr>
        <w:t xml:space="preserve"> </w:t>
      </w:r>
      <w:r>
        <w:rPr>
          <w:b/>
          <w:lang w:val="fr-FR"/>
        </w:rPr>
        <w:t xml:space="preserve">de tenir compte des passages pertinents de la Déclaration et du Programme d’action de Durban lors de l’incorporation de la </w:t>
      </w:r>
      <w:r w:rsidRPr="00BB505F">
        <w:rPr>
          <w:b/>
          <w:lang w:val="fr-FR"/>
        </w:rPr>
        <w:t xml:space="preserve">Convention </w:t>
      </w:r>
      <w:r>
        <w:rPr>
          <w:b/>
          <w:lang w:val="fr-FR"/>
        </w:rPr>
        <w:t>dans l’ordre juridique interne, notamment les articles</w:t>
      </w:r>
      <w:r w:rsidR="00DC5A77">
        <w:rPr>
          <w:b/>
          <w:lang w:val="fr-FR"/>
        </w:rPr>
        <w:t xml:space="preserve"> </w:t>
      </w:r>
      <w:r w:rsidRPr="00BB505F">
        <w:rPr>
          <w:b/>
          <w:lang w:val="fr-FR"/>
        </w:rPr>
        <w:t xml:space="preserve">2 </w:t>
      </w:r>
      <w:r>
        <w:rPr>
          <w:b/>
          <w:lang w:val="fr-FR"/>
        </w:rPr>
        <w:t>à </w:t>
      </w:r>
      <w:r w:rsidRPr="00BB505F">
        <w:rPr>
          <w:b/>
          <w:lang w:val="fr-FR"/>
        </w:rPr>
        <w:t xml:space="preserve">7 </w:t>
      </w:r>
      <w:r>
        <w:rPr>
          <w:b/>
          <w:lang w:val="fr-FR"/>
        </w:rPr>
        <w:t xml:space="preserve">de la </w:t>
      </w:r>
      <w:r w:rsidRPr="00BB505F">
        <w:rPr>
          <w:b/>
          <w:lang w:val="fr-FR"/>
        </w:rPr>
        <w:t xml:space="preserve">Convention, </w:t>
      </w:r>
      <w:r>
        <w:rPr>
          <w:b/>
          <w:lang w:val="fr-FR"/>
        </w:rPr>
        <w:t xml:space="preserve">et de donner, dans son prochain rapport périodique, des renseignements sur les plans ou autres mesures qu’il aura adoptés pour donner suite au niveau national à la </w:t>
      </w:r>
      <w:r w:rsidRPr="00FA19DC">
        <w:rPr>
          <w:b/>
          <w:lang w:val="fr-FR"/>
        </w:rPr>
        <w:t xml:space="preserve">Déclaration et </w:t>
      </w:r>
      <w:r>
        <w:rPr>
          <w:b/>
          <w:lang w:val="fr-FR"/>
        </w:rPr>
        <w:t>a</w:t>
      </w:r>
      <w:r w:rsidRPr="00FA19DC">
        <w:rPr>
          <w:b/>
          <w:lang w:val="fr-FR"/>
        </w:rPr>
        <w:t xml:space="preserve">u </w:t>
      </w:r>
      <w:r>
        <w:rPr>
          <w:b/>
          <w:lang w:val="fr-FR"/>
        </w:rPr>
        <w:t>Pr</w:t>
      </w:r>
      <w:r w:rsidRPr="00FA19DC">
        <w:rPr>
          <w:b/>
          <w:lang w:val="fr-FR"/>
        </w:rPr>
        <w:t>ogramme d’action de Durban</w:t>
      </w:r>
      <w:r w:rsidRPr="00BB505F">
        <w:rPr>
          <w:lang w:val="fr-FR"/>
        </w:rPr>
        <w:t>.</w:t>
      </w:r>
    </w:p>
    <w:p w:rsidR="00786D88" w:rsidRPr="00BB505F" w:rsidRDefault="00DC5A77" w:rsidP="00786D88">
      <w:pPr>
        <w:pStyle w:val="H23G"/>
        <w:rPr>
          <w:lang w:val="fr-FR"/>
        </w:rPr>
      </w:pPr>
      <w:r>
        <w:rPr>
          <w:lang w:val="fr-FR"/>
        </w:rPr>
        <w:tab/>
      </w:r>
      <w:r>
        <w:rPr>
          <w:lang w:val="fr-FR"/>
        </w:rPr>
        <w:tab/>
      </w:r>
      <w:r w:rsidR="00786D88" w:rsidRPr="00BB505F">
        <w:rPr>
          <w:lang w:val="fr-FR"/>
        </w:rPr>
        <w:t>R</w:t>
      </w:r>
      <w:r w:rsidR="00786D88">
        <w:rPr>
          <w:lang w:val="fr-FR"/>
        </w:rPr>
        <w:t>é</w:t>
      </w:r>
      <w:r w:rsidR="00786D88" w:rsidRPr="00BB505F">
        <w:rPr>
          <w:lang w:val="fr-FR"/>
        </w:rPr>
        <w:t>ponse</w:t>
      </w:r>
    </w:p>
    <w:p w:rsidR="00786D88" w:rsidRPr="00BB505F" w:rsidRDefault="00786D88" w:rsidP="00786D88">
      <w:pPr>
        <w:pStyle w:val="SingleTxtG"/>
        <w:rPr>
          <w:lang w:val="fr-FR"/>
        </w:rPr>
      </w:pPr>
      <w:r w:rsidRPr="00BB505F">
        <w:rPr>
          <w:lang w:val="fr-FR"/>
        </w:rPr>
        <w:t>49.</w:t>
      </w:r>
      <w:r w:rsidRPr="00BB505F">
        <w:rPr>
          <w:lang w:val="fr-FR"/>
        </w:rPr>
        <w:tab/>
        <w:t xml:space="preserve">L’État partie </w:t>
      </w:r>
      <w:r>
        <w:rPr>
          <w:lang w:val="fr-FR"/>
        </w:rPr>
        <w:t>tient à indiquer que des faits d’intolérance isolés se sont produits sur son territoire et que les responsables de l’application des lois ont pris les mesures qui s’imposaient</w:t>
      </w:r>
      <w:r w:rsidRPr="00BB505F">
        <w:rPr>
          <w:lang w:val="fr-FR"/>
        </w:rPr>
        <w:t>.</w:t>
      </w:r>
    </w:p>
    <w:p w:rsidR="00786D88" w:rsidRPr="00BB505F" w:rsidRDefault="00786D88" w:rsidP="00786D88">
      <w:pPr>
        <w:pStyle w:val="SingleTxtG"/>
        <w:rPr>
          <w:lang w:val="fr-FR"/>
        </w:rPr>
      </w:pPr>
      <w:r w:rsidRPr="00BB505F">
        <w:rPr>
          <w:lang w:val="fr-FR"/>
        </w:rPr>
        <w:t>50.</w:t>
      </w:r>
      <w:r w:rsidRPr="00BB505F">
        <w:rPr>
          <w:lang w:val="fr-FR"/>
        </w:rPr>
        <w:tab/>
      </w:r>
      <w:r>
        <w:rPr>
          <w:lang w:val="fr-FR"/>
        </w:rPr>
        <w:t xml:space="preserve">Le </w:t>
      </w:r>
      <w:r w:rsidRPr="00BB505F">
        <w:rPr>
          <w:lang w:val="fr-FR"/>
        </w:rPr>
        <w:t>Comité</w:t>
      </w:r>
      <w:r>
        <w:rPr>
          <w:lang w:val="fr-FR"/>
        </w:rPr>
        <w:t xml:space="preserve"> pourrait souhaiter prendre note du fait que les politiques de l’État partie en matière de migration ne sont pas fondées sur le racisme, la discrimination raciale, la xénophobie, ni l’intolérance qui leur est associée</w:t>
      </w:r>
      <w:r w:rsidRPr="00BB505F">
        <w:rPr>
          <w:lang w:val="fr-FR"/>
        </w:rPr>
        <w:t>.</w:t>
      </w:r>
    </w:p>
    <w:p w:rsidR="00786D88" w:rsidRPr="00BB505F" w:rsidRDefault="00786D88" w:rsidP="00786D88">
      <w:pPr>
        <w:pStyle w:val="SingleTxtG"/>
        <w:rPr>
          <w:lang w:val="fr-FR"/>
        </w:rPr>
      </w:pPr>
      <w:r w:rsidRPr="00BB505F">
        <w:rPr>
          <w:lang w:val="fr-FR"/>
        </w:rPr>
        <w:t>51.</w:t>
      </w:r>
      <w:r w:rsidRPr="00BB505F">
        <w:rPr>
          <w:lang w:val="fr-FR"/>
        </w:rPr>
        <w:tab/>
      </w:r>
      <w:r>
        <w:rPr>
          <w:lang w:val="fr-FR"/>
        </w:rPr>
        <w:t>Le Comité est également invité à prendre note du fait que la législation de</w:t>
      </w:r>
      <w:r w:rsidRPr="00BB505F">
        <w:rPr>
          <w:lang w:val="fr-FR"/>
        </w:rPr>
        <w:t xml:space="preserve"> </w:t>
      </w:r>
      <w:r>
        <w:rPr>
          <w:lang w:val="fr-FR"/>
        </w:rPr>
        <w:t>l</w:t>
      </w:r>
      <w:r w:rsidRPr="00BB505F">
        <w:rPr>
          <w:lang w:val="fr-FR"/>
        </w:rPr>
        <w:t xml:space="preserve">’État partie </w:t>
      </w:r>
      <w:r>
        <w:rPr>
          <w:lang w:val="fr-FR"/>
        </w:rPr>
        <w:t xml:space="preserve">intègre les principes de la </w:t>
      </w:r>
      <w:r w:rsidRPr="00BB505F">
        <w:rPr>
          <w:lang w:val="fr-FR"/>
        </w:rPr>
        <w:t>D</w:t>
      </w:r>
      <w:r>
        <w:rPr>
          <w:lang w:val="fr-FR"/>
        </w:rPr>
        <w:t>é</w:t>
      </w:r>
      <w:r w:rsidRPr="00BB505F">
        <w:rPr>
          <w:lang w:val="fr-FR"/>
        </w:rPr>
        <w:t>claration</w:t>
      </w:r>
      <w:r>
        <w:rPr>
          <w:lang w:val="fr-FR"/>
        </w:rPr>
        <w:t xml:space="preserve"> de Durban, comme les alinéas e) et f) du paragraphe 3 de l’article</w:t>
      </w:r>
      <w:r w:rsidR="00AE3BFD">
        <w:rPr>
          <w:lang w:val="fr-FR"/>
        </w:rPr>
        <w:t xml:space="preserve"> </w:t>
      </w:r>
      <w:r w:rsidRPr="00BB505F">
        <w:rPr>
          <w:lang w:val="fr-FR"/>
        </w:rPr>
        <w:t xml:space="preserve">5 </w:t>
      </w:r>
      <w:r>
        <w:rPr>
          <w:lang w:val="fr-FR"/>
        </w:rPr>
        <w:t xml:space="preserve">de la loi </w:t>
      </w:r>
      <w:r w:rsidR="00DC5A77" w:rsidRPr="00DC5A77">
        <w:rPr>
          <w:rFonts w:eastAsia="MS Mincho"/>
          <w:szCs w:val="22"/>
          <w:lang w:val="fr-FR"/>
        </w:rPr>
        <w:t>n</w:t>
      </w:r>
      <w:r w:rsidR="00DC5A77" w:rsidRPr="00DC5A77">
        <w:rPr>
          <w:rFonts w:eastAsia="MS Mincho"/>
          <w:szCs w:val="22"/>
          <w:vertAlign w:val="superscript"/>
          <w:lang w:val="fr-FR"/>
        </w:rPr>
        <w:t>o</w:t>
      </w:r>
      <w:r w:rsidR="00DC5A77">
        <w:rPr>
          <w:lang w:val="fr-FR"/>
        </w:rPr>
        <w:t> </w:t>
      </w:r>
      <w:r>
        <w:rPr>
          <w:lang w:val="fr-FR"/>
        </w:rPr>
        <w:t>18 de</w:t>
      </w:r>
      <w:r w:rsidR="00DC5A77">
        <w:rPr>
          <w:lang w:val="fr-FR"/>
        </w:rPr>
        <w:t xml:space="preserve"> </w:t>
      </w:r>
      <w:r>
        <w:rPr>
          <w:lang w:val="fr-FR"/>
        </w:rPr>
        <w:t>2010 sur l’immigration et l’expulsion, qui a pour objet de décourager</w:t>
      </w:r>
      <w:r w:rsidRPr="00BB505F">
        <w:rPr>
          <w:rFonts w:eastAsia="Calibri"/>
          <w:lang w:val="fr-FR"/>
        </w:rPr>
        <w:t xml:space="preserve"> </w:t>
      </w:r>
      <w:r>
        <w:rPr>
          <w:rFonts w:eastAsia="Calibri"/>
          <w:lang w:val="fr-FR"/>
        </w:rPr>
        <w:t xml:space="preserve">la discrimination raciale exercée </w:t>
      </w:r>
      <w:r w:rsidRPr="00DC5A77">
        <w:rPr>
          <w:rFonts w:eastAsia="Calibri"/>
          <w:lang w:val="fr-FR"/>
        </w:rPr>
        <w:t>de facto.</w:t>
      </w:r>
    </w:p>
    <w:p w:rsidR="00786D88" w:rsidRPr="00BB505F" w:rsidRDefault="00786D88" w:rsidP="00786D88">
      <w:pPr>
        <w:pStyle w:val="SingleTxtG"/>
        <w:rPr>
          <w:rFonts w:eastAsia="Calibri"/>
          <w:lang w:val="fr-FR"/>
        </w:rPr>
      </w:pPr>
      <w:r w:rsidRPr="00BB505F">
        <w:rPr>
          <w:rFonts w:eastAsia="Calibri"/>
          <w:lang w:val="fr-FR"/>
        </w:rPr>
        <w:t>52.</w:t>
      </w:r>
      <w:r w:rsidRPr="00BB505F">
        <w:rPr>
          <w:rFonts w:eastAsia="Calibri"/>
          <w:lang w:val="fr-FR"/>
        </w:rPr>
        <w:tab/>
      </w:r>
      <w:r>
        <w:rPr>
          <w:rFonts w:eastAsia="Calibri"/>
          <w:lang w:val="fr-FR"/>
        </w:rPr>
        <w:t>Le paragraphe 1 de l’article</w:t>
      </w:r>
      <w:r w:rsidR="00AE3BFD">
        <w:rPr>
          <w:rFonts w:eastAsia="Calibri"/>
          <w:lang w:val="fr-FR"/>
        </w:rPr>
        <w:t xml:space="preserve"> </w:t>
      </w:r>
      <w:r w:rsidRPr="00BB505F">
        <w:rPr>
          <w:rFonts w:eastAsia="Calibri"/>
          <w:lang w:val="fr-FR"/>
        </w:rPr>
        <w:t>48</w:t>
      </w:r>
      <w:r>
        <w:rPr>
          <w:rFonts w:eastAsia="Calibri"/>
          <w:lang w:val="fr-FR"/>
        </w:rPr>
        <w:t xml:space="preserve"> de ladite loi vise de surcroît à prévenir la xénophobie parmi les agents du Service de l’immigration. Cet article dispose, notamment, que</w:t>
      </w:r>
      <w:r w:rsidR="00DC5A77">
        <w:rPr>
          <w:rFonts w:eastAsia="Calibri"/>
          <w:lang w:val="fr-FR"/>
        </w:rPr>
        <w:t> </w:t>
      </w:r>
      <w:r>
        <w:rPr>
          <w:rFonts w:eastAsia="Calibri"/>
          <w:lang w:val="fr-FR"/>
        </w:rPr>
        <w:t xml:space="preserve">: </w:t>
      </w:r>
    </w:p>
    <w:p w:rsidR="00786D88" w:rsidRPr="00BB505F" w:rsidRDefault="00786D88" w:rsidP="006832EA">
      <w:pPr>
        <w:pStyle w:val="SingleTxtG"/>
        <w:ind w:firstLine="567"/>
        <w:rPr>
          <w:lang w:val="fr-FR"/>
        </w:rPr>
      </w:pPr>
      <w:r>
        <w:rPr>
          <w:lang w:val="fr-FR"/>
        </w:rPr>
        <w:t>« Le Service mettra en place un Comité sur l’intégrité du système d’immigration ayant pour mission de prévenir, décourager, détecter et exposer toute manifestation de</w:t>
      </w:r>
      <w:r w:rsidRPr="00BB505F">
        <w:rPr>
          <w:lang w:val="fr-FR"/>
        </w:rPr>
        <w:t>... x</w:t>
      </w:r>
      <w:r>
        <w:rPr>
          <w:lang w:val="fr-FR"/>
        </w:rPr>
        <w:t>é</w:t>
      </w:r>
      <w:r w:rsidRPr="00BB505F">
        <w:rPr>
          <w:lang w:val="fr-FR"/>
        </w:rPr>
        <w:t>nophobi</w:t>
      </w:r>
      <w:r>
        <w:rPr>
          <w:lang w:val="fr-FR"/>
        </w:rPr>
        <w:t>e</w:t>
      </w:r>
      <w:r w:rsidRPr="00BB505F">
        <w:rPr>
          <w:lang w:val="fr-FR"/>
        </w:rPr>
        <w:t xml:space="preserve"> ... </w:t>
      </w:r>
      <w:r>
        <w:rPr>
          <w:lang w:val="fr-FR"/>
        </w:rPr>
        <w:t>par un agent du Service</w:t>
      </w:r>
      <w:r w:rsidR="00DC5A77">
        <w:rPr>
          <w:lang w:val="fr-FR"/>
        </w:rPr>
        <w:t>.</w:t>
      </w:r>
      <w:r>
        <w:rPr>
          <w:lang w:val="fr-FR"/>
        </w:rPr>
        <w:t> »</w:t>
      </w:r>
      <w:r w:rsidRPr="00BB505F">
        <w:rPr>
          <w:lang w:val="fr-FR"/>
        </w:rPr>
        <w:t>.</w:t>
      </w:r>
    </w:p>
    <w:p w:rsidR="00786D88" w:rsidRPr="00BB505F" w:rsidRDefault="00786D88" w:rsidP="00786D88">
      <w:pPr>
        <w:pStyle w:val="SingleTxtG"/>
        <w:rPr>
          <w:lang w:val="fr-FR"/>
        </w:rPr>
      </w:pPr>
      <w:r w:rsidRPr="00BB505F">
        <w:rPr>
          <w:lang w:val="fr-FR"/>
        </w:rPr>
        <w:t>53.</w:t>
      </w:r>
      <w:r w:rsidRPr="00BB505F">
        <w:rPr>
          <w:lang w:val="fr-FR"/>
        </w:rPr>
        <w:tab/>
        <w:t xml:space="preserve">L’État partie </w:t>
      </w:r>
      <w:r>
        <w:rPr>
          <w:lang w:val="fr-FR"/>
        </w:rPr>
        <w:t xml:space="preserve">tient aussi à indiquer que le Service de l’immigration, qui relève du Ministère des affaires intérieures a formé un </w:t>
      </w:r>
      <w:r w:rsidRPr="00BB505F">
        <w:rPr>
          <w:lang w:val="fr-FR"/>
        </w:rPr>
        <w:t xml:space="preserve">Comité </w:t>
      </w:r>
      <w:r>
        <w:rPr>
          <w:lang w:val="fr-FR"/>
        </w:rPr>
        <w:t>sur l’intégrité qui est chargé d’entendre les plaintes de discrimination raciale et d’enquêter à leur sujet. Les agents ne respectant pas les directives font l’objet de mesures disciplinaires. Le Comité organise également des ateliers pour faire prendre conscience aux agents des comportements proches de la discrimination raciale</w:t>
      </w:r>
      <w:r w:rsidRPr="00BB505F">
        <w:rPr>
          <w:lang w:val="fr-FR"/>
        </w:rPr>
        <w:t>.</w:t>
      </w:r>
    </w:p>
    <w:p w:rsidR="00786D88" w:rsidRPr="00BB505F" w:rsidRDefault="00786D88" w:rsidP="00DC5A77">
      <w:pPr>
        <w:pStyle w:val="H1G"/>
        <w:rPr>
          <w:lang w:val="fr-FR"/>
        </w:rPr>
      </w:pPr>
      <w:r w:rsidRPr="00BB505F">
        <w:rPr>
          <w:lang w:val="fr-FR"/>
        </w:rPr>
        <w:tab/>
        <w:t>13.</w:t>
      </w:r>
      <w:r w:rsidRPr="00BB505F">
        <w:rPr>
          <w:lang w:val="fr-FR"/>
        </w:rPr>
        <w:tab/>
        <w:t>Amend</w:t>
      </w:r>
      <w:r>
        <w:rPr>
          <w:lang w:val="fr-FR"/>
        </w:rPr>
        <w:t>e</w:t>
      </w:r>
      <w:r w:rsidRPr="00BB505F">
        <w:rPr>
          <w:lang w:val="fr-FR"/>
        </w:rPr>
        <w:t>ments</w:t>
      </w:r>
      <w:r>
        <w:rPr>
          <w:lang w:val="fr-FR"/>
        </w:rPr>
        <w:t xml:space="preserve"> à l’</w:t>
      </w:r>
      <w:r w:rsidR="00717A51">
        <w:rPr>
          <w:lang w:val="fr-FR"/>
        </w:rPr>
        <w:t>a</w:t>
      </w:r>
      <w:r w:rsidRPr="00BB505F">
        <w:rPr>
          <w:lang w:val="fr-FR"/>
        </w:rPr>
        <w:t xml:space="preserve">rticle 8 </w:t>
      </w:r>
      <w:r>
        <w:rPr>
          <w:lang w:val="fr-FR"/>
        </w:rPr>
        <w:t xml:space="preserve">de la </w:t>
      </w:r>
      <w:r w:rsidRPr="00BB505F">
        <w:rPr>
          <w:lang w:val="fr-FR"/>
        </w:rPr>
        <w:t>Convention</w:t>
      </w:r>
    </w:p>
    <w:p w:rsidR="00786D88" w:rsidRPr="00BB505F" w:rsidRDefault="00786D88" w:rsidP="00DC5A77">
      <w:pPr>
        <w:pStyle w:val="H23G"/>
        <w:rPr>
          <w:lang w:val="fr-FR"/>
        </w:rPr>
      </w:pPr>
      <w:r w:rsidRPr="00BB505F">
        <w:rPr>
          <w:lang w:val="fr-FR"/>
        </w:rPr>
        <w:tab/>
      </w:r>
      <w:r w:rsidRPr="00BB505F">
        <w:rPr>
          <w:lang w:val="fr-FR"/>
        </w:rPr>
        <w:tab/>
        <w:t>Observation finale</w:t>
      </w:r>
    </w:p>
    <w:p w:rsidR="00786D88" w:rsidRPr="00BB505F" w:rsidRDefault="00786D88" w:rsidP="00786D88">
      <w:pPr>
        <w:pStyle w:val="SingleTxtG"/>
        <w:rPr>
          <w:b/>
          <w:lang w:val="fr-FR"/>
        </w:rPr>
      </w:pPr>
      <w:r w:rsidRPr="00BB505F">
        <w:rPr>
          <w:lang w:val="fr-FR"/>
        </w:rPr>
        <w:t>54.</w:t>
      </w:r>
      <w:r w:rsidRPr="00BB505F">
        <w:rPr>
          <w:lang w:val="fr-FR"/>
        </w:rPr>
        <w:tab/>
      </w:r>
      <w:r w:rsidRPr="000C1136">
        <w:rPr>
          <w:b/>
          <w:lang w:val="fr-FR"/>
        </w:rPr>
        <w:t xml:space="preserve">Le </w:t>
      </w:r>
      <w:r w:rsidRPr="00BB505F">
        <w:rPr>
          <w:b/>
          <w:lang w:val="fr-FR"/>
        </w:rPr>
        <w:t xml:space="preserve">Comité </w:t>
      </w:r>
      <w:r>
        <w:rPr>
          <w:b/>
          <w:lang w:val="fr-FR"/>
        </w:rPr>
        <w:t>a recommandé à l</w:t>
      </w:r>
      <w:r w:rsidRPr="00BB505F">
        <w:rPr>
          <w:b/>
          <w:lang w:val="fr-FR"/>
        </w:rPr>
        <w:t xml:space="preserve">’État partie </w:t>
      </w:r>
      <w:r>
        <w:rPr>
          <w:b/>
          <w:lang w:val="fr-FR"/>
        </w:rPr>
        <w:t>de ratifier les amendements au paragraphe 6 de l’article</w:t>
      </w:r>
      <w:r w:rsidR="00AE3BFD">
        <w:rPr>
          <w:b/>
          <w:lang w:val="fr-FR"/>
        </w:rPr>
        <w:t xml:space="preserve"> </w:t>
      </w:r>
      <w:r w:rsidRPr="00BB505F">
        <w:rPr>
          <w:b/>
          <w:lang w:val="fr-FR"/>
        </w:rPr>
        <w:t>8</w:t>
      </w:r>
      <w:r>
        <w:rPr>
          <w:b/>
          <w:lang w:val="fr-FR"/>
        </w:rPr>
        <w:t xml:space="preserve"> de la</w:t>
      </w:r>
      <w:r w:rsidRPr="00BB505F">
        <w:rPr>
          <w:b/>
          <w:lang w:val="fr-FR"/>
        </w:rPr>
        <w:t xml:space="preserve"> Convention</w:t>
      </w:r>
      <w:r w:rsidRPr="00BB505F">
        <w:rPr>
          <w:lang w:val="fr-FR"/>
        </w:rPr>
        <w:t>.</w:t>
      </w:r>
    </w:p>
    <w:p w:rsidR="00786D88" w:rsidRPr="00BB505F" w:rsidRDefault="00DC5A77" w:rsidP="00786D88">
      <w:pPr>
        <w:pStyle w:val="H23G"/>
        <w:rPr>
          <w:lang w:val="fr-FR"/>
        </w:rPr>
      </w:pPr>
      <w:r>
        <w:rPr>
          <w:lang w:val="fr-FR"/>
        </w:rPr>
        <w:tab/>
      </w:r>
      <w:r>
        <w:rPr>
          <w:lang w:val="fr-FR"/>
        </w:rPr>
        <w:tab/>
      </w:r>
      <w:r w:rsidR="00786D88" w:rsidRPr="00BB505F">
        <w:rPr>
          <w:lang w:val="fr-FR"/>
        </w:rPr>
        <w:t>R</w:t>
      </w:r>
      <w:r w:rsidR="00786D88">
        <w:rPr>
          <w:lang w:val="fr-FR"/>
        </w:rPr>
        <w:t>é</w:t>
      </w:r>
      <w:r w:rsidR="00786D88" w:rsidRPr="00BB505F">
        <w:rPr>
          <w:lang w:val="fr-FR"/>
        </w:rPr>
        <w:t>ponse</w:t>
      </w:r>
    </w:p>
    <w:p w:rsidR="00786D88" w:rsidRPr="00BB505F" w:rsidRDefault="00786D88" w:rsidP="00786D88">
      <w:pPr>
        <w:pStyle w:val="SingleTxtG"/>
        <w:rPr>
          <w:b/>
          <w:lang w:val="fr-FR"/>
        </w:rPr>
      </w:pPr>
      <w:r w:rsidRPr="00BB505F">
        <w:rPr>
          <w:lang w:val="fr-FR"/>
        </w:rPr>
        <w:t>55.</w:t>
      </w:r>
      <w:r w:rsidRPr="00BB505F">
        <w:rPr>
          <w:lang w:val="fr-FR"/>
        </w:rPr>
        <w:tab/>
        <w:t xml:space="preserve">L’État partie </w:t>
      </w:r>
      <w:r>
        <w:rPr>
          <w:lang w:val="fr-FR"/>
        </w:rPr>
        <w:t xml:space="preserve">indique qu’il n’a pas encore ratifié l’amendement au paragraphe </w:t>
      </w:r>
      <w:r w:rsidRPr="000C1136">
        <w:rPr>
          <w:lang w:val="fr-FR"/>
        </w:rPr>
        <w:t>6 de l’article 8 de la Convention</w:t>
      </w:r>
      <w:r w:rsidRPr="00BB505F">
        <w:rPr>
          <w:lang w:val="fr-FR"/>
        </w:rPr>
        <w:t xml:space="preserve">. L’État partie </w:t>
      </w:r>
      <w:r>
        <w:rPr>
          <w:lang w:val="fr-FR"/>
        </w:rPr>
        <w:t xml:space="preserve">tient à indiquer qu’il reste attaché aux travaux du </w:t>
      </w:r>
      <w:r w:rsidRPr="00BB505F">
        <w:rPr>
          <w:lang w:val="fr-FR"/>
        </w:rPr>
        <w:t xml:space="preserve">Comité </w:t>
      </w:r>
      <w:r>
        <w:rPr>
          <w:lang w:val="fr-FR"/>
        </w:rPr>
        <w:t xml:space="preserve">et s’engage à soutenir ses ressortissants nommés au </w:t>
      </w:r>
      <w:r w:rsidRPr="00BB505F">
        <w:rPr>
          <w:lang w:val="fr-FR"/>
        </w:rPr>
        <w:t>Comité.</w:t>
      </w:r>
    </w:p>
    <w:p w:rsidR="00786D88" w:rsidRPr="00BB505F" w:rsidRDefault="00786D88" w:rsidP="00DC5A77">
      <w:pPr>
        <w:pStyle w:val="HChG"/>
        <w:rPr>
          <w:lang w:val="fr-FR"/>
        </w:rPr>
      </w:pPr>
      <w:r w:rsidRPr="00BB505F">
        <w:rPr>
          <w:lang w:val="fr-FR"/>
        </w:rPr>
        <w:tab/>
        <w:t>II.</w:t>
      </w:r>
      <w:r w:rsidRPr="00BB505F">
        <w:rPr>
          <w:lang w:val="fr-FR"/>
        </w:rPr>
        <w:tab/>
      </w:r>
      <w:r>
        <w:rPr>
          <w:lang w:val="fr-FR"/>
        </w:rPr>
        <w:t xml:space="preserve">Deuxième partie </w:t>
      </w:r>
      <w:r w:rsidR="00DC5A77">
        <w:rPr>
          <w:lang w:val="fr-FR"/>
        </w:rPr>
        <w:br/>
      </w:r>
      <w:r w:rsidRPr="00BB505F">
        <w:rPr>
          <w:lang w:val="fr-FR"/>
        </w:rPr>
        <w:t>Information</w:t>
      </w:r>
      <w:r>
        <w:rPr>
          <w:lang w:val="fr-FR"/>
        </w:rPr>
        <w:t>s</w:t>
      </w:r>
      <w:r w:rsidRPr="00BB505F">
        <w:rPr>
          <w:lang w:val="fr-FR"/>
        </w:rPr>
        <w:t xml:space="preserve"> </w:t>
      </w:r>
      <w:r>
        <w:rPr>
          <w:lang w:val="fr-FR"/>
        </w:rPr>
        <w:t xml:space="preserve">sur des articles particuliers de la </w:t>
      </w:r>
      <w:r w:rsidRPr="00BB505F">
        <w:rPr>
          <w:lang w:val="fr-FR"/>
        </w:rPr>
        <w:t>Convention</w:t>
      </w:r>
    </w:p>
    <w:p w:rsidR="00786D88" w:rsidRPr="00BB505F" w:rsidRDefault="00786D88" w:rsidP="00786D88">
      <w:pPr>
        <w:pStyle w:val="SingleTxtG"/>
        <w:rPr>
          <w:iCs/>
          <w:lang w:val="fr-FR"/>
        </w:rPr>
      </w:pPr>
      <w:r w:rsidRPr="00BB505F">
        <w:rPr>
          <w:lang w:val="fr-FR"/>
        </w:rPr>
        <w:t>56.</w:t>
      </w:r>
      <w:r w:rsidRPr="00BB505F">
        <w:rPr>
          <w:lang w:val="fr-FR"/>
        </w:rPr>
        <w:tab/>
        <w:t>L’État partie</w:t>
      </w:r>
      <w:r>
        <w:rPr>
          <w:lang w:val="fr-FR"/>
        </w:rPr>
        <w:t xml:space="preserve"> est tenu de signaler toute mise à jour apportée à des mesures législatives, judiciaires, administratives ou autres, mise en place conformément aux dispositions de la</w:t>
      </w:r>
      <w:r w:rsidRPr="00BB505F">
        <w:rPr>
          <w:lang w:val="fr-FR"/>
        </w:rPr>
        <w:t xml:space="preserve"> Convention.</w:t>
      </w:r>
      <w:r w:rsidRPr="00BB505F">
        <w:rPr>
          <w:iCs/>
          <w:lang w:val="fr-FR"/>
        </w:rPr>
        <w:t xml:space="preserve"> L’État partie </w:t>
      </w:r>
      <w:r>
        <w:rPr>
          <w:iCs/>
          <w:lang w:val="fr-FR"/>
        </w:rPr>
        <w:t>tient à présenter les informations ci-après concernant l’application des articles</w:t>
      </w:r>
      <w:r w:rsidR="00DC5A77">
        <w:rPr>
          <w:iCs/>
          <w:lang w:val="fr-FR"/>
        </w:rPr>
        <w:t xml:space="preserve"> </w:t>
      </w:r>
      <w:r w:rsidRPr="00BB505F">
        <w:rPr>
          <w:iCs/>
          <w:lang w:val="fr-FR"/>
        </w:rPr>
        <w:t xml:space="preserve">1 </w:t>
      </w:r>
      <w:r>
        <w:rPr>
          <w:iCs/>
          <w:lang w:val="fr-FR"/>
        </w:rPr>
        <w:t>à</w:t>
      </w:r>
      <w:r w:rsidR="00DC5A77">
        <w:rPr>
          <w:iCs/>
          <w:lang w:val="fr-FR"/>
        </w:rPr>
        <w:t xml:space="preserve"> </w:t>
      </w:r>
      <w:r w:rsidRPr="00BB505F">
        <w:rPr>
          <w:iCs/>
          <w:lang w:val="fr-FR"/>
        </w:rPr>
        <w:t>7.</w:t>
      </w:r>
    </w:p>
    <w:p w:rsidR="00786D88" w:rsidRPr="00BB505F" w:rsidRDefault="00786D88" w:rsidP="00DC5A77">
      <w:pPr>
        <w:pStyle w:val="HChG"/>
        <w:rPr>
          <w:lang w:val="fr-FR"/>
        </w:rPr>
      </w:pPr>
      <w:r w:rsidRPr="00BB505F">
        <w:rPr>
          <w:lang w:val="fr-FR"/>
        </w:rPr>
        <w:lastRenderedPageBreak/>
        <w:tab/>
      </w:r>
      <w:r w:rsidRPr="00BB505F">
        <w:rPr>
          <w:lang w:val="fr-FR"/>
        </w:rPr>
        <w:tab/>
        <w:t>Article 1</w:t>
      </w:r>
    </w:p>
    <w:p w:rsidR="00786D88" w:rsidRPr="00BB505F" w:rsidRDefault="00786D88" w:rsidP="00DC5A77">
      <w:pPr>
        <w:pStyle w:val="H1G"/>
        <w:rPr>
          <w:lang w:val="fr-FR"/>
        </w:rPr>
      </w:pPr>
      <w:r w:rsidRPr="00BB505F">
        <w:rPr>
          <w:lang w:val="fr-FR"/>
        </w:rPr>
        <w:tab/>
        <w:t>14.</w:t>
      </w:r>
      <w:r w:rsidRPr="00BB505F">
        <w:rPr>
          <w:lang w:val="fr-FR"/>
        </w:rPr>
        <w:tab/>
      </w:r>
      <w:r>
        <w:rPr>
          <w:lang w:val="fr-FR"/>
        </w:rPr>
        <w:t xml:space="preserve">Détermination du respect de la définition de la discrimination raciale </w:t>
      </w:r>
    </w:p>
    <w:p w:rsidR="00786D88" w:rsidRPr="00BB505F" w:rsidRDefault="00786D88" w:rsidP="00786D88">
      <w:pPr>
        <w:pStyle w:val="SingleTxtG"/>
        <w:rPr>
          <w:lang w:val="fr-FR"/>
        </w:rPr>
      </w:pPr>
      <w:r w:rsidRPr="00BB505F">
        <w:rPr>
          <w:lang w:val="fr-FR"/>
        </w:rPr>
        <w:t>57.</w:t>
      </w:r>
      <w:r w:rsidRPr="00BB505F">
        <w:rPr>
          <w:lang w:val="fr-FR"/>
        </w:rPr>
        <w:tab/>
        <w:t xml:space="preserve">L’État partie </w:t>
      </w:r>
      <w:r>
        <w:rPr>
          <w:lang w:val="fr-FR"/>
        </w:rPr>
        <w:t>tient à indiquer que son droit interne ne comporte aucune définition particulière de la discrimination raciale, mais qu’il donne une définition générale de la discrimination, qui englobe la discrimination fondée sur la race, la couleur, l’ascendance et l’origine nationale ou ethnique, au paragraphe 3 de l’article</w:t>
      </w:r>
      <w:r w:rsidR="00AE3BFD">
        <w:rPr>
          <w:lang w:val="fr-FR"/>
        </w:rPr>
        <w:t xml:space="preserve"> </w:t>
      </w:r>
      <w:r w:rsidRPr="00BB505F">
        <w:rPr>
          <w:lang w:val="fr-FR"/>
        </w:rPr>
        <w:t>23.</w:t>
      </w:r>
    </w:p>
    <w:p w:rsidR="00786D88" w:rsidRPr="00BB505F" w:rsidRDefault="00786D88" w:rsidP="00DC5A77">
      <w:pPr>
        <w:pStyle w:val="H23G"/>
        <w:rPr>
          <w:lang w:val="fr-FR"/>
        </w:rPr>
      </w:pPr>
      <w:r w:rsidRPr="00BB505F">
        <w:rPr>
          <w:lang w:val="fr-FR"/>
        </w:rPr>
        <w:tab/>
        <w:t>A.</w:t>
      </w:r>
      <w:r w:rsidRPr="00BB505F">
        <w:rPr>
          <w:lang w:val="fr-FR"/>
        </w:rPr>
        <w:tab/>
      </w:r>
      <w:r>
        <w:rPr>
          <w:lang w:val="fr-FR"/>
        </w:rPr>
        <w:t xml:space="preserve">Mesures législatives </w:t>
      </w:r>
    </w:p>
    <w:p w:rsidR="00786D88" w:rsidRPr="00BB505F" w:rsidRDefault="00786D88" w:rsidP="00786D88">
      <w:pPr>
        <w:pStyle w:val="SingleTxtG"/>
        <w:rPr>
          <w:lang w:val="fr-FR"/>
        </w:rPr>
      </w:pPr>
      <w:r w:rsidRPr="00BB505F">
        <w:rPr>
          <w:lang w:val="fr-FR"/>
        </w:rPr>
        <w:t>58.</w:t>
      </w:r>
      <w:r w:rsidRPr="00BB505F">
        <w:rPr>
          <w:lang w:val="fr-FR"/>
        </w:rPr>
        <w:tab/>
      </w:r>
      <w:r>
        <w:rPr>
          <w:lang w:val="fr-FR"/>
        </w:rPr>
        <w:t>Le terme «</w:t>
      </w:r>
      <w:r w:rsidR="00DC5A77">
        <w:rPr>
          <w:lang w:val="fr-FR"/>
        </w:rPr>
        <w:t> </w:t>
      </w:r>
      <w:r>
        <w:rPr>
          <w:lang w:val="fr-FR"/>
        </w:rPr>
        <w:t>discriminatoire » est défini au paragraphe 3 de l’article</w:t>
      </w:r>
      <w:r w:rsidR="00AE3BFD">
        <w:rPr>
          <w:lang w:val="fr-FR"/>
        </w:rPr>
        <w:t xml:space="preserve"> </w:t>
      </w:r>
      <w:r>
        <w:rPr>
          <w:lang w:val="fr-FR"/>
        </w:rPr>
        <w:t>23 de la Constitution de manière à signifier l’application</w:t>
      </w:r>
      <w:r w:rsidRPr="00EB7782">
        <w:rPr>
          <w:lang w:val="fr-FR"/>
        </w:rPr>
        <w:t xml:space="preserve"> d’un traitement différent à des personnes différentes en raison, </w:t>
      </w:r>
      <w:r>
        <w:rPr>
          <w:lang w:val="fr-FR"/>
        </w:rPr>
        <w:t xml:space="preserve">uniquement </w:t>
      </w:r>
      <w:r w:rsidRPr="00EB7782">
        <w:rPr>
          <w:lang w:val="fr-FR"/>
        </w:rPr>
        <w:t>ou principalement, de leurs particularités</w:t>
      </w:r>
      <w:r w:rsidRPr="007602D0">
        <w:rPr>
          <w:lang w:val="fr-FR"/>
        </w:rPr>
        <w:t>, notamment leur race, leur appartenance tribale, leur sexe, leur lieu d’origine, leur situation matrimoniale, leurs opinions politiques, leur couleur ou leurs croyances, lorsque ledit traitement a pour effet d’assujettir les personnes possédant de telles particularités à des handicaps ou à des restrictions qui ne sont pas imposées aux personnes ne présentant pas ces particularités, ou de leur accorder des privilèges ou des avantages qui ne sont pas consentis aux personnes qui ne présentent pas ces particularités</w:t>
      </w:r>
      <w:r w:rsidRPr="00BB505F">
        <w:rPr>
          <w:lang w:val="fr-FR"/>
        </w:rPr>
        <w:t>.</w:t>
      </w:r>
    </w:p>
    <w:p w:rsidR="00786D88" w:rsidRPr="00BB505F" w:rsidRDefault="00786D88" w:rsidP="00786D88">
      <w:pPr>
        <w:pStyle w:val="SingleTxtG"/>
        <w:rPr>
          <w:i/>
          <w:lang w:val="fr-FR"/>
        </w:rPr>
      </w:pPr>
      <w:r w:rsidRPr="00BB505F">
        <w:rPr>
          <w:lang w:val="fr-FR"/>
        </w:rPr>
        <w:t>59.</w:t>
      </w:r>
      <w:r w:rsidRPr="00BB505F">
        <w:rPr>
          <w:lang w:val="fr-FR"/>
        </w:rPr>
        <w:tab/>
      </w:r>
      <w:r>
        <w:rPr>
          <w:lang w:val="fr-FR"/>
        </w:rPr>
        <w:t>L’article</w:t>
      </w:r>
      <w:r w:rsidR="00AE3BFD">
        <w:rPr>
          <w:lang w:val="fr-FR"/>
        </w:rPr>
        <w:t xml:space="preserve"> </w:t>
      </w:r>
      <w:r w:rsidRPr="00BB505F">
        <w:rPr>
          <w:lang w:val="fr-FR"/>
        </w:rPr>
        <w:t xml:space="preserve">23 </w:t>
      </w:r>
      <w:r>
        <w:rPr>
          <w:lang w:val="fr-FR"/>
        </w:rPr>
        <w:t xml:space="preserve">de la </w:t>
      </w:r>
      <w:r w:rsidRPr="00BB505F">
        <w:rPr>
          <w:lang w:val="fr-FR"/>
        </w:rPr>
        <w:t xml:space="preserve">Constitution </w:t>
      </w:r>
      <w:r>
        <w:rPr>
          <w:lang w:val="fr-FR"/>
        </w:rPr>
        <w:t>interdit d’introduire dans toute loi une disposition discriminatoire en elle-même ou dans ses effets. L’État partie est d’avis que l’interdiction de toute loi discriminatoire en elle-même se rapporte à la discrimination directe, tandis que l’interdiction de toute loi discriminatoire dans ses effets se rapporte à la discrimination indirecte</w:t>
      </w:r>
      <w:r w:rsidRPr="00BB505F">
        <w:rPr>
          <w:i/>
          <w:lang w:val="fr-FR"/>
        </w:rPr>
        <w:t>.</w:t>
      </w:r>
    </w:p>
    <w:p w:rsidR="00786D88" w:rsidRPr="00BB505F" w:rsidRDefault="00786D88" w:rsidP="00DC5A77">
      <w:pPr>
        <w:pStyle w:val="H23G"/>
        <w:rPr>
          <w:lang w:val="fr-FR"/>
        </w:rPr>
      </w:pPr>
      <w:r w:rsidRPr="00BB505F">
        <w:rPr>
          <w:lang w:val="fr-FR"/>
        </w:rPr>
        <w:tab/>
        <w:t>B.</w:t>
      </w:r>
      <w:r w:rsidRPr="00BB505F">
        <w:rPr>
          <w:lang w:val="fr-FR"/>
        </w:rPr>
        <w:tab/>
      </w:r>
      <w:r>
        <w:rPr>
          <w:lang w:val="fr-FR"/>
        </w:rPr>
        <w:t xml:space="preserve">Mesures administratives </w:t>
      </w:r>
    </w:p>
    <w:p w:rsidR="00786D88" w:rsidRPr="00BB505F" w:rsidRDefault="00786D88" w:rsidP="00DC5A77">
      <w:pPr>
        <w:pStyle w:val="SingleTxtG"/>
        <w:rPr>
          <w:lang w:val="fr-FR"/>
        </w:rPr>
      </w:pPr>
      <w:r w:rsidRPr="00BB505F">
        <w:rPr>
          <w:lang w:val="fr-FR"/>
        </w:rPr>
        <w:t>60.</w:t>
      </w:r>
      <w:r w:rsidRPr="00BB505F">
        <w:rPr>
          <w:lang w:val="fr-FR"/>
        </w:rPr>
        <w:tab/>
      </w:r>
      <w:r>
        <w:rPr>
          <w:lang w:val="fr-FR"/>
        </w:rPr>
        <w:t>Aucune mesure n’est à signaler</w:t>
      </w:r>
      <w:r w:rsidRPr="00BB505F">
        <w:rPr>
          <w:lang w:val="fr-FR"/>
        </w:rPr>
        <w:t>.</w:t>
      </w:r>
    </w:p>
    <w:p w:rsidR="00786D88" w:rsidRPr="00BB505F" w:rsidRDefault="00786D88" w:rsidP="00DC5A77">
      <w:pPr>
        <w:pStyle w:val="H23G"/>
        <w:rPr>
          <w:lang w:val="fr-FR"/>
        </w:rPr>
      </w:pPr>
      <w:r w:rsidRPr="00BB505F">
        <w:rPr>
          <w:lang w:val="fr-FR"/>
        </w:rPr>
        <w:tab/>
        <w:t>C.</w:t>
      </w:r>
      <w:r w:rsidRPr="00BB505F">
        <w:rPr>
          <w:lang w:val="fr-FR"/>
        </w:rPr>
        <w:tab/>
      </w:r>
      <w:r>
        <w:rPr>
          <w:lang w:val="fr-FR"/>
        </w:rPr>
        <w:t xml:space="preserve">Mesures judiciaires </w:t>
      </w:r>
    </w:p>
    <w:p w:rsidR="00786D88" w:rsidRPr="00BB505F" w:rsidRDefault="00786D88" w:rsidP="00786D88">
      <w:pPr>
        <w:pStyle w:val="SingleTxtG"/>
        <w:rPr>
          <w:lang w:val="fr-FR"/>
        </w:rPr>
      </w:pPr>
      <w:r w:rsidRPr="00BB505F">
        <w:rPr>
          <w:lang w:val="fr-FR"/>
        </w:rPr>
        <w:t>61.</w:t>
      </w:r>
      <w:r w:rsidRPr="00BB505F">
        <w:rPr>
          <w:lang w:val="fr-FR"/>
        </w:rPr>
        <w:tab/>
      </w:r>
      <w:r>
        <w:rPr>
          <w:lang w:val="fr-FR"/>
        </w:rPr>
        <w:t>Aucune mesure n’est à signaler</w:t>
      </w:r>
      <w:r w:rsidRPr="00BB505F">
        <w:rPr>
          <w:lang w:val="fr-FR"/>
        </w:rPr>
        <w:t>.</w:t>
      </w:r>
    </w:p>
    <w:p w:rsidR="00786D88" w:rsidRPr="00BB505F" w:rsidRDefault="00786D88" w:rsidP="00DC5A77">
      <w:pPr>
        <w:pStyle w:val="H23G"/>
        <w:rPr>
          <w:lang w:val="fr-FR"/>
        </w:rPr>
      </w:pPr>
      <w:r w:rsidRPr="00BB505F">
        <w:rPr>
          <w:lang w:val="fr-FR"/>
        </w:rPr>
        <w:tab/>
        <w:t>D.</w:t>
      </w:r>
      <w:r w:rsidRPr="00BB505F">
        <w:rPr>
          <w:lang w:val="fr-FR"/>
        </w:rPr>
        <w:tab/>
      </w:r>
      <w:r>
        <w:rPr>
          <w:lang w:val="fr-FR"/>
        </w:rPr>
        <w:t>Réserves, déclarations, dérogations, restrictions ou limitations</w:t>
      </w:r>
    </w:p>
    <w:p w:rsidR="00786D88" w:rsidRPr="00BB505F" w:rsidRDefault="00786D88" w:rsidP="00786D88">
      <w:pPr>
        <w:pStyle w:val="SingleTxtG"/>
        <w:rPr>
          <w:lang w:val="fr-FR"/>
        </w:rPr>
      </w:pPr>
      <w:r w:rsidRPr="00BB505F">
        <w:rPr>
          <w:lang w:val="fr-FR"/>
        </w:rPr>
        <w:t>62.</w:t>
      </w:r>
      <w:r w:rsidRPr="00BB505F">
        <w:rPr>
          <w:lang w:val="fr-FR"/>
        </w:rPr>
        <w:tab/>
      </w:r>
      <w:r>
        <w:rPr>
          <w:lang w:val="fr-FR"/>
        </w:rPr>
        <w:t xml:space="preserve">Le </w:t>
      </w:r>
      <w:r w:rsidRPr="00BB505F">
        <w:rPr>
          <w:lang w:val="fr-FR"/>
        </w:rPr>
        <w:t xml:space="preserve">Comité </w:t>
      </w:r>
      <w:r>
        <w:rPr>
          <w:lang w:val="fr-FR"/>
        </w:rPr>
        <w:t>pourrait souhaiter prendre acte du fait que l’</w:t>
      </w:r>
      <w:r w:rsidRPr="00BB505F">
        <w:rPr>
          <w:lang w:val="fr-FR"/>
        </w:rPr>
        <w:t xml:space="preserve">État partie </w:t>
      </w:r>
      <w:r>
        <w:rPr>
          <w:lang w:val="fr-FR"/>
        </w:rPr>
        <w:t>n’a formulé aucune réserve, déclaration, dérogation, restriction ou limitation concernant la portée de la définition de la discrimination raciale</w:t>
      </w:r>
      <w:r w:rsidRPr="00BB505F">
        <w:rPr>
          <w:lang w:val="fr-FR"/>
        </w:rPr>
        <w:t>.</w:t>
      </w:r>
    </w:p>
    <w:p w:rsidR="00786D88" w:rsidRPr="00BB505F" w:rsidRDefault="00786D88" w:rsidP="00DC5A77">
      <w:pPr>
        <w:pStyle w:val="H1G"/>
        <w:rPr>
          <w:lang w:val="fr-FR"/>
        </w:rPr>
      </w:pPr>
      <w:r w:rsidRPr="00BB505F">
        <w:rPr>
          <w:lang w:val="fr-FR"/>
        </w:rPr>
        <w:tab/>
        <w:t>15.</w:t>
      </w:r>
      <w:r w:rsidRPr="00BB505F">
        <w:rPr>
          <w:lang w:val="fr-FR"/>
        </w:rPr>
        <w:tab/>
      </w:r>
      <w:r>
        <w:rPr>
          <w:lang w:val="fr-FR"/>
        </w:rPr>
        <w:t xml:space="preserve">Mesure dans laquelle le droit interne prévoit un traitement différencié en fonction de la citoyenneté ou du statut d’immigration </w:t>
      </w:r>
    </w:p>
    <w:p w:rsidR="00786D88" w:rsidRPr="00BB505F" w:rsidRDefault="00786D88" w:rsidP="00DC5A77">
      <w:pPr>
        <w:pStyle w:val="H23G"/>
        <w:rPr>
          <w:lang w:val="fr-FR"/>
        </w:rPr>
      </w:pPr>
      <w:r w:rsidRPr="00BB505F">
        <w:rPr>
          <w:lang w:val="fr-FR"/>
        </w:rPr>
        <w:tab/>
        <w:t>A.</w:t>
      </w:r>
      <w:r w:rsidRPr="00BB505F">
        <w:rPr>
          <w:lang w:val="fr-FR"/>
        </w:rPr>
        <w:tab/>
      </w:r>
      <w:r>
        <w:rPr>
          <w:lang w:val="fr-FR"/>
        </w:rPr>
        <w:t xml:space="preserve">Mesures législatives </w:t>
      </w:r>
    </w:p>
    <w:p w:rsidR="00786D88" w:rsidRPr="00BB505F" w:rsidRDefault="00786D88" w:rsidP="00786D88">
      <w:pPr>
        <w:pStyle w:val="SingleTxtG"/>
        <w:rPr>
          <w:rFonts w:eastAsia="Calibri"/>
          <w:lang w:val="fr-FR"/>
        </w:rPr>
      </w:pPr>
      <w:r w:rsidRPr="00BB505F">
        <w:rPr>
          <w:lang w:val="fr-FR"/>
        </w:rPr>
        <w:t>63.</w:t>
      </w:r>
      <w:r w:rsidRPr="00BB505F">
        <w:rPr>
          <w:lang w:val="fr-FR"/>
        </w:rPr>
        <w:tab/>
      </w:r>
      <w:r>
        <w:rPr>
          <w:lang w:val="fr-FR"/>
        </w:rPr>
        <w:t>L’article</w:t>
      </w:r>
      <w:r w:rsidR="00AE3BFD">
        <w:rPr>
          <w:lang w:val="fr-FR"/>
        </w:rPr>
        <w:t xml:space="preserve"> </w:t>
      </w:r>
      <w:r>
        <w:rPr>
          <w:lang w:val="fr-FR"/>
        </w:rPr>
        <w:t xml:space="preserve">22 de la </w:t>
      </w:r>
      <w:r w:rsidRPr="00BB505F">
        <w:rPr>
          <w:lang w:val="fr-FR"/>
        </w:rPr>
        <w:t xml:space="preserve">Constitution </w:t>
      </w:r>
      <w:r>
        <w:rPr>
          <w:lang w:val="fr-FR"/>
        </w:rPr>
        <w:t xml:space="preserve">zambienne garantit la liberté de circulation. L’alinéa b) du paragraphe 3 de cet article détermine toutefois qu’aucune disposition énoncée ou appliquée conformément à une loi quelconque ne peut être considérée comme incompatible avec ledit </w:t>
      </w:r>
      <w:r w:rsidRPr="00AF059F">
        <w:rPr>
          <w:lang w:val="fr-FR"/>
        </w:rPr>
        <w:t>article</w:t>
      </w:r>
      <w:r>
        <w:rPr>
          <w:lang w:val="fr-FR"/>
        </w:rPr>
        <w:t>, ou contraire à ses dispositions, s’il est établi que la loi en question prévoit l’imposition de restrictions à la liberté de circulation de personnes qui ne sont pas des citoyens zambiens</w:t>
      </w:r>
      <w:r w:rsidRPr="00BB505F">
        <w:rPr>
          <w:lang w:val="fr-FR"/>
        </w:rPr>
        <w:t>.</w:t>
      </w:r>
    </w:p>
    <w:p w:rsidR="00786D88" w:rsidRPr="00BB505F" w:rsidRDefault="00786D88" w:rsidP="00786D88">
      <w:pPr>
        <w:pStyle w:val="SingleTxtG"/>
        <w:rPr>
          <w:lang w:val="fr-FR"/>
        </w:rPr>
      </w:pPr>
      <w:r w:rsidRPr="00BB505F">
        <w:rPr>
          <w:lang w:val="fr-FR"/>
        </w:rPr>
        <w:t>64.</w:t>
      </w:r>
      <w:r w:rsidRPr="00BB505F">
        <w:rPr>
          <w:lang w:val="fr-FR"/>
        </w:rPr>
        <w:tab/>
        <w:t xml:space="preserve">L’État partie </w:t>
      </w:r>
      <w:r>
        <w:rPr>
          <w:lang w:val="fr-FR"/>
        </w:rPr>
        <w:t>tient à indiquer qu’il respecte les droits de l’homme, mais que sa législation prévoit l’application d’un traitement différencié en fonction de la citoyenneté ou du statut d’immigration de manière à autonomiser les Zambiens</w:t>
      </w:r>
      <w:r w:rsidRPr="00BB505F">
        <w:rPr>
          <w:lang w:val="fr-FR"/>
        </w:rPr>
        <w:t xml:space="preserve">. </w:t>
      </w:r>
      <w:r>
        <w:rPr>
          <w:lang w:val="fr-FR"/>
        </w:rPr>
        <w:t>Par exemple, l’article</w:t>
      </w:r>
      <w:r w:rsidR="00AE3BFD">
        <w:rPr>
          <w:lang w:val="fr-FR"/>
        </w:rPr>
        <w:t xml:space="preserve"> </w:t>
      </w:r>
      <w:r>
        <w:rPr>
          <w:lang w:val="fr-FR"/>
        </w:rPr>
        <w:t>3 de la loi de</w:t>
      </w:r>
      <w:r w:rsidR="00DC5A77">
        <w:rPr>
          <w:lang w:val="fr-FR"/>
        </w:rPr>
        <w:t xml:space="preserve"> </w:t>
      </w:r>
      <w:r>
        <w:rPr>
          <w:lang w:val="fr-FR"/>
        </w:rPr>
        <w:t xml:space="preserve">2006 sur l’autonomisation économique des citoyens dispose que le terme citoyen s’entend d’un citoyen zambien. La loi dispose également dans </w:t>
      </w:r>
      <w:r w:rsidR="00DC5A77">
        <w:rPr>
          <w:lang w:val="fr-FR"/>
        </w:rPr>
        <w:t>cet article qu’entre 25 % et 50 </w:t>
      </w:r>
      <w:r>
        <w:rPr>
          <w:lang w:val="fr-FR"/>
        </w:rPr>
        <w:t>% des fonds propres des société</w:t>
      </w:r>
      <w:r w:rsidR="000C4EE3">
        <w:rPr>
          <w:lang w:val="fr-FR"/>
        </w:rPr>
        <w:t xml:space="preserve">s d’autonomisation des citoyens </w:t>
      </w:r>
      <w:r>
        <w:rPr>
          <w:lang w:val="fr-FR"/>
        </w:rPr>
        <w:t xml:space="preserve">doivent être détenus par des citoyens. Elle définit le concept de « société sous contrôle de citoyens » en tant que société dont entre 5 % et 25 % des fonds propres sont détenus par des citoyens et dont la </w:t>
      </w:r>
      <w:r>
        <w:rPr>
          <w:lang w:val="fr-FR"/>
        </w:rPr>
        <w:lastRenderedPageBreak/>
        <w:t>gestion est contrôlée dans une large mesure par ces derniers et celui de « société appartenant à des citoyens » en tant que société dont au moins 51 % des fonds propres sont détenus par des citoyens et dont la gestion est contrôlée dans une large mesure par ces derniers. L’article</w:t>
      </w:r>
      <w:r w:rsidR="00AE3BFD">
        <w:rPr>
          <w:lang w:val="fr-FR"/>
        </w:rPr>
        <w:t xml:space="preserve"> </w:t>
      </w:r>
      <w:r>
        <w:rPr>
          <w:lang w:val="fr-FR"/>
        </w:rPr>
        <w:t>13 de la loi stipule que la Commission est habilitée à prendre des mesures d’autonomisation économique visant les citoyens et les sociétés appartenant à des citoyens</w:t>
      </w:r>
      <w:r w:rsidRPr="00BB505F">
        <w:rPr>
          <w:lang w:val="fr-FR"/>
        </w:rPr>
        <w:t>.</w:t>
      </w:r>
    </w:p>
    <w:p w:rsidR="00786D88" w:rsidRPr="00FE3C46" w:rsidRDefault="00786D88" w:rsidP="00786D88">
      <w:pPr>
        <w:pStyle w:val="SingleTxtG"/>
        <w:rPr>
          <w:sz w:val="24"/>
          <w:szCs w:val="24"/>
          <w:lang w:val="fr-FR"/>
        </w:rPr>
      </w:pPr>
      <w:r w:rsidRPr="005958B1">
        <w:t>65.</w:t>
      </w:r>
      <w:r w:rsidRPr="005958B1">
        <w:tab/>
      </w:r>
      <w:r w:rsidRPr="00FE3C46">
        <w:rPr>
          <w:lang w:val="fr-FR"/>
        </w:rPr>
        <w:t xml:space="preserve">L’État partie </w:t>
      </w:r>
      <w:r>
        <w:rPr>
          <w:lang w:val="fr-FR"/>
        </w:rPr>
        <w:t>tient à indiquer que l’article</w:t>
      </w:r>
      <w:r w:rsidR="00AE3BFD">
        <w:rPr>
          <w:lang w:val="fr-FR"/>
        </w:rPr>
        <w:t xml:space="preserve"> </w:t>
      </w:r>
      <w:r>
        <w:rPr>
          <w:lang w:val="fr-FR"/>
        </w:rPr>
        <w:t xml:space="preserve">38 de la loi </w:t>
      </w:r>
      <w:r w:rsidR="00DC5A77" w:rsidRPr="00DC5A77">
        <w:rPr>
          <w:rFonts w:eastAsia="MS Mincho"/>
          <w:szCs w:val="22"/>
          <w:lang w:val="fr-FR"/>
        </w:rPr>
        <w:t>n</w:t>
      </w:r>
      <w:r w:rsidR="00DC5A77" w:rsidRPr="00DC5A77">
        <w:rPr>
          <w:rFonts w:eastAsia="MS Mincho"/>
          <w:szCs w:val="22"/>
          <w:vertAlign w:val="superscript"/>
          <w:lang w:val="fr-FR"/>
        </w:rPr>
        <w:t>o</w:t>
      </w:r>
      <w:r w:rsidR="00DC5A77">
        <w:rPr>
          <w:lang w:val="fr-FR"/>
        </w:rPr>
        <w:t> </w:t>
      </w:r>
      <w:r>
        <w:rPr>
          <w:lang w:val="fr-FR"/>
        </w:rPr>
        <w:t>11 de</w:t>
      </w:r>
      <w:r w:rsidR="00DC5A77">
        <w:rPr>
          <w:lang w:val="fr-FR"/>
        </w:rPr>
        <w:t xml:space="preserve"> </w:t>
      </w:r>
      <w:r>
        <w:rPr>
          <w:lang w:val="fr-FR"/>
        </w:rPr>
        <w:t>2006 sur l’Agence zambienne de développement prévoit l’acquisition d’actions par les citoyens zambiens. Elle dispose ce qui suit </w:t>
      </w:r>
      <w:r w:rsidRPr="00FE3C46">
        <w:rPr>
          <w:lang w:val="fr-FR"/>
        </w:rPr>
        <w:t>:</w:t>
      </w:r>
    </w:p>
    <w:p w:rsidR="00786D88" w:rsidRPr="00FE3C46" w:rsidRDefault="00786D88" w:rsidP="006832EA">
      <w:pPr>
        <w:pStyle w:val="SingleTxtG"/>
        <w:ind w:firstLine="567"/>
        <w:rPr>
          <w:lang w:val="fr-FR"/>
        </w:rPr>
      </w:pPr>
      <w:r>
        <w:rPr>
          <w:lang w:val="fr-FR"/>
        </w:rPr>
        <w:t>« Les dispositions ci-après s’appliquent aux citoyens zambiens </w:t>
      </w:r>
      <w:r w:rsidRPr="00FE3C46">
        <w:rPr>
          <w:lang w:val="fr-FR"/>
        </w:rPr>
        <w:t>:</w:t>
      </w:r>
    </w:p>
    <w:p w:rsidR="00786D88" w:rsidRPr="00FE3C46" w:rsidRDefault="00786D88" w:rsidP="006832EA">
      <w:pPr>
        <w:pStyle w:val="SingleTxtG"/>
        <w:ind w:firstLine="567"/>
        <w:rPr>
          <w:lang w:val="fr-FR"/>
        </w:rPr>
      </w:pPr>
      <w:r w:rsidRPr="00FE3C46">
        <w:rPr>
          <w:lang w:val="fr-FR"/>
        </w:rPr>
        <w:t>i)</w:t>
      </w:r>
      <w:r w:rsidRPr="00FE3C46">
        <w:rPr>
          <w:lang w:val="fr-FR"/>
        </w:rPr>
        <w:tab/>
      </w:r>
      <w:r>
        <w:rPr>
          <w:lang w:val="fr-FR"/>
        </w:rPr>
        <w:t>Des titres ou des actifs peuvent être proposés moyennant une décote à des personnes acquérant un petit nombre d’actions ou d’actifs</w:t>
      </w:r>
      <w:r w:rsidR="00DC5A77">
        <w:rPr>
          <w:lang w:val="fr-FR"/>
        </w:rPr>
        <w:t> </w:t>
      </w:r>
      <w:r w:rsidRPr="00FE3C46">
        <w:rPr>
          <w:lang w:val="fr-FR"/>
        </w:rPr>
        <w:t>;</w:t>
      </w:r>
    </w:p>
    <w:p w:rsidR="00786D88" w:rsidRPr="00FE3C46" w:rsidRDefault="00786D88" w:rsidP="006832EA">
      <w:pPr>
        <w:pStyle w:val="SingleTxtG"/>
        <w:ind w:firstLine="567"/>
        <w:rPr>
          <w:lang w:val="fr-FR"/>
        </w:rPr>
      </w:pPr>
      <w:r w:rsidRPr="00FE3C46">
        <w:rPr>
          <w:lang w:val="fr-FR"/>
        </w:rPr>
        <w:t>ii)</w:t>
      </w:r>
      <w:r w:rsidRPr="00FE3C46">
        <w:rPr>
          <w:lang w:val="fr-FR"/>
        </w:rPr>
        <w:tab/>
      </w:r>
      <w:r>
        <w:rPr>
          <w:lang w:val="fr-FR"/>
        </w:rPr>
        <w:t>Une prime sous forme d’actions est versée à la fin d’une période déterminée aux petits actionnaires qui ont conservé leurs actions </w:t>
      </w:r>
      <w:r w:rsidRPr="00FE3C46">
        <w:rPr>
          <w:lang w:val="fr-FR"/>
        </w:rPr>
        <w:t>;</w:t>
      </w:r>
    </w:p>
    <w:p w:rsidR="00786D88" w:rsidRPr="00FE3C46" w:rsidRDefault="00786D88" w:rsidP="006832EA">
      <w:pPr>
        <w:pStyle w:val="SingleTxtG"/>
        <w:ind w:firstLine="567"/>
        <w:rPr>
          <w:lang w:val="fr-FR"/>
        </w:rPr>
      </w:pPr>
      <w:r w:rsidRPr="00FE3C46">
        <w:rPr>
          <w:lang w:val="fr-FR"/>
        </w:rPr>
        <w:t>iii)</w:t>
      </w:r>
      <w:r w:rsidRPr="00FE3C46">
        <w:rPr>
          <w:lang w:val="fr-FR"/>
        </w:rPr>
        <w:tab/>
      </w:r>
      <w:r>
        <w:rPr>
          <w:lang w:val="fr-FR"/>
        </w:rPr>
        <w:t>Les particuliers, la direction et les employés de l’entreprise publique peuvent acquérir des actions ou des actifs par tranche </w:t>
      </w:r>
      <w:r w:rsidRPr="00FE3C46">
        <w:rPr>
          <w:lang w:val="fr-FR"/>
        </w:rPr>
        <w:t xml:space="preserve">; </w:t>
      </w:r>
    </w:p>
    <w:p w:rsidR="00786D88" w:rsidRPr="00FE3C46" w:rsidRDefault="00786D88" w:rsidP="006832EA">
      <w:pPr>
        <w:pStyle w:val="SingleTxtG"/>
        <w:ind w:firstLine="567"/>
        <w:rPr>
          <w:lang w:val="fr-FR"/>
        </w:rPr>
      </w:pPr>
      <w:r w:rsidRPr="00FE3C46">
        <w:rPr>
          <w:lang w:val="fr-FR"/>
        </w:rPr>
        <w:t>iv)</w:t>
      </w:r>
      <w:r w:rsidRPr="00FE3C46">
        <w:rPr>
          <w:lang w:val="fr-FR"/>
        </w:rPr>
        <w:tab/>
      </w:r>
      <w:r>
        <w:rPr>
          <w:lang w:val="fr-FR"/>
        </w:rPr>
        <w:t>Les particuliers peuvent participer à l’acquisition d’actions ou d’actifs qui peuvent avoir été transférés d’une entreprise publique à un compte fiduciaire de privatisation établi conformément à l’article cinquante-deux</w:t>
      </w:r>
      <w:r w:rsidR="00DC5A77">
        <w:rPr>
          <w:lang w:val="fr-FR"/>
        </w:rPr>
        <w:t>.</w:t>
      </w:r>
      <w:r>
        <w:rPr>
          <w:lang w:val="fr-FR"/>
        </w:rPr>
        <w:t> »</w:t>
      </w:r>
      <w:r w:rsidRPr="00FE3C46">
        <w:rPr>
          <w:lang w:val="fr-FR"/>
        </w:rPr>
        <w:t>.</w:t>
      </w:r>
    </w:p>
    <w:p w:rsidR="00786D88" w:rsidRPr="00FE3C46" w:rsidRDefault="00786D88" w:rsidP="00DC5A77">
      <w:pPr>
        <w:pStyle w:val="HChG"/>
        <w:rPr>
          <w:lang w:val="fr-FR"/>
        </w:rPr>
      </w:pPr>
      <w:r w:rsidRPr="00FE3C46">
        <w:rPr>
          <w:lang w:val="fr-FR"/>
        </w:rPr>
        <w:tab/>
      </w:r>
      <w:r w:rsidRPr="00FE3C46">
        <w:rPr>
          <w:lang w:val="fr-FR"/>
        </w:rPr>
        <w:tab/>
        <w:t>Article 2</w:t>
      </w:r>
    </w:p>
    <w:p w:rsidR="00786D88" w:rsidRPr="00FE3C46" w:rsidRDefault="00786D88" w:rsidP="00DC5A77">
      <w:pPr>
        <w:pStyle w:val="H1G"/>
        <w:rPr>
          <w:lang w:val="fr-FR"/>
        </w:rPr>
      </w:pPr>
      <w:r w:rsidRPr="00FE3C46">
        <w:rPr>
          <w:lang w:val="fr-FR"/>
        </w:rPr>
        <w:tab/>
        <w:t>16.</w:t>
      </w:r>
      <w:r w:rsidRPr="00FE3C46">
        <w:rPr>
          <w:lang w:val="fr-FR"/>
        </w:rPr>
        <w:tab/>
      </w:r>
      <w:r>
        <w:rPr>
          <w:lang w:val="fr-FR"/>
        </w:rPr>
        <w:t xml:space="preserve">Brève description du cadre juridique et des politiques générales visant à éliminer la discrimination raciale </w:t>
      </w:r>
    </w:p>
    <w:p w:rsidR="00786D88" w:rsidRPr="00FE3C46" w:rsidRDefault="00786D88" w:rsidP="00DC5A77">
      <w:pPr>
        <w:pStyle w:val="H23G"/>
        <w:rPr>
          <w:lang w:val="fr-FR"/>
        </w:rPr>
      </w:pPr>
      <w:r w:rsidRPr="00FE3C46">
        <w:rPr>
          <w:lang w:val="fr-FR"/>
        </w:rPr>
        <w:tab/>
        <w:t>A.</w:t>
      </w:r>
      <w:r w:rsidRPr="00FE3C46">
        <w:rPr>
          <w:lang w:val="fr-FR"/>
        </w:rPr>
        <w:tab/>
      </w:r>
      <w:r>
        <w:rPr>
          <w:lang w:val="fr-FR"/>
        </w:rPr>
        <w:t xml:space="preserve">Mesures législatives </w:t>
      </w:r>
    </w:p>
    <w:p w:rsidR="00786D88" w:rsidRPr="00FE3C46" w:rsidRDefault="00786D88" w:rsidP="00786D88">
      <w:pPr>
        <w:pStyle w:val="SingleTxtG"/>
        <w:rPr>
          <w:lang w:val="fr-FR"/>
        </w:rPr>
      </w:pPr>
      <w:r w:rsidRPr="00FE3C46">
        <w:rPr>
          <w:lang w:val="fr-FR"/>
        </w:rPr>
        <w:t>66.</w:t>
      </w:r>
      <w:r w:rsidRPr="00FE3C46">
        <w:rPr>
          <w:lang w:val="fr-FR"/>
        </w:rPr>
        <w:tab/>
      </w:r>
      <w:r>
        <w:rPr>
          <w:lang w:val="fr-FR"/>
        </w:rPr>
        <w:t>Aucune nouvelle mesure n’est à signaler</w:t>
      </w:r>
      <w:r w:rsidRPr="00FE3C46">
        <w:rPr>
          <w:lang w:val="fr-FR"/>
        </w:rPr>
        <w:t>.</w:t>
      </w:r>
    </w:p>
    <w:p w:rsidR="00786D88" w:rsidRPr="00FE3C46" w:rsidRDefault="00786D88" w:rsidP="00786D88">
      <w:pPr>
        <w:pStyle w:val="H23G"/>
        <w:rPr>
          <w:lang w:val="fr-FR" w:eastAsia="en-GB"/>
        </w:rPr>
      </w:pPr>
      <w:r w:rsidRPr="00FE3C46">
        <w:rPr>
          <w:lang w:val="fr-FR"/>
        </w:rPr>
        <w:tab/>
        <w:t>B</w:t>
      </w:r>
      <w:r w:rsidRPr="00FE3C46">
        <w:rPr>
          <w:lang w:val="fr-FR" w:eastAsia="en-GB"/>
        </w:rPr>
        <w:t>.</w:t>
      </w:r>
      <w:r w:rsidRPr="00FE3C46">
        <w:rPr>
          <w:lang w:val="fr-FR" w:eastAsia="en-GB"/>
        </w:rPr>
        <w:tab/>
      </w:r>
      <w:r>
        <w:rPr>
          <w:lang w:val="fr-FR" w:eastAsia="en-GB"/>
        </w:rPr>
        <w:t xml:space="preserve">Mesures administratives </w:t>
      </w:r>
    </w:p>
    <w:p w:rsidR="00786D88" w:rsidRPr="00FE3C46" w:rsidRDefault="00786D88" w:rsidP="00786D88">
      <w:pPr>
        <w:pStyle w:val="SingleTxtG"/>
        <w:rPr>
          <w:lang w:val="fr-FR" w:eastAsia="en-GB"/>
        </w:rPr>
      </w:pPr>
      <w:r w:rsidRPr="00FE3C46">
        <w:rPr>
          <w:lang w:val="fr-FR" w:eastAsia="en-GB"/>
        </w:rPr>
        <w:t>67.</w:t>
      </w:r>
      <w:r w:rsidRPr="00FE3C46">
        <w:rPr>
          <w:lang w:val="fr-FR" w:eastAsia="en-GB"/>
        </w:rPr>
        <w:tab/>
      </w:r>
      <w:r>
        <w:rPr>
          <w:lang w:val="fr-FR" w:eastAsia="en-GB"/>
        </w:rPr>
        <w:t>Le Comité est invité à prendre note du fait que le Service de l’immigration du Ministère des affaires intérieures a constitué un C</w:t>
      </w:r>
      <w:r w:rsidRPr="00033FD4">
        <w:rPr>
          <w:lang w:val="fr-FR" w:eastAsia="en-GB"/>
        </w:rPr>
        <w:t xml:space="preserve">omité sur l’intégrité qui est chargé </w:t>
      </w:r>
      <w:r>
        <w:rPr>
          <w:lang w:val="fr-FR" w:eastAsia="en-GB"/>
        </w:rPr>
        <w:t>de prévenir, de décourager, de détecter et d’exposer toute affaire de discrimination raciale</w:t>
      </w:r>
      <w:r w:rsidRPr="00FE3C46">
        <w:rPr>
          <w:lang w:val="fr-FR" w:eastAsia="en-GB"/>
        </w:rPr>
        <w:t>.</w:t>
      </w:r>
    </w:p>
    <w:p w:rsidR="00786D88" w:rsidRPr="00FE3C46" w:rsidRDefault="00786D88" w:rsidP="00786D88">
      <w:pPr>
        <w:pStyle w:val="H23G"/>
        <w:rPr>
          <w:lang w:val="fr-FR" w:eastAsia="en-GB"/>
        </w:rPr>
      </w:pPr>
      <w:r w:rsidRPr="00FE3C46">
        <w:rPr>
          <w:lang w:val="fr-FR" w:eastAsia="en-GB"/>
        </w:rPr>
        <w:tab/>
        <w:t>C.</w:t>
      </w:r>
      <w:r w:rsidRPr="00FE3C46">
        <w:rPr>
          <w:lang w:val="fr-FR" w:eastAsia="en-GB"/>
        </w:rPr>
        <w:tab/>
      </w:r>
      <w:r>
        <w:rPr>
          <w:lang w:val="fr-FR" w:eastAsia="en-GB"/>
        </w:rPr>
        <w:t xml:space="preserve">Mesures judiciaires </w:t>
      </w:r>
    </w:p>
    <w:p w:rsidR="00786D88" w:rsidRPr="00FE3C46" w:rsidRDefault="00786D88" w:rsidP="00786D88">
      <w:pPr>
        <w:pStyle w:val="SingleTxtG"/>
        <w:rPr>
          <w:lang w:val="fr-FR" w:eastAsia="en-GB"/>
        </w:rPr>
      </w:pPr>
      <w:r w:rsidRPr="00FE3C46">
        <w:rPr>
          <w:lang w:val="fr-FR"/>
        </w:rPr>
        <w:t>68.</w:t>
      </w:r>
      <w:r w:rsidRPr="00FE3C46">
        <w:rPr>
          <w:lang w:val="fr-FR"/>
        </w:rPr>
        <w:tab/>
      </w:r>
      <w:r w:rsidRPr="00FE3C46">
        <w:rPr>
          <w:lang w:val="fr-FR" w:eastAsia="en-GB"/>
        </w:rPr>
        <w:t xml:space="preserve">L’État partie </w:t>
      </w:r>
      <w:r>
        <w:rPr>
          <w:lang w:val="fr-FR" w:eastAsia="en-GB"/>
        </w:rPr>
        <w:t>indique qu’aucune nouvelle mesure n’est à signaler</w:t>
      </w:r>
      <w:r w:rsidRPr="00FE3C46">
        <w:rPr>
          <w:lang w:val="fr-FR" w:eastAsia="en-GB"/>
        </w:rPr>
        <w:t>.</w:t>
      </w:r>
    </w:p>
    <w:p w:rsidR="00786D88" w:rsidRPr="00FE3C46" w:rsidRDefault="00786D88" w:rsidP="00DC5A77">
      <w:pPr>
        <w:pStyle w:val="H1G"/>
        <w:rPr>
          <w:lang w:val="fr-FR" w:eastAsia="en-GB"/>
        </w:rPr>
      </w:pPr>
      <w:r w:rsidRPr="00FE3C46">
        <w:rPr>
          <w:lang w:val="fr-FR" w:eastAsia="en-GB"/>
        </w:rPr>
        <w:tab/>
        <w:t>17.</w:t>
      </w:r>
      <w:r w:rsidRPr="00FE3C46">
        <w:rPr>
          <w:lang w:val="fr-FR" w:eastAsia="en-GB"/>
        </w:rPr>
        <w:tab/>
      </w:r>
      <w:r>
        <w:rPr>
          <w:lang w:val="fr-FR" w:eastAsia="en-GB"/>
        </w:rPr>
        <w:t>Donner effet à l’engagement </w:t>
      </w:r>
      <w:r w:rsidRPr="00FE3C46">
        <w:rPr>
          <w:lang w:val="fr-FR" w:eastAsia="en-GB"/>
        </w:rPr>
        <w:t>:</w:t>
      </w:r>
    </w:p>
    <w:p w:rsidR="00786D88" w:rsidRPr="00FE3C46" w:rsidRDefault="00786D88" w:rsidP="00786D88">
      <w:pPr>
        <w:pStyle w:val="SingleTxtG"/>
        <w:ind w:firstLine="567"/>
        <w:rPr>
          <w:b/>
          <w:lang w:val="fr-FR" w:eastAsia="en-GB"/>
        </w:rPr>
      </w:pPr>
      <w:r w:rsidRPr="00FE3C46">
        <w:rPr>
          <w:b/>
          <w:lang w:val="fr-FR" w:eastAsia="en-GB"/>
        </w:rPr>
        <w:t>i)</w:t>
      </w:r>
      <w:r w:rsidRPr="00FE3C46">
        <w:rPr>
          <w:b/>
          <w:lang w:val="fr-FR" w:eastAsia="en-GB"/>
        </w:rPr>
        <w:tab/>
      </w:r>
      <w:r w:rsidR="006832EA">
        <w:rPr>
          <w:b/>
          <w:lang w:val="fr-FR" w:eastAsia="en-GB"/>
        </w:rPr>
        <w:t>D</w:t>
      </w:r>
      <w:r>
        <w:rPr>
          <w:b/>
          <w:lang w:val="fr-FR" w:eastAsia="en-GB"/>
        </w:rPr>
        <w:t>e ne se livrer à aucun acte ou pratique de discrimination raciale contre des personnes, des groupes de personnes ou des institutions </w:t>
      </w:r>
      <w:r w:rsidRPr="00FE3C46">
        <w:rPr>
          <w:b/>
          <w:lang w:val="fr-FR" w:eastAsia="en-GB"/>
        </w:rPr>
        <w:t>;</w:t>
      </w:r>
    </w:p>
    <w:p w:rsidR="00786D88" w:rsidRPr="00FE3C46" w:rsidRDefault="00786D88" w:rsidP="00786D88">
      <w:pPr>
        <w:pStyle w:val="SingleTxtG"/>
        <w:ind w:firstLine="567"/>
        <w:rPr>
          <w:b/>
          <w:lang w:val="fr-FR" w:eastAsia="en-GB"/>
        </w:rPr>
      </w:pPr>
      <w:r w:rsidRPr="00FE3C46">
        <w:rPr>
          <w:b/>
          <w:lang w:val="fr-FR" w:eastAsia="en-GB"/>
        </w:rPr>
        <w:t>ii)</w:t>
      </w:r>
      <w:r w:rsidRPr="00FE3C46">
        <w:rPr>
          <w:b/>
          <w:lang w:val="fr-FR" w:eastAsia="en-GB"/>
        </w:rPr>
        <w:tab/>
      </w:r>
      <w:r w:rsidR="006832EA">
        <w:rPr>
          <w:b/>
          <w:lang w:val="fr-FR" w:eastAsia="en-GB"/>
        </w:rPr>
        <w:t>D</w:t>
      </w:r>
      <w:r>
        <w:rPr>
          <w:b/>
          <w:lang w:val="fr-FR" w:eastAsia="en-GB"/>
        </w:rPr>
        <w:t>’interdire la discrimination raciale pratiquée par des personnes, des groupes ou des organisations </w:t>
      </w:r>
      <w:r w:rsidRPr="00FE3C46">
        <w:rPr>
          <w:b/>
          <w:lang w:val="fr-FR" w:eastAsia="en-GB"/>
        </w:rPr>
        <w:t xml:space="preserve">; </w:t>
      </w:r>
    </w:p>
    <w:p w:rsidR="00786D88" w:rsidRPr="00FE3C46" w:rsidRDefault="00786D88" w:rsidP="00786D88">
      <w:pPr>
        <w:pStyle w:val="SingleTxtG"/>
        <w:ind w:firstLine="567"/>
        <w:rPr>
          <w:b/>
          <w:lang w:val="fr-FR" w:eastAsia="en-GB"/>
        </w:rPr>
      </w:pPr>
      <w:r w:rsidRPr="00FE3C46">
        <w:rPr>
          <w:b/>
          <w:lang w:val="fr-FR" w:eastAsia="en-GB"/>
        </w:rPr>
        <w:t>iii)</w:t>
      </w:r>
      <w:r w:rsidRPr="00FE3C46">
        <w:rPr>
          <w:b/>
          <w:lang w:val="fr-FR" w:eastAsia="en-GB"/>
        </w:rPr>
        <w:tab/>
      </w:r>
      <w:r w:rsidR="006832EA">
        <w:rPr>
          <w:b/>
          <w:lang w:val="fr-FR" w:eastAsia="en-GB"/>
        </w:rPr>
        <w:t>D</w:t>
      </w:r>
      <w:r>
        <w:rPr>
          <w:b/>
          <w:lang w:val="fr-FR" w:eastAsia="en-GB"/>
        </w:rPr>
        <w:t xml:space="preserve">e ne pas encourager, défendre </w:t>
      </w:r>
      <w:r w:rsidR="00717A51">
        <w:rPr>
          <w:b/>
          <w:lang w:val="fr-FR" w:eastAsia="en-GB"/>
        </w:rPr>
        <w:t xml:space="preserve">ou </w:t>
      </w:r>
      <w:r>
        <w:rPr>
          <w:b/>
          <w:lang w:val="fr-FR" w:eastAsia="en-GB"/>
        </w:rPr>
        <w:t>soutenir la discrimination raciale par des personnes ou des organisations</w:t>
      </w:r>
      <w:r w:rsidRPr="00FE3C46">
        <w:rPr>
          <w:b/>
          <w:lang w:val="fr-FR" w:eastAsia="en-GB"/>
        </w:rPr>
        <w:t>.</w:t>
      </w:r>
    </w:p>
    <w:p w:rsidR="00786D88" w:rsidRPr="00FE3C46" w:rsidRDefault="00786D88" w:rsidP="006832EA">
      <w:pPr>
        <w:pStyle w:val="H23G"/>
        <w:rPr>
          <w:lang w:val="fr-FR" w:eastAsia="en-GB"/>
        </w:rPr>
      </w:pPr>
      <w:r w:rsidRPr="00FE3C46">
        <w:rPr>
          <w:lang w:val="fr-FR" w:eastAsia="en-GB"/>
        </w:rPr>
        <w:tab/>
        <w:t>A.</w:t>
      </w:r>
      <w:r w:rsidRPr="00FE3C46">
        <w:rPr>
          <w:lang w:val="fr-FR" w:eastAsia="en-GB"/>
        </w:rPr>
        <w:tab/>
      </w:r>
      <w:r>
        <w:rPr>
          <w:lang w:val="fr-FR" w:eastAsia="en-GB"/>
        </w:rPr>
        <w:t xml:space="preserve">Mesures législatives </w:t>
      </w:r>
    </w:p>
    <w:p w:rsidR="00786D88" w:rsidRPr="00FE3C46" w:rsidRDefault="00786D88" w:rsidP="00786D88">
      <w:pPr>
        <w:pStyle w:val="SingleTxtG"/>
        <w:rPr>
          <w:lang w:val="fr-FR"/>
        </w:rPr>
      </w:pPr>
      <w:r w:rsidRPr="00FE3C46">
        <w:rPr>
          <w:lang w:val="fr-FR"/>
        </w:rPr>
        <w:t>69.</w:t>
      </w:r>
      <w:r w:rsidRPr="00FE3C46">
        <w:rPr>
          <w:lang w:val="fr-FR"/>
        </w:rPr>
        <w:tab/>
        <w:t xml:space="preserve">L’État partie </w:t>
      </w:r>
      <w:r>
        <w:rPr>
          <w:lang w:val="fr-FR"/>
        </w:rPr>
        <w:t>tient à indiquer que l’exercice de la discrimination raciale est un acte punissable en vertu de l’article</w:t>
      </w:r>
      <w:r w:rsidR="00AE3BFD">
        <w:rPr>
          <w:lang w:val="fr-FR"/>
        </w:rPr>
        <w:t xml:space="preserve"> </w:t>
      </w:r>
      <w:r>
        <w:rPr>
          <w:lang w:val="fr-FR"/>
        </w:rPr>
        <w:t xml:space="preserve">70 du </w:t>
      </w:r>
      <w:r w:rsidRPr="00FE3C46">
        <w:rPr>
          <w:lang w:val="fr-FR"/>
        </w:rPr>
        <w:t>Code</w:t>
      </w:r>
      <w:r>
        <w:rPr>
          <w:lang w:val="fr-FR"/>
        </w:rPr>
        <w:t xml:space="preserve"> pénal</w:t>
      </w:r>
      <w:r w:rsidRPr="00FE3C46">
        <w:rPr>
          <w:lang w:val="fr-FR"/>
        </w:rPr>
        <w:t>.</w:t>
      </w:r>
      <w:r>
        <w:rPr>
          <w:lang w:val="fr-FR"/>
        </w:rPr>
        <w:t xml:space="preserve"> L’article</w:t>
      </w:r>
      <w:r w:rsidR="00AE3BFD">
        <w:rPr>
          <w:lang w:val="fr-FR"/>
        </w:rPr>
        <w:t xml:space="preserve"> </w:t>
      </w:r>
      <w:r w:rsidRPr="00FE3C46">
        <w:rPr>
          <w:lang w:val="fr-FR"/>
        </w:rPr>
        <w:t xml:space="preserve">70 </w:t>
      </w:r>
      <w:r>
        <w:rPr>
          <w:lang w:val="fr-FR"/>
        </w:rPr>
        <w:t>dispose ce qui suit :</w:t>
      </w:r>
    </w:p>
    <w:p w:rsidR="00786D88" w:rsidRPr="00FE3C46" w:rsidRDefault="00786D88" w:rsidP="006832EA">
      <w:pPr>
        <w:pStyle w:val="SingleTxtG"/>
        <w:ind w:firstLine="567"/>
        <w:rPr>
          <w:lang w:val="fr-FR"/>
        </w:rPr>
      </w:pPr>
      <w:r>
        <w:rPr>
          <w:lang w:val="fr-FR"/>
        </w:rPr>
        <w:t xml:space="preserve">« Toute personne </w:t>
      </w:r>
      <w:r w:rsidRPr="00361643">
        <w:rPr>
          <w:lang w:val="fr-FR"/>
        </w:rPr>
        <w:t>tenant</w:t>
      </w:r>
      <w:r>
        <w:rPr>
          <w:lang w:val="fr-FR"/>
        </w:rPr>
        <w:t>,</w:t>
      </w:r>
      <w:r w:rsidRPr="00361643">
        <w:rPr>
          <w:lang w:val="fr-FR"/>
        </w:rPr>
        <w:t xml:space="preserve"> oralement ou par écrit, des propos exprimant ou manifestant des sentiments de haine, de ridicule ou de mépris à l’égard de toute personne </w:t>
      </w:r>
      <w:r w:rsidRPr="00361643">
        <w:rPr>
          <w:lang w:val="fr-FR"/>
        </w:rPr>
        <w:lastRenderedPageBreak/>
        <w:t xml:space="preserve">ou </w:t>
      </w:r>
      <w:r>
        <w:rPr>
          <w:lang w:val="fr-FR"/>
        </w:rPr>
        <w:t xml:space="preserve">de tout </w:t>
      </w:r>
      <w:r w:rsidRPr="00361643">
        <w:rPr>
          <w:lang w:val="fr-FR"/>
        </w:rPr>
        <w:t>groupe uniquement ou principalement pour des motifs de race, d’appartenance tribale, de lieu d’origine ou de couleur se rend coupable d’une infraction et, si elle est reconnue coupable, est passible d’une peine d’une durée maximale de deux ans</w:t>
      </w:r>
      <w:r>
        <w:rPr>
          <w:lang w:val="fr-FR"/>
        </w:rPr>
        <w:t> »</w:t>
      </w:r>
      <w:r w:rsidRPr="00FE3C46">
        <w:rPr>
          <w:lang w:val="fr-FR"/>
        </w:rPr>
        <w:t>.</w:t>
      </w:r>
    </w:p>
    <w:p w:rsidR="00786D88" w:rsidRPr="00FE3C46" w:rsidRDefault="00786D88" w:rsidP="00786D88">
      <w:pPr>
        <w:pStyle w:val="H23G"/>
        <w:rPr>
          <w:lang w:val="fr-FR"/>
        </w:rPr>
      </w:pPr>
      <w:r w:rsidRPr="00FE3C46">
        <w:rPr>
          <w:lang w:val="fr-FR"/>
        </w:rPr>
        <w:tab/>
        <w:t>B.</w:t>
      </w:r>
      <w:r w:rsidRPr="00FE3C46">
        <w:rPr>
          <w:lang w:val="fr-FR"/>
        </w:rPr>
        <w:tab/>
      </w:r>
      <w:r>
        <w:rPr>
          <w:lang w:val="fr-FR"/>
        </w:rPr>
        <w:t xml:space="preserve">Mesures administratives </w:t>
      </w:r>
    </w:p>
    <w:p w:rsidR="00786D88" w:rsidRPr="00FE3C46" w:rsidRDefault="00786D88" w:rsidP="00786D88">
      <w:pPr>
        <w:pStyle w:val="SingleTxtG"/>
        <w:rPr>
          <w:lang w:val="fr-FR"/>
        </w:rPr>
      </w:pPr>
      <w:r w:rsidRPr="00FE3C46">
        <w:rPr>
          <w:lang w:val="fr-FR"/>
        </w:rPr>
        <w:t>70.</w:t>
      </w:r>
      <w:r w:rsidRPr="00FE3C46">
        <w:rPr>
          <w:lang w:val="fr-FR"/>
        </w:rPr>
        <w:tab/>
      </w:r>
      <w:r>
        <w:rPr>
          <w:lang w:val="fr-FR"/>
        </w:rPr>
        <w:t>Aucune nouvelle mesure n’est à signaler</w:t>
      </w:r>
      <w:r w:rsidRPr="00FE3C46">
        <w:rPr>
          <w:lang w:val="fr-FR"/>
        </w:rPr>
        <w:t>.</w:t>
      </w:r>
    </w:p>
    <w:p w:rsidR="00786D88" w:rsidRPr="00FE3C46" w:rsidRDefault="00786D88" w:rsidP="00786D88">
      <w:pPr>
        <w:pStyle w:val="H23G"/>
        <w:rPr>
          <w:lang w:val="fr-FR"/>
        </w:rPr>
      </w:pPr>
      <w:r w:rsidRPr="00FE3C46">
        <w:rPr>
          <w:lang w:val="fr-FR"/>
        </w:rPr>
        <w:tab/>
        <w:t>C.</w:t>
      </w:r>
      <w:r w:rsidRPr="00FE3C46">
        <w:rPr>
          <w:lang w:val="fr-FR"/>
        </w:rPr>
        <w:tab/>
      </w:r>
      <w:r>
        <w:rPr>
          <w:lang w:val="fr-FR"/>
        </w:rPr>
        <w:t xml:space="preserve">Mesures judiciaires </w:t>
      </w:r>
    </w:p>
    <w:p w:rsidR="00786D88" w:rsidRDefault="00786D88" w:rsidP="00786D88">
      <w:pPr>
        <w:pStyle w:val="SingleTxtG"/>
        <w:rPr>
          <w:lang w:val="fr-FR"/>
        </w:rPr>
      </w:pPr>
      <w:r w:rsidRPr="00FE3C46">
        <w:rPr>
          <w:lang w:val="fr-FR"/>
        </w:rPr>
        <w:t>71.</w:t>
      </w:r>
      <w:r w:rsidRPr="00FE3C46">
        <w:rPr>
          <w:lang w:val="fr-FR"/>
        </w:rPr>
        <w:tab/>
      </w:r>
      <w:r>
        <w:rPr>
          <w:lang w:val="fr-FR"/>
        </w:rPr>
        <w:t>Aucune nouvelle mesure n’est à signaler</w:t>
      </w:r>
      <w:r w:rsidRPr="00FE3C46">
        <w:rPr>
          <w:lang w:val="fr-FR"/>
        </w:rPr>
        <w:t>.</w:t>
      </w:r>
    </w:p>
    <w:p w:rsidR="006832EA" w:rsidRPr="00FE3C46" w:rsidRDefault="006832EA" w:rsidP="006832EA">
      <w:pPr>
        <w:pStyle w:val="HChG"/>
        <w:rPr>
          <w:lang w:val="fr-FR"/>
        </w:rPr>
      </w:pPr>
      <w:r>
        <w:rPr>
          <w:lang w:val="fr-FR"/>
        </w:rPr>
        <w:tab/>
      </w:r>
      <w:r>
        <w:rPr>
          <w:lang w:val="fr-FR"/>
        </w:rPr>
        <w:tab/>
        <w:t>Article 3</w:t>
      </w:r>
    </w:p>
    <w:p w:rsidR="00786D88" w:rsidRDefault="00786D88" w:rsidP="006832EA">
      <w:pPr>
        <w:pStyle w:val="H1G"/>
        <w:rPr>
          <w:lang w:val="fr-FR"/>
        </w:rPr>
      </w:pPr>
      <w:r w:rsidRPr="00FE3C46">
        <w:rPr>
          <w:lang w:val="fr-FR"/>
        </w:rPr>
        <w:tab/>
        <w:t>18.</w:t>
      </w:r>
      <w:r w:rsidRPr="00FE3C46">
        <w:rPr>
          <w:lang w:val="fr-FR"/>
        </w:rPr>
        <w:tab/>
      </w:r>
      <w:r>
        <w:rPr>
          <w:lang w:val="fr-FR"/>
        </w:rPr>
        <w:t xml:space="preserve">Mesures visant à prévenir la ségrégation raciale </w:t>
      </w:r>
    </w:p>
    <w:p w:rsidR="00D759F4" w:rsidRPr="00D759F4" w:rsidRDefault="00D759F4" w:rsidP="00D759F4">
      <w:pPr>
        <w:pStyle w:val="H23G"/>
        <w:rPr>
          <w:lang w:val="fr-FR"/>
        </w:rPr>
      </w:pPr>
      <w:r>
        <w:rPr>
          <w:lang w:val="fr-FR"/>
        </w:rPr>
        <w:tab/>
        <w:t>A.</w:t>
      </w:r>
      <w:r>
        <w:rPr>
          <w:lang w:val="fr-FR"/>
        </w:rPr>
        <w:tab/>
        <w:t>Mesures législatives</w:t>
      </w:r>
    </w:p>
    <w:p w:rsidR="00786D88" w:rsidRPr="00FE3C46" w:rsidRDefault="00786D88" w:rsidP="00786D88">
      <w:pPr>
        <w:pStyle w:val="SingleTxtG"/>
        <w:rPr>
          <w:rStyle w:val="PlainTable31"/>
          <w:rFonts w:ascii="Bookman Old Style" w:hAnsi="Bookman Old Style"/>
          <w:i w:val="0"/>
          <w:color w:val="000000" w:themeColor="text1"/>
          <w:sz w:val="24"/>
          <w:szCs w:val="24"/>
          <w:lang w:val="fr-FR"/>
        </w:rPr>
      </w:pPr>
      <w:r w:rsidRPr="00FE3C46">
        <w:rPr>
          <w:lang w:val="fr-FR"/>
        </w:rPr>
        <w:t>72.</w:t>
      </w:r>
      <w:r w:rsidRPr="00FE3C46">
        <w:rPr>
          <w:lang w:val="fr-FR"/>
        </w:rPr>
        <w:tab/>
        <w:t xml:space="preserve">L’État partie </w:t>
      </w:r>
      <w:r>
        <w:rPr>
          <w:lang w:val="fr-FR"/>
        </w:rPr>
        <w:t>tient à indiquer que la ségrégation raciale ou l’</w:t>
      </w:r>
      <w:r w:rsidRPr="00FE3C46">
        <w:rPr>
          <w:lang w:val="fr-FR"/>
        </w:rPr>
        <w:t xml:space="preserve">apartheid </w:t>
      </w:r>
      <w:r>
        <w:rPr>
          <w:lang w:val="fr-FR"/>
        </w:rPr>
        <w:t>n’est pas pratiqué sur son territoire.</w:t>
      </w:r>
      <w:r w:rsidRPr="00FE3C46">
        <w:rPr>
          <w:lang w:val="fr-FR"/>
        </w:rPr>
        <w:t xml:space="preserve"> </w:t>
      </w:r>
      <w:r>
        <w:rPr>
          <w:lang w:val="fr-FR"/>
        </w:rPr>
        <w:t xml:space="preserve">La </w:t>
      </w:r>
      <w:r w:rsidRPr="00FE3C46">
        <w:rPr>
          <w:lang w:val="fr-FR"/>
        </w:rPr>
        <w:t xml:space="preserve">Constitution </w:t>
      </w:r>
      <w:r>
        <w:rPr>
          <w:lang w:val="fr-FR"/>
        </w:rPr>
        <w:t>zambienne établit clairement au paragraphe 3 de son article</w:t>
      </w:r>
      <w:r w:rsidR="00AE3BFD">
        <w:rPr>
          <w:lang w:val="fr-FR"/>
        </w:rPr>
        <w:t xml:space="preserve"> </w:t>
      </w:r>
      <w:r>
        <w:rPr>
          <w:lang w:val="fr-FR"/>
        </w:rPr>
        <w:t>4 que la Zambie est un État unitaire. Par ailleurs, comme indiqué précédemment,</w:t>
      </w:r>
      <w:r w:rsidRPr="00FE3C46">
        <w:rPr>
          <w:lang w:val="fr-FR"/>
        </w:rPr>
        <w:t xml:space="preserve"> </w:t>
      </w:r>
      <w:r>
        <w:rPr>
          <w:lang w:val="fr-FR"/>
        </w:rPr>
        <w:t>l</w:t>
      </w:r>
      <w:r w:rsidRPr="00FE3C46">
        <w:rPr>
          <w:lang w:val="fr-FR"/>
        </w:rPr>
        <w:t xml:space="preserve">’État partie </w:t>
      </w:r>
      <w:r>
        <w:rPr>
          <w:lang w:val="fr-FR"/>
        </w:rPr>
        <w:t>interdit la discrimination en vertu des articles </w:t>
      </w:r>
      <w:r w:rsidRPr="00FE3C46">
        <w:rPr>
          <w:lang w:val="fr-FR"/>
        </w:rPr>
        <w:t xml:space="preserve">11 </w:t>
      </w:r>
      <w:r>
        <w:rPr>
          <w:lang w:val="fr-FR"/>
        </w:rPr>
        <w:t>à </w:t>
      </w:r>
      <w:r w:rsidRPr="00FE3C46">
        <w:rPr>
          <w:lang w:val="fr-FR"/>
        </w:rPr>
        <w:t xml:space="preserve">26 </w:t>
      </w:r>
      <w:r>
        <w:rPr>
          <w:lang w:val="fr-FR"/>
        </w:rPr>
        <w:t xml:space="preserve">de la </w:t>
      </w:r>
      <w:r w:rsidRPr="00FE3C46">
        <w:rPr>
          <w:lang w:val="fr-FR"/>
        </w:rPr>
        <w:t xml:space="preserve">Constitution </w:t>
      </w:r>
      <w:r>
        <w:rPr>
          <w:lang w:val="fr-FR"/>
        </w:rPr>
        <w:t>et a pris des mesures adéquates pour faire face à une telle situation au cas où elle se produirait</w:t>
      </w:r>
      <w:r w:rsidRPr="00FE3C46">
        <w:rPr>
          <w:rStyle w:val="PlainTable31"/>
          <w:color w:val="000000" w:themeColor="text1"/>
          <w:lang w:val="fr-FR"/>
        </w:rPr>
        <w:t>.</w:t>
      </w:r>
    </w:p>
    <w:p w:rsidR="00786D88" w:rsidRPr="00FE3C46" w:rsidRDefault="00786D88" w:rsidP="00786D88">
      <w:pPr>
        <w:pStyle w:val="H4G"/>
        <w:rPr>
          <w:lang w:val="fr-FR"/>
        </w:rPr>
      </w:pPr>
      <w:r w:rsidRPr="00FE3C46">
        <w:rPr>
          <w:lang w:val="fr-FR"/>
        </w:rPr>
        <w:tab/>
      </w:r>
      <w:r w:rsidRPr="00FE3C46">
        <w:rPr>
          <w:lang w:val="fr-FR"/>
        </w:rPr>
        <w:tab/>
      </w:r>
      <w:r>
        <w:rPr>
          <w:lang w:val="fr-FR"/>
        </w:rPr>
        <w:t xml:space="preserve">Loi </w:t>
      </w:r>
      <w:r w:rsidR="00D759F4" w:rsidRPr="00D759F4">
        <w:rPr>
          <w:rFonts w:eastAsia="MS Mincho"/>
          <w:szCs w:val="22"/>
          <w:lang w:val="fr-FR"/>
        </w:rPr>
        <w:t>n</w:t>
      </w:r>
      <w:r w:rsidR="00D759F4" w:rsidRPr="00D759F4">
        <w:rPr>
          <w:rFonts w:eastAsia="MS Mincho"/>
          <w:szCs w:val="22"/>
          <w:vertAlign w:val="superscript"/>
          <w:lang w:val="fr-FR"/>
        </w:rPr>
        <w:t>o</w:t>
      </w:r>
      <w:r w:rsidR="00D759F4">
        <w:rPr>
          <w:lang w:val="fr-FR"/>
        </w:rPr>
        <w:t> </w:t>
      </w:r>
      <w:r>
        <w:rPr>
          <w:lang w:val="fr-FR"/>
        </w:rPr>
        <w:t>23 de 2011 sur l’éducation</w:t>
      </w:r>
    </w:p>
    <w:p w:rsidR="00786D88" w:rsidRPr="00FE3C46" w:rsidRDefault="00786D88" w:rsidP="00786D88">
      <w:pPr>
        <w:pStyle w:val="SingleTxtG"/>
        <w:rPr>
          <w:lang w:val="fr-FR"/>
        </w:rPr>
      </w:pPr>
      <w:r w:rsidRPr="00FE3C46">
        <w:rPr>
          <w:lang w:val="fr-FR"/>
        </w:rPr>
        <w:t>73.</w:t>
      </w:r>
      <w:r w:rsidRPr="00FE3C46">
        <w:rPr>
          <w:lang w:val="fr-FR"/>
        </w:rPr>
        <w:tab/>
      </w:r>
      <w:r>
        <w:rPr>
          <w:lang w:val="fr-FR"/>
        </w:rPr>
        <w:t>La loi de 2011 sur l’éducation garantit à tous les enfants le droit de recevoir une éducation de base gratuite. L’article 15 de la loi dispose que </w:t>
      </w:r>
      <w:r w:rsidRPr="00FE3C46">
        <w:rPr>
          <w:lang w:val="fr-FR"/>
        </w:rPr>
        <w:t>:</w:t>
      </w:r>
    </w:p>
    <w:p w:rsidR="00786D88" w:rsidRPr="00FE3C46" w:rsidRDefault="00786D88" w:rsidP="00786D88">
      <w:pPr>
        <w:pStyle w:val="SingleTxtG"/>
        <w:ind w:firstLine="567"/>
        <w:rPr>
          <w:lang w:val="fr-FR"/>
        </w:rPr>
      </w:pPr>
      <w:r>
        <w:rPr>
          <w:lang w:val="fr-FR"/>
        </w:rPr>
        <w:t xml:space="preserve">« Un enfant a le droit </w:t>
      </w:r>
      <w:r w:rsidR="00717A51">
        <w:rPr>
          <w:lang w:val="fr-FR"/>
        </w:rPr>
        <w:t>de</w:t>
      </w:r>
      <w:r>
        <w:rPr>
          <w:lang w:val="fr-FR"/>
        </w:rPr>
        <w:t xml:space="preserve"> recevoir un</w:t>
      </w:r>
      <w:r w:rsidR="00D759F4">
        <w:rPr>
          <w:lang w:val="fr-FR"/>
        </w:rPr>
        <w:t>e éducation de base gratuite. ».</w:t>
      </w:r>
    </w:p>
    <w:p w:rsidR="00786D88" w:rsidRPr="00FE3C46" w:rsidRDefault="00786D88" w:rsidP="00786D88">
      <w:pPr>
        <w:pStyle w:val="SingleTxtG"/>
        <w:rPr>
          <w:lang w:val="fr-FR"/>
        </w:rPr>
      </w:pPr>
      <w:r w:rsidRPr="00FE3C46">
        <w:rPr>
          <w:lang w:val="fr-FR"/>
        </w:rPr>
        <w:t>74.</w:t>
      </w:r>
      <w:r w:rsidRPr="00FE3C46">
        <w:rPr>
          <w:lang w:val="fr-FR"/>
        </w:rPr>
        <w:tab/>
      </w:r>
      <w:r>
        <w:rPr>
          <w:lang w:val="fr-FR"/>
        </w:rPr>
        <w:t xml:space="preserve">Bien que cet article ne mentionne aucunement l’origine ethnique, raciale ou tribale de « l’enfant » auquel </w:t>
      </w:r>
      <w:r w:rsidR="00717A51">
        <w:rPr>
          <w:lang w:val="fr-FR"/>
        </w:rPr>
        <w:t>il</w:t>
      </w:r>
      <w:r>
        <w:rPr>
          <w:lang w:val="fr-FR"/>
        </w:rPr>
        <w:t xml:space="preserve"> s’applique, </w:t>
      </w:r>
      <w:r w:rsidR="00717A51">
        <w:rPr>
          <w:lang w:val="fr-FR"/>
        </w:rPr>
        <w:t>« l’enfant »</w:t>
      </w:r>
      <w:r>
        <w:rPr>
          <w:lang w:val="fr-FR"/>
        </w:rPr>
        <w:t xml:space="preserve"> est manifestement défini comme indiqué à l’article</w:t>
      </w:r>
      <w:r w:rsidR="00AE3BFD">
        <w:rPr>
          <w:lang w:val="fr-FR"/>
        </w:rPr>
        <w:t xml:space="preserve"> </w:t>
      </w:r>
      <w:r>
        <w:rPr>
          <w:lang w:val="fr-FR"/>
        </w:rPr>
        <w:t>2 de la loi. Dans cet</w:t>
      </w:r>
      <w:r w:rsidR="00717A51">
        <w:rPr>
          <w:lang w:val="fr-FR"/>
        </w:rPr>
        <w:t xml:space="preserve"> article</w:t>
      </w:r>
      <w:r>
        <w:rPr>
          <w:lang w:val="fr-FR"/>
        </w:rPr>
        <w:t>, « l’enfant » est une « personne qui n’a pas atteint l’âge de 16 ans ». La personne dans ce contexte n’est pas définie par son origine ethnique, raciale ou tribale, mais par son âge</w:t>
      </w:r>
      <w:r w:rsidRPr="00FE3C46">
        <w:rPr>
          <w:lang w:val="fr-FR"/>
        </w:rPr>
        <w:t>.</w:t>
      </w:r>
    </w:p>
    <w:p w:rsidR="00786D88" w:rsidRPr="00FE3C46" w:rsidRDefault="00786D88" w:rsidP="00786D88">
      <w:pPr>
        <w:pStyle w:val="SingleTxtG"/>
        <w:rPr>
          <w:lang w:val="fr-FR"/>
        </w:rPr>
      </w:pPr>
      <w:r w:rsidRPr="00FE3C46">
        <w:rPr>
          <w:lang w:val="fr-FR"/>
        </w:rPr>
        <w:t>75.</w:t>
      </w:r>
      <w:r w:rsidRPr="00FE3C46">
        <w:rPr>
          <w:lang w:val="fr-FR"/>
        </w:rPr>
        <w:tab/>
      </w:r>
      <w:r>
        <w:rPr>
          <w:lang w:val="fr-FR"/>
        </w:rPr>
        <w:t>Le caractère non discriminatoire du droit à une éducation de base gratuite est confirmé à l’article</w:t>
      </w:r>
      <w:r w:rsidR="00AE3BFD">
        <w:rPr>
          <w:lang w:val="fr-FR"/>
        </w:rPr>
        <w:t xml:space="preserve"> </w:t>
      </w:r>
      <w:r w:rsidRPr="00FE3C46">
        <w:rPr>
          <w:lang w:val="fr-FR"/>
        </w:rPr>
        <w:t xml:space="preserve">19 </w:t>
      </w:r>
      <w:r>
        <w:rPr>
          <w:lang w:val="fr-FR"/>
        </w:rPr>
        <w:t>de</w:t>
      </w:r>
      <w:r w:rsidR="00D759F4">
        <w:rPr>
          <w:lang w:val="fr-FR"/>
        </w:rPr>
        <w:t xml:space="preserve"> la loi qui dispose ce qui suit </w:t>
      </w:r>
      <w:r>
        <w:rPr>
          <w:lang w:val="fr-FR"/>
        </w:rPr>
        <w:t>:</w:t>
      </w:r>
    </w:p>
    <w:p w:rsidR="00786D88" w:rsidRPr="00FE3C46" w:rsidRDefault="00786D88" w:rsidP="00786D88">
      <w:pPr>
        <w:pStyle w:val="SingleTxtG"/>
        <w:ind w:firstLine="567"/>
        <w:rPr>
          <w:lang w:val="fr-FR"/>
        </w:rPr>
      </w:pPr>
      <w:r>
        <w:rPr>
          <w:lang w:val="fr-FR"/>
        </w:rPr>
        <w:t>« Un établissement d’enseignement ne doit faire preuve d’aucun type de discrimination contre un élève</w:t>
      </w:r>
      <w:r w:rsidR="00717A51">
        <w:rPr>
          <w:lang w:val="fr-FR"/>
        </w:rPr>
        <w:t>.</w:t>
      </w:r>
      <w:r>
        <w:rPr>
          <w:lang w:val="fr-FR"/>
        </w:rPr>
        <w:t> »</w:t>
      </w:r>
      <w:r w:rsidRPr="00FE3C46">
        <w:rPr>
          <w:lang w:val="fr-FR"/>
        </w:rPr>
        <w:t>.</w:t>
      </w:r>
    </w:p>
    <w:p w:rsidR="00786D88" w:rsidRPr="00FE3C46" w:rsidRDefault="00D759F4" w:rsidP="00786D88">
      <w:pPr>
        <w:pStyle w:val="SingleTxtG"/>
        <w:rPr>
          <w:rStyle w:val="PlainTable31"/>
          <w:rFonts w:ascii="Bookman Old Style" w:hAnsi="Bookman Old Style"/>
          <w:i w:val="0"/>
          <w:color w:val="000000" w:themeColor="text1"/>
          <w:szCs w:val="24"/>
          <w:lang w:val="fr-FR"/>
        </w:rPr>
      </w:pPr>
      <w:r>
        <w:rPr>
          <w:lang w:val="fr-FR"/>
        </w:rPr>
        <w:t>76.</w:t>
      </w:r>
      <w:r>
        <w:rPr>
          <w:lang w:val="fr-FR"/>
        </w:rPr>
        <w:tab/>
      </w:r>
      <w:r w:rsidR="00786D88" w:rsidRPr="00FE3C46">
        <w:rPr>
          <w:lang w:val="fr-FR"/>
        </w:rPr>
        <w:t xml:space="preserve">L’État partie </w:t>
      </w:r>
      <w:r w:rsidR="00786D88">
        <w:rPr>
          <w:lang w:val="fr-FR"/>
        </w:rPr>
        <w:t>tient aussi à indiquer que l’accès à l’éducation de base est assuré aux enfants réfugiés et non citoyens, et que ce droit est protégé par la loi</w:t>
      </w:r>
      <w:r w:rsidR="00786D88" w:rsidRPr="00FE3C46">
        <w:rPr>
          <w:lang w:val="fr-FR"/>
        </w:rPr>
        <w:t>.</w:t>
      </w:r>
    </w:p>
    <w:p w:rsidR="00786D88" w:rsidRPr="00FE3C46" w:rsidRDefault="00786D88" w:rsidP="00D759F4">
      <w:pPr>
        <w:pStyle w:val="H23G"/>
        <w:rPr>
          <w:lang w:val="fr-FR"/>
        </w:rPr>
      </w:pPr>
      <w:r w:rsidRPr="00FE3C46">
        <w:rPr>
          <w:lang w:val="fr-FR"/>
        </w:rPr>
        <w:tab/>
        <w:t>B.</w:t>
      </w:r>
      <w:r w:rsidRPr="00FE3C46">
        <w:rPr>
          <w:lang w:val="fr-FR"/>
        </w:rPr>
        <w:tab/>
      </w:r>
      <w:r>
        <w:rPr>
          <w:lang w:val="fr-FR"/>
        </w:rPr>
        <w:t xml:space="preserve">Mesures administratives </w:t>
      </w:r>
    </w:p>
    <w:p w:rsidR="00786D88" w:rsidRDefault="00786D88" w:rsidP="00786D88">
      <w:pPr>
        <w:pStyle w:val="SingleTxtG"/>
        <w:rPr>
          <w:lang w:val="fr-FR"/>
        </w:rPr>
      </w:pPr>
      <w:r w:rsidRPr="00FE3C46">
        <w:rPr>
          <w:lang w:val="fr-FR"/>
        </w:rPr>
        <w:t>77.</w:t>
      </w:r>
      <w:r w:rsidRPr="00FE3C46">
        <w:rPr>
          <w:lang w:val="fr-FR"/>
        </w:rPr>
        <w:tab/>
      </w:r>
      <w:r>
        <w:rPr>
          <w:lang w:val="fr-FR"/>
        </w:rPr>
        <w:t>La Commission zambienne des droits de l’homme dispose d’un large mandat pour entendre les plaintes de violations des droits de l’homme et procéder à des enquêtes en la matière</w:t>
      </w:r>
      <w:r w:rsidRPr="00FE3C46">
        <w:rPr>
          <w:lang w:val="fr-FR"/>
        </w:rPr>
        <w:t>.</w:t>
      </w:r>
    </w:p>
    <w:p w:rsidR="00D759F4" w:rsidRPr="00FE3C46" w:rsidRDefault="00D759F4" w:rsidP="00D759F4">
      <w:pPr>
        <w:pStyle w:val="H23G"/>
        <w:rPr>
          <w:lang w:val="fr-FR"/>
        </w:rPr>
      </w:pPr>
      <w:r>
        <w:rPr>
          <w:lang w:val="fr-FR"/>
        </w:rPr>
        <w:tab/>
        <w:t>C.</w:t>
      </w:r>
      <w:r>
        <w:rPr>
          <w:lang w:val="fr-FR"/>
        </w:rPr>
        <w:tab/>
        <w:t>Mesures judiciaires</w:t>
      </w:r>
    </w:p>
    <w:p w:rsidR="00786D88" w:rsidRDefault="00786D88" w:rsidP="00786D88">
      <w:pPr>
        <w:pStyle w:val="SingleTxtG"/>
        <w:rPr>
          <w:rStyle w:val="PlainTable31"/>
          <w:rFonts w:ascii="Bookman Old Style" w:hAnsi="Bookman Old Style"/>
          <w:color w:val="000000" w:themeColor="text1"/>
          <w:szCs w:val="24"/>
          <w:lang w:val="fr-FR"/>
        </w:rPr>
      </w:pPr>
      <w:r w:rsidRPr="00FE3C46">
        <w:rPr>
          <w:lang w:val="fr-FR"/>
        </w:rPr>
        <w:t>78.</w:t>
      </w:r>
      <w:r w:rsidRPr="00FE3C46">
        <w:rPr>
          <w:lang w:val="fr-FR"/>
        </w:rPr>
        <w:tab/>
      </w:r>
      <w:r>
        <w:rPr>
          <w:lang w:val="fr-FR"/>
        </w:rPr>
        <w:t>Aucune mesure n’est à signaler</w:t>
      </w:r>
      <w:r w:rsidRPr="00FE3C46">
        <w:rPr>
          <w:rStyle w:val="PlainTable31"/>
          <w:rFonts w:ascii="Bookman Old Style" w:hAnsi="Bookman Old Style"/>
          <w:color w:val="000000" w:themeColor="text1"/>
          <w:szCs w:val="24"/>
          <w:lang w:val="fr-FR"/>
        </w:rPr>
        <w:t>.</w:t>
      </w:r>
    </w:p>
    <w:p w:rsidR="00D759F4" w:rsidRPr="00D759F4" w:rsidRDefault="00D759F4" w:rsidP="00D759F4">
      <w:pPr>
        <w:pStyle w:val="HChG"/>
        <w:rPr>
          <w:rStyle w:val="PlainTable31"/>
          <w:i w:val="0"/>
          <w:iCs w:val="0"/>
          <w:color w:val="auto"/>
        </w:rPr>
      </w:pPr>
      <w:r>
        <w:rPr>
          <w:rStyle w:val="PlainTable31"/>
          <w:i w:val="0"/>
          <w:iCs w:val="0"/>
          <w:color w:val="auto"/>
        </w:rPr>
        <w:lastRenderedPageBreak/>
        <w:tab/>
      </w:r>
      <w:r>
        <w:rPr>
          <w:rStyle w:val="PlainTable31"/>
          <w:i w:val="0"/>
          <w:iCs w:val="0"/>
          <w:color w:val="auto"/>
        </w:rPr>
        <w:tab/>
      </w:r>
      <w:r w:rsidRPr="00D759F4">
        <w:rPr>
          <w:rStyle w:val="PlainTable31"/>
          <w:i w:val="0"/>
          <w:iCs w:val="0"/>
          <w:color w:val="auto"/>
        </w:rPr>
        <w:t>Article 4</w:t>
      </w:r>
    </w:p>
    <w:p w:rsidR="00786D88" w:rsidRPr="00FE3C46" w:rsidRDefault="00786D88" w:rsidP="00D759F4">
      <w:pPr>
        <w:pStyle w:val="H1G"/>
        <w:rPr>
          <w:lang w:val="fr-FR" w:eastAsia="en-GB"/>
        </w:rPr>
      </w:pPr>
      <w:r w:rsidRPr="00FE3C46">
        <w:rPr>
          <w:lang w:val="fr-FR" w:eastAsia="en-GB"/>
        </w:rPr>
        <w:tab/>
        <w:t>19.</w:t>
      </w:r>
      <w:r w:rsidRPr="00FE3C46">
        <w:rPr>
          <w:lang w:val="fr-FR" w:eastAsia="en-GB"/>
        </w:rPr>
        <w:tab/>
      </w:r>
      <w:r>
        <w:rPr>
          <w:lang w:val="fr-FR" w:eastAsia="en-GB"/>
        </w:rPr>
        <w:t xml:space="preserve">Mesures visant à éliminer la propagande, les incitations aux actes </w:t>
      </w:r>
      <w:r w:rsidR="00D759F4">
        <w:rPr>
          <w:lang w:val="fr-FR" w:eastAsia="en-GB"/>
        </w:rPr>
        <w:br/>
      </w:r>
      <w:r>
        <w:rPr>
          <w:lang w:val="fr-FR" w:eastAsia="en-GB"/>
        </w:rPr>
        <w:t xml:space="preserve">de discrimination raciale et la pratique de tels actes </w:t>
      </w:r>
    </w:p>
    <w:p w:rsidR="00786D88" w:rsidRPr="00FE3C46" w:rsidRDefault="00786D88" w:rsidP="00786D88">
      <w:pPr>
        <w:pStyle w:val="SingleTxtG"/>
        <w:rPr>
          <w:lang w:val="fr-FR" w:eastAsia="en-GB"/>
        </w:rPr>
      </w:pPr>
      <w:r w:rsidRPr="00FE3C46">
        <w:rPr>
          <w:lang w:val="fr-FR"/>
        </w:rPr>
        <w:t>79.</w:t>
      </w:r>
      <w:r w:rsidRPr="00FE3C46">
        <w:rPr>
          <w:lang w:val="fr-FR"/>
        </w:rPr>
        <w:tab/>
      </w:r>
      <w:r w:rsidRPr="00FE3C46">
        <w:rPr>
          <w:lang w:val="fr-FR" w:eastAsia="en-GB"/>
        </w:rPr>
        <w:t xml:space="preserve">L’État partie </w:t>
      </w:r>
      <w:r>
        <w:rPr>
          <w:lang w:val="fr-FR" w:eastAsia="en-GB"/>
        </w:rPr>
        <w:t xml:space="preserve">réaffirme sa détermination à interdire tous les actes visant à inciter à la discrimination raciale ainsi que tous les actes de discrimination raciale commis en violation de la Déclaration universelle des droits de l’homme et de la </w:t>
      </w:r>
      <w:r w:rsidRPr="00FE3C46">
        <w:rPr>
          <w:lang w:val="fr-FR" w:eastAsia="en-GB"/>
        </w:rPr>
        <w:t>Convention.</w:t>
      </w:r>
    </w:p>
    <w:p w:rsidR="00786D88" w:rsidRPr="00FE3C46" w:rsidRDefault="00786D88" w:rsidP="00D759F4">
      <w:pPr>
        <w:pStyle w:val="H23G"/>
        <w:rPr>
          <w:lang w:val="fr-FR"/>
        </w:rPr>
      </w:pPr>
      <w:r w:rsidRPr="00FE3C46">
        <w:rPr>
          <w:lang w:val="fr-FR"/>
        </w:rPr>
        <w:tab/>
        <w:t>A.</w:t>
      </w:r>
      <w:r w:rsidRPr="00FE3C46">
        <w:rPr>
          <w:lang w:val="fr-FR"/>
        </w:rPr>
        <w:tab/>
      </w:r>
      <w:r>
        <w:rPr>
          <w:lang w:val="fr-FR"/>
        </w:rPr>
        <w:t xml:space="preserve">Mesures législatives </w:t>
      </w:r>
    </w:p>
    <w:p w:rsidR="00786D88" w:rsidRPr="00FE3C46" w:rsidRDefault="00786D88" w:rsidP="00D759F4">
      <w:pPr>
        <w:pStyle w:val="SingleTxtG"/>
        <w:rPr>
          <w:lang w:val="fr-FR"/>
        </w:rPr>
      </w:pPr>
      <w:r w:rsidRPr="00FE3C46">
        <w:rPr>
          <w:lang w:val="fr-FR"/>
        </w:rPr>
        <w:t>80.</w:t>
      </w:r>
      <w:r w:rsidRPr="00FE3C46">
        <w:rPr>
          <w:lang w:val="fr-FR"/>
        </w:rPr>
        <w:tab/>
        <w:t xml:space="preserve">L’État partie </w:t>
      </w:r>
      <w:r>
        <w:rPr>
          <w:lang w:val="fr-FR"/>
        </w:rPr>
        <w:t>tient à indiquer que la loi de 2010 sur l’immigration et l’expulsion a été promulguée</w:t>
      </w:r>
      <w:r w:rsidR="00D759F4">
        <w:rPr>
          <w:lang w:val="fr-FR"/>
        </w:rPr>
        <w:t> :</w:t>
      </w:r>
    </w:p>
    <w:p w:rsidR="00786D88" w:rsidRPr="00FE3C46" w:rsidRDefault="00786D88" w:rsidP="00D759F4">
      <w:pPr>
        <w:pStyle w:val="SingleTxtG"/>
        <w:ind w:left="1701" w:firstLine="567"/>
        <w:rPr>
          <w:lang w:val="fr-FR"/>
        </w:rPr>
      </w:pPr>
      <w:r>
        <w:rPr>
          <w:lang w:val="fr-FR"/>
        </w:rPr>
        <w:t>Le paragraphe 1 de l’article</w:t>
      </w:r>
      <w:r w:rsidR="00AE3BFD">
        <w:rPr>
          <w:lang w:val="fr-FR"/>
        </w:rPr>
        <w:t xml:space="preserve"> </w:t>
      </w:r>
      <w:r w:rsidRPr="00FE3C46">
        <w:rPr>
          <w:lang w:val="fr-FR"/>
        </w:rPr>
        <w:t>48</w:t>
      </w:r>
      <w:r>
        <w:rPr>
          <w:lang w:val="fr-FR"/>
        </w:rPr>
        <w:t xml:space="preserve"> de la loi de 2010 sur l’immigration et l’expulsion</w:t>
      </w:r>
      <w:r w:rsidRPr="00FE3C46">
        <w:rPr>
          <w:lang w:val="fr-FR"/>
        </w:rPr>
        <w:t xml:space="preserve"> </w:t>
      </w:r>
      <w:r>
        <w:rPr>
          <w:lang w:val="fr-FR"/>
        </w:rPr>
        <w:t>interdit aux agents du Service de l’immigration de faire preuve de xénophobie, et un Comité sur l’intégrité a été mis en place</w:t>
      </w:r>
      <w:r w:rsidRPr="00FE3C46">
        <w:rPr>
          <w:lang w:val="fr-FR"/>
        </w:rPr>
        <w:t>.</w:t>
      </w:r>
    </w:p>
    <w:p w:rsidR="00786D88" w:rsidRPr="00FE3C46" w:rsidRDefault="00786D88" w:rsidP="00786D88">
      <w:pPr>
        <w:pStyle w:val="SingleTxtG"/>
        <w:rPr>
          <w:lang w:val="fr-FR"/>
        </w:rPr>
      </w:pPr>
      <w:r w:rsidRPr="00FE3C46">
        <w:rPr>
          <w:lang w:val="fr-FR"/>
        </w:rPr>
        <w:t>81.</w:t>
      </w:r>
      <w:r w:rsidRPr="00FE3C46">
        <w:rPr>
          <w:lang w:val="fr-FR"/>
        </w:rPr>
        <w:tab/>
      </w:r>
      <w:r>
        <w:rPr>
          <w:lang w:val="fr-FR"/>
        </w:rPr>
        <w:t>Cette disposition vise manifestement à prévenir toute manifestation de xénophobie de la part d’agents de l’immigration</w:t>
      </w:r>
      <w:r w:rsidRPr="00FE3C46">
        <w:rPr>
          <w:lang w:val="fr-FR"/>
        </w:rPr>
        <w:t>.</w:t>
      </w:r>
    </w:p>
    <w:p w:rsidR="00786D88" w:rsidRPr="00FE3C46" w:rsidRDefault="00786D88" w:rsidP="00786D88">
      <w:pPr>
        <w:pStyle w:val="SingleTxtG"/>
        <w:rPr>
          <w:lang w:val="fr-FR"/>
        </w:rPr>
      </w:pPr>
      <w:r w:rsidRPr="00FE3C46">
        <w:rPr>
          <w:lang w:val="fr-FR"/>
        </w:rPr>
        <w:t>82.</w:t>
      </w:r>
      <w:r w:rsidRPr="00FE3C46">
        <w:rPr>
          <w:lang w:val="fr-FR"/>
        </w:rPr>
        <w:tab/>
        <w:t xml:space="preserve">L’État partie </w:t>
      </w:r>
      <w:r>
        <w:rPr>
          <w:lang w:val="fr-FR"/>
        </w:rPr>
        <w:t>tient de surcroît à indiquer que la promotion de la discrimination raciale et l’incitation à des actes de discrimination raciale sont des actes punissables en vertu de l’article</w:t>
      </w:r>
      <w:r w:rsidR="00AE3BFD">
        <w:rPr>
          <w:lang w:val="fr-FR"/>
        </w:rPr>
        <w:t xml:space="preserve"> </w:t>
      </w:r>
      <w:r>
        <w:rPr>
          <w:lang w:val="fr-FR"/>
        </w:rPr>
        <w:t>70 du Code pénal, qui dispose ce qui suit</w:t>
      </w:r>
      <w:r w:rsidR="00D759F4">
        <w:rPr>
          <w:lang w:val="fr-FR"/>
        </w:rPr>
        <w:t> </w:t>
      </w:r>
      <w:r>
        <w:rPr>
          <w:lang w:val="fr-FR"/>
        </w:rPr>
        <w:t>:</w:t>
      </w:r>
    </w:p>
    <w:p w:rsidR="00786D88" w:rsidRPr="00FE3C46" w:rsidRDefault="00786D88" w:rsidP="00D759F4">
      <w:pPr>
        <w:pStyle w:val="SingleTxtG"/>
        <w:ind w:firstLine="567"/>
        <w:rPr>
          <w:lang w:val="fr-FR"/>
        </w:rPr>
      </w:pPr>
      <w:r>
        <w:rPr>
          <w:lang w:val="fr-FR"/>
        </w:rPr>
        <w:t>« </w:t>
      </w:r>
      <w:r w:rsidRPr="00361643">
        <w:rPr>
          <w:lang w:val="fr-FR"/>
        </w:rPr>
        <w:t>Toute personne tenant</w:t>
      </w:r>
      <w:r>
        <w:rPr>
          <w:lang w:val="fr-FR"/>
        </w:rPr>
        <w:t>,</w:t>
      </w:r>
      <w:r w:rsidRPr="00361643">
        <w:rPr>
          <w:lang w:val="fr-FR"/>
        </w:rPr>
        <w:t xml:space="preserve"> oralement ou par écrit, des propos exprimant ou manifestant des sentiments de haine, de ridicule ou de mépris à l’égard de toute personne ou</w:t>
      </w:r>
      <w:r>
        <w:rPr>
          <w:lang w:val="fr-FR"/>
        </w:rPr>
        <w:t xml:space="preserve"> de tout</w:t>
      </w:r>
      <w:r w:rsidRPr="00361643">
        <w:rPr>
          <w:lang w:val="fr-FR"/>
        </w:rPr>
        <w:t xml:space="preserve"> groupe uniquement ou principalement pour des motifs de race, d’appartenance tribale, de lieu d’origine ou de couleur se rend coupable d’une infraction et, si elle est reconnue coupable, est passible d’une peine d’une durée maximale de deux ans</w:t>
      </w:r>
      <w:r w:rsidR="00D759F4">
        <w:rPr>
          <w:lang w:val="fr-FR"/>
        </w:rPr>
        <w:t>.</w:t>
      </w:r>
      <w:r>
        <w:rPr>
          <w:lang w:val="fr-FR"/>
        </w:rPr>
        <w:t> ».</w:t>
      </w:r>
    </w:p>
    <w:p w:rsidR="00786D88" w:rsidRPr="00FE3C46" w:rsidRDefault="00786D88" w:rsidP="00D759F4">
      <w:pPr>
        <w:pStyle w:val="H23G"/>
        <w:rPr>
          <w:lang w:val="fr-FR"/>
        </w:rPr>
      </w:pPr>
      <w:r w:rsidRPr="00FE3C46">
        <w:rPr>
          <w:lang w:val="fr-FR"/>
        </w:rPr>
        <w:tab/>
        <w:t>B.</w:t>
      </w:r>
      <w:r w:rsidRPr="00FE3C46">
        <w:rPr>
          <w:lang w:val="fr-FR"/>
        </w:rPr>
        <w:tab/>
      </w:r>
      <w:r>
        <w:rPr>
          <w:lang w:val="fr-FR"/>
        </w:rPr>
        <w:t xml:space="preserve">Mesures judiciaires </w:t>
      </w:r>
    </w:p>
    <w:p w:rsidR="00786D88" w:rsidRPr="00FE3C46" w:rsidRDefault="00786D88" w:rsidP="00786D88">
      <w:pPr>
        <w:pStyle w:val="SingleTxtG"/>
        <w:rPr>
          <w:rStyle w:val="PlainTable31"/>
          <w:rFonts w:ascii="Bookman Old Style" w:hAnsi="Bookman Old Style"/>
          <w:b/>
          <w:i w:val="0"/>
          <w:color w:val="000000" w:themeColor="text1"/>
          <w:szCs w:val="24"/>
          <w:lang w:val="fr-FR"/>
        </w:rPr>
      </w:pPr>
      <w:r w:rsidRPr="00FE3C46">
        <w:rPr>
          <w:lang w:val="fr-FR"/>
        </w:rPr>
        <w:t>83.</w:t>
      </w:r>
      <w:r w:rsidRPr="00FE3C46">
        <w:rPr>
          <w:lang w:val="fr-FR"/>
        </w:rPr>
        <w:tab/>
      </w:r>
      <w:r>
        <w:rPr>
          <w:lang w:val="fr-FR"/>
        </w:rPr>
        <w:t>Aucune mesure n’est à signaler</w:t>
      </w:r>
      <w:r w:rsidRPr="00FE3C46">
        <w:rPr>
          <w:rStyle w:val="PlainTable31"/>
          <w:rFonts w:ascii="Bookman Old Style" w:hAnsi="Bookman Old Style"/>
          <w:color w:val="000000" w:themeColor="text1"/>
          <w:szCs w:val="24"/>
          <w:lang w:val="fr-FR"/>
        </w:rPr>
        <w:t>.</w:t>
      </w:r>
    </w:p>
    <w:p w:rsidR="00786D88" w:rsidRPr="00FE3C46" w:rsidRDefault="00786D88" w:rsidP="00D759F4">
      <w:pPr>
        <w:pStyle w:val="H23G"/>
        <w:rPr>
          <w:lang w:val="fr-FR"/>
        </w:rPr>
      </w:pPr>
      <w:r w:rsidRPr="00FE3C46">
        <w:rPr>
          <w:lang w:val="fr-FR"/>
        </w:rPr>
        <w:tab/>
        <w:t>C.</w:t>
      </w:r>
      <w:r w:rsidRPr="00FE3C46">
        <w:rPr>
          <w:lang w:val="fr-FR"/>
        </w:rPr>
        <w:tab/>
      </w:r>
      <w:r>
        <w:rPr>
          <w:lang w:val="fr-FR"/>
        </w:rPr>
        <w:t xml:space="preserve">Mesures administratives </w:t>
      </w:r>
    </w:p>
    <w:p w:rsidR="00786D88" w:rsidRPr="00FE3C46" w:rsidRDefault="00786D88" w:rsidP="00786D88">
      <w:pPr>
        <w:pStyle w:val="SingleTxtG"/>
        <w:rPr>
          <w:lang w:val="fr-FR"/>
        </w:rPr>
      </w:pPr>
      <w:r w:rsidRPr="00FE3C46">
        <w:rPr>
          <w:lang w:val="fr-FR"/>
        </w:rPr>
        <w:t>84.</w:t>
      </w:r>
      <w:r w:rsidRPr="00FE3C46">
        <w:rPr>
          <w:lang w:val="fr-FR"/>
        </w:rPr>
        <w:tab/>
      </w:r>
      <w:r>
        <w:rPr>
          <w:lang w:val="fr-FR"/>
        </w:rPr>
        <w:t>Aucune mesure n’est à signaler</w:t>
      </w:r>
      <w:r w:rsidRPr="00FE3C46">
        <w:rPr>
          <w:lang w:val="fr-FR"/>
        </w:rPr>
        <w:t>.</w:t>
      </w:r>
    </w:p>
    <w:p w:rsidR="00786D88" w:rsidRPr="00FE3C46" w:rsidRDefault="00786D88" w:rsidP="00D759F4">
      <w:pPr>
        <w:pStyle w:val="H1G"/>
        <w:rPr>
          <w:lang w:val="fr-FR"/>
        </w:rPr>
      </w:pPr>
      <w:r w:rsidRPr="00FE3C46">
        <w:rPr>
          <w:lang w:val="fr-FR"/>
        </w:rPr>
        <w:tab/>
        <w:t>20.</w:t>
      </w:r>
      <w:r w:rsidRPr="00FE3C46">
        <w:rPr>
          <w:lang w:val="fr-FR"/>
        </w:rPr>
        <w:tab/>
      </w:r>
      <w:r>
        <w:rPr>
          <w:lang w:val="fr-FR"/>
        </w:rPr>
        <w:t xml:space="preserve">Renseignements indiquant si la motivation raciale est considérée comme une circonstance aggravante en vertu du droit pénal interne </w:t>
      </w:r>
    </w:p>
    <w:p w:rsidR="00786D88" w:rsidRPr="00FE3C46" w:rsidRDefault="00786D88" w:rsidP="00D759F4">
      <w:pPr>
        <w:pStyle w:val="H23G"/>
        <w:rPr>
          <w:lang w:val="fr-FR"/>
        </w:rPr>
      </w:pPr>
      <w:r w:rsidRPr="00FE3C46">
        <w:rPr>
          <w:lang w:val="fr-FR"/>
        </w:rPr>
        <w:tab/>
        <w:t>A.</w:t>
      </w:r>
      <w:r w:rsidRPr="00FE3C46">
        <w:rPr>
          <w:lang w:val="fr-FR"/>
        </w:rPr>
        <w:tab/>
      </w:r>
      <w:r>
        <w:rPr>
          <w:lang w:val="fr-FR"/>
        </w:rPr>
        <w:t xml:space="preserve">Mesures législatives </w:t>
      </w:r>
    </w:p>
    <w:p w:rsidR="00786D88" w:rsidRPr="00FE3C46" w:rsidRDefault="00786D88" w:rsidP="00786D88">
      <w:pPr>
        <w:pStyle w:val="SingleTxtG"/>
        <w:rPr>
          <w:lang w:val="fr-FR"/>
        </w:rPr>
      </w:pPr>
      <w:r w:rsidRPr="00FE3C46">
        <w:rPr>
          <w:lang w:val="fr-FR"/>
        </w:rPr>
        <w:t>85.</w:t>
      </w:r>
      <w:r w:rsidRPr="00FE3C46">
        <w:rPr>
          <w:lang w:val="fr-FR"/>
        </w:rPr>
        <w:tab/>
        <w:t xml:space="preserve">L’État partie </w:t>
      </w:r>
      <w:r>
        <w:rPr>
          <w:lang w:val="fr-FR"/>
        </w:rPr>
        <w:t>tient à indiquer que la discrimination raciale est un acte punissable en vertu de l’article</w:t>
      </w:r>
      <w:r w:rsidR="00AE3BFD">
        <w:rPr>
          <w:lang w:val="fr-FR"/>
        </w:rPr>
        <w:t xml:space="preserve"> </w:t>
      </w:r>
      <w:r w:rsidRPr="00FE3C46">
        <w:rPr>
          <w:lang w:val="fr-FR"/>
        </w:rPr>
        <w:t xml:space="preserve">70 </w:t>
      </w:r>
      <w:r>
        <w:rPr>
          <w:lang w:val="fr-FR"/>
        </w:rPr>
        <w:t xml:space="preserve">du </w:t>
      </w:r>
      <w:r w:rsidRPr="00FE3C46">
        <w:rPr>
          <w:lang w:val="fr-FR"/>
        </w:rPr>
        <w:t>Code</w:t>
      </w:r>
      <w:r>
        <w:rPr>
          <w:lang w:val="fr-FR"/>
        </w:rPr>
        <w:t xml:space="preserve"> pénal</w:t>
      </w:r>
      <w:r w:rsidRPr="0076398D">
        <w:rPr>
          <w:lang w:val="fr-FR"/>
        </w:rPr>
        <w:t>, qui dispose ce qui suit</w:t>
      </w:r>
      <w:r w:rsidR="00D759F4">
        <w:rPr>
          <w:lang w:val="fr-FR"/>
        </w:rPr>
        <w:t> </w:t>
      </w:r>
      <w:r w:rsidRPr="00FE3C46">
        <w:rPr>
          <w:lang w:val="fr-FR"/>
        </w:rPr>
        <w:t>:</w:t>
      </w:r>
    </w:p>
    <w:p w:rsidR="00786D88" w:rsidRPr="00FE3C46" w:rsidRDefault="00786D88" w:rsidP="00D759F4">
      <w:pPr>
        <w:pStyle w:val="SingleTxtG"/>
        <w:ind w:firstLine="567"/>
        <w:rPr>
          <w:lang w:val="fr-FR"/>
        </w:rPr>
      </w:pPr>
      <w:r>
        <w:rPr>
          <w:lang w:val="fr-FR"/>
        </w:rPr>
        <w:t>« </w:t>
      </w:r>
      <w:r w:rsidRPr="00361643">
        <w:rPr>
          <w:lang w:val="fr-FR"/>
        </w:rPr>
        <w:t xml:space="preserve">Toute personne tenant oralement ou par écrit, des propos exprimant ou manifestant des sentiments de haine, de ridicule ou de mépris à l’égard de toute personne ou </w:t>
      </w:r>
      <w:r>
        <w:rPr>
          <w:lang w:val="fr-FR"/>
        </w:rPr>
        <w:t xml:space="preserve">de tout </w:t>
      </w:r>
      <w:r w:rsidRPr="00361643">
        <w:rPr>
          <w:lang w:val="fr-FR"/>
        </w:rPr>
        <w:t>groupe uniquement ou principalement pour des motifs de race, d’appartenance tribale, de lieu d’origine ou de couleur se rend coupable d’une infraction et, si elle est reconnue coupable, est passible d’une peine d’une durée maximale de deux</w:t>
      </w:r>
      <w:r>
        <w:rPr>
          <w:lang w:val="fr-FR"/>
        </w:rPr>
        <w:t xml:space="preserve"> ans</w:t>
      </w:r>
      <w:r w:rsidR="00D759F4">
        <w:rPr>
          <w:lang w:val="fr-FR"/>
        </w:rPr>
        <w:t>.</w:t>
      </w:r>
      <w:r>
        <w:rPr>
          <w:lang w:val="fr-FR"/>
        </w:rPr>
        <w:t> »</w:t>
      </w:r>
      <w:r w:rsidRPr="00FE3C46">
        <w:rPr>
          <w:lang w:val="fr-FR"/>
        </w:rPr>
        <w:t>.</w:t>
      </w:r>
    </w:p>
    <w:p w:rsidR="00786D88" w:rsidRPr="00FE3C46" w:rsidRDefault="00786D88" w:rsidP="00D759F4">
      <w:pPr>
        <w:pStyle w:val="H23G"/>
        <w:rPr>
          <w:lang w:val="fr-FR"/>
        </w:rPr>
      </w:pPr>
      <w:r w:rsidRPr="00FE3C46">
        <w:rPr>
          <w:lang w:val="fr-FR"/>
        </w:rPr>
        <w:tab/>
        <w:t>B.</w:t>
      </w:r>
      <w:r w:rsidRPr="00FE3C46">
        <w:rPr>
          <w:lang w:val="fr-FR"/>
        </w:rPr>
        <w:tab/>
      </w:r>
      <w:r>
        <w:rPr>
          <w:lang w:val="fr-FR"/>
        </w:rPr>
        <w:t xml:space="preserve">Mesures judiciaires </w:t>
      </w:r>
    </w:p>
    <w:p w:rsidR="00786D88" w:rsidRDefault="00786D88" w:rsidP="00786D88">
      <w:pPr>
        <w:pStyle w:val="SingleTxtG"/>
        <w:rPr>
          <w:lang w:val="fr-FR"/>
        </w:rPr>
      </w:pPr>
      <w:r w:rsidRPr="00FE3C46">
        <w:rPr>
          <w:lang w:val="fr-FR"/>
        </w:rPr>
        <w:t>86.</w:t>
      </w:r>
      <w:r w:rsidRPr="00FE3C46">
        <w:rPr>
          <w:lang w:val="fr-FR"/>
        </w:rPr>
        <w:tab/>
      </w:r>
      <w:r>
        <w:rPr>
          <w:lang w:val="fr-FR"/>
        </w:rPr>
        <w:t>Aucune mesure n’est à signaler</w:t>
      </w:r>
      <w:r w:rsidRPr="00FE3C46">
        <w:rPr>
          <w:lang w:val="fr-FR"/>
        </w:rPr>
        <w:t>.</w:t>
      </w:r>
    </w:p>
    <w:p w:rsidR="00D759F4" w:rsidRDefault="00D759F4" w:rsidP="00D759F4">
      <w:pPr>
        <w:pStyle w:val="H23G"/>
        <w:rPr>
          <w:lang w:val="fr-FR"/>
        </w:rPr>
      </w:pPr>
      <w:r>
        <w:rPr>
          <w:lang w:val="fr-FR"/>
        </w:rPr>
        <w:tab/>
        <w:t>C.</w:t>
      </w:r>
      <w:r>
        <w:rPr>
          <w:lang w:val="fr-FR"/>
        </w:rPr>
        <w:tab/>
        <w:t>Mesures administratives</w:t>
      </w:r>
    </w:p>
    <w:p w:rsidR="00B96389" w:rsidRPr="00B96389" w:rsidRDefault="00B96389" w:rsidP="00B96389">
      <w:pPr>
        <w:pStyle w:val="SingleTxtG"/>
        <w:rPr>
          <w:lang w:val="fr-FR"/>
        </w:rPr>
      </w:pPr>
      <w:r>
        <w:rPr>
          <w:lang w:val="fr-FR"/>
        </w:rPr>
        <w:t>87.</w:t>
      </w:r>
      <w:r>
        <w:rPr>
          <w:lang w:val="fr-FR"/>
        </w:rPr>
        <w:tab/>
        <w:t>Aucune mesure n’est à signaler.</w:t>
      </w:r>
    </w:p>
    <w:p w:rsidR="00B96389" w:rsidRDefault="00B96389" w:rsidP="00B96389">
      <w:pPr>
        <w:pStyle w:val="HChG"/>
        <w:rPr>
          <w:lang w:val="fr-FR"/>
        </w:rPr>
      </w:pPr>
      <w:r>
        <w:rPr>
          <w:lang w:val="fr-FR"/>
        </w:rPr>
        <w:lastRenderedPageBreak/>
        <w:tab/>
      </w:r>
      <w:r>
        <w:rPr>
          <w:lang w:val="fr-FR"/>
        </w:rPr>
        <w:tab/>
      </w:r>
      <w:r>
        <w:rPr>
          <w:lang w:val="fr-FR"/>
        </w:rPr>
        <w:t>Article 5</w:t>
      </w:r>
    </w:p>
    <w:p w:rsidR="00B96389" w:rsidRPr="00B96389" w:rsidRDefault="00B96389" w:rsidP="00B96389">
      <w:pPr>
        <w:pStyle w:val="H1G"/>
        <w:rPr>
          <w:lang w:val="fr-FR"/>
        </w:rPr>
      </w:pPr>
      <w:r>
        <w:rPr>
          <w:lang w:val="fr-FR"/>
        </w:rPr>
        <w:tab/>
      </w:r>
      <w:r>
        <w:rPr>
          <w:lang w:val="fr-FR"/>
        </w:rPr>
        <w:t>21.</w:t>
      </w:r>
      <w:r>
        <w:rPr>
          <w:lang w:val="fr-FR"/>
        </w:rPr>
        <w:tab/>
        <w:t>Application des droits et des libertés</w:t>
      </w:r>
    </w:p>
    <w:p w:rsidR="00786D88" w:rsidRDefault="00786D88" w:rsidP="00B96389">
      <w:pPr>
        <w:pStyle w:val="H23G"/>
        <w:rPr>
          <w:lang w:val="fr-FR"/>
        </w:rPr>
      </w:pPr>
      <w:r w:rsidRPr="00FE3C46">
        <w:rPr>
          <w:lang w:val="fr-FR"/>
        </w:rPr>
        <w:tab/>
        <w:t>A.</w:t>
      </w:r>
      <w:r w:rsidRPr="00FE3C46">
        <w:rPr>
          <w:lang w:val="fr-FR"/>
        </w:rPr>
        <w:tab/>
      </w:r>
      <w:r>
        <w:rPr>
          <w:lang w:val="fr-FR"/>
        </w:rPr>
        <w:t xml:space="preserve">Mesures législatives </w:t>
      </w:r>
    </w:p>
    <w:p w:rsidR="00786D88" w:rsidRPr="00FE3C46" w:rsidRDefault="00786D88" w:rsidP="00786D88">
      <w:pPr>
        <w:pStyle w:val="SingleTxtG"/>
        <w:rPr>
          <w:lang w:val="fr-FR"/>
        </w:rPr>
      </w:pPr>
      <w:r w:rsidRPr="00FE3C46">
        <w:rPr>
          <w:lang w:val="fr-FR"/>
        </w:rPr>
        <w:t>88.</w:t>
      </w:r>
      <w:r w:rsidRPr="00FE3C46">
        <w:rPr>
          <w:lang w:val="fr-FR"/>
        </w:rPr>
        <w:tab/>
      </w:r>
      <w:r>
        <w:rPr>
          <w:lang w:val="fr-FR"/>
        </w:rPr>
        <w:t xml:space="preserve">Le </w:t>
      </w:r>
      <w:r w:rsidRPr="00FE3C46">
        <w:rPr>
          <w:lang w:val="fr-FR"/>
        </w:rPr>
        <w:t xml:space="preserve">Comité </w:t>
      </w:r>
      <w:r>
        <w:rPr>
          <w:lang w:val="fr-FR"/>
        </w:rPr>
        <w:t>est invité à prendre note du fait que l’article</w:t>
      </w:r>
      <w:r w:rsidR="00AE3BFD">
        <w:rPr>
          <w:lang w:val="fr-FR"/>
        </w:rPr>
        <w:t xml:space="preserve"> </w:t>
      </w:r>
      <w:r w:rsidRPr="00FE3C46">
        <w:rPr>
          <w:lang w:val="fr-FR"/>
        </w:rPr>
        <w:t xml:space="preserve">11 </w:t>
      </w:r>
      <w:r>
        <w:rPr>
          <w:lang w:val="fr-FR"/>
        </w:rPr>
        <w:t>de la Constitution zambienne mentionné précédemment est la base juridique sur laquelle repose le droit de chaque personne en Zambie, indépendamment de sa race, de son lieu d’origine, de ses opinions politiques, de sa couleur, de ses croyances, de son sexe, ou de sa situation matrimoniale, de jouir des libertés et des droits fondamentaux, sous réserve des restrictions nécessaires. Cette disposition constitutionnelle représente la première ligne de défense contre la discrimination raciale</w:t>
      </w:r>
      <w:r w:rsidRPr="00FE3C46">
        <w:rPr>
          <w:lang w:val="fr-FR"/>
        </w:rPr>
        <w:t>.</w:t>
      </w:r>
    </w:p>
    <w:p w:rsidR="00786D88" w:rsidRPr="00FE3C46" w:rsidRDefault="00786D88" w:rsidP="00786D88">
      <w:pPr>
        <w:pStyle w:val="SingleTxtG"/>
        <w:rPr>
          <w:lang w:val="fr-FR"/>
        </w:rPr>
      </w:pPr>
      <w:r w:rsidRPr="00FE3C46">
        <w:rPr>
          <w:lang w:val="fr-FR"/>
        </w:rPr>
        <w:t>89.</w:t>
      </w:r>
      <w:r w:rsidRPr="00FE3C46">
        <w:rPr>
          <w:lang w:val="fr-FR"/>
        </w:rPr>
        <w:tab/>
      </w:r>
      <w:r>
        <w:rPr>
          <w:lang w:val="fr-FR"/>
        </w:rPr>
        <w:t>Le paragraphe 1 de l’article</w:t>
      </w:r>
      <w:r w:rsidR="00AE3BFD">
        <w:rPr>
          <w:lang w:val="fr-FR"/>
        </w:rPr>
        <w:t xml:space="preserve"> </w:t>
      </w:r>
      <w:r w:rsidRPr="00FE3C46">
        <w:rPr>
          <w:lang w:val="fr-FR"/>
        </w:rPr>
        <w:t>13</w:t>
      </w:r>
      <w:r>
        <w:rPr>
          <w:lang w:val="fr-FR"/>
        </w:rPr>
        <w:t xml:space="preserve"> interdit la privation de liberté d’une personne sauf dans des circonstances précises qui ne sont pas motivées par la discrimination fondée sur la race ou la couleur</w:t>
      </w:r>
      <w:r w:rsidRPr="00FE3C46">
        <w:rPr>
          <w:lang w:val="fr-FR"/>
        </w:rPr>
        <w:t>.</w:t>
      </w:r>
    </w:p>
    <w:p w:rsidR="00786D88" w:rsidRPr="00FE3C46" w:rsidRDefault="00786D88" w:rsidP="00786D88">
      <w:pPr>
        <w:pStyle w:val="SingleTxtG"/>
        <w:rPr>
          <w:lang w:val="fr-FR"/>
        </w:rPr>
      </w:pPr>
      <w:r w:rsidRPr="00FE3C46">
        <w:rPr>
          <w:lang w:val="fr-FR"/>
        </w:rPr>
        <w:t>90.</w:t>
      </w:r>
      <w:r w:rsidRPr="00FE3C46">
        <w:rPr>
          <w:lang w:val="fr-FR"/>
        </w:rPr>
        <w:tab/>
      </w:r>
      <w:r>
        <w:rPr>
          <w:lang w:val="fr-FR"/>
        </w:rPr>
        <w:t>La Constitution assure une protection contre la violence et les dommages corporels à l’article</w:t>
      </w:r>
      <w:r w:rsidR="00AE3BFD">
        <w:rPr>
          <w:lang w:val="fr-FR"/>
        </w:rPr>
        <w:t xml:space="preserve"> </w:t>
      </w:r>
      <w:r>
        <w:rPr>
          <w:lang w:val="fr-FR"/>
        </w:rPr>
        <w:t>15, qui interdit la torture, les traitements inhumains ou dégradants ou tout autre traitement similaire. Cette interdiction ne donne lieu à aucune exception en quelque circonstance que ce soit</w:t>
      </w:r>
      <w:r w:rsidRPr="00FE3C46">
        <w:rPr>
          <w:lang w:val="fr-FR"/>
        </w:rPr>
        <w:t>.</w:t>
      </w:r>
    </w:p>
    <w:p w:rsidR="00786D88" w:rsidRPr="00FE3C46" w:rsidRDefault="00786D88" w:rsidP="00786D88">
      <w:pPr>
        <w:pStyle w:val="SingleTxtG"/>
        <w:rPr>
          <w:lang w:val="fr-FR"/>
        </w:rPr>
      </w:pPr>
      <w:r w:rsidRPr="00FE3C46">
        <w:rPr>
          <w:lang w:val="fr-FR"/>
        </w:rPr>
        <w:t>91.</w:t>
      </w:r>
      <w:r w:rsidRPr="00FE3C46">
        <w:rPr>
          <w:lang w:val="fr-FR"/>
        </w:rPr>
        <w:tab/>
      </w:r>
      <w:r>
        <w:rPr>
          <w:lang w:val="fr-FR"/>
        </w:rPr>
        <w:t>L’article</w:t>
      </w:r>
      <w:r w:rsidR="00AE3BFD">
        <w:rPr>
          <w:lang w:val="fr-FR"/>
        </w:rPr>
        <w:t xml:space="preserve"> </w:t>
      </w:r>
      <w:r w:rsidRPr="00FE3C46">
        <w:rPr>
          <w:lang w:val="fr-FR"/>
        </w:rPr>
        <w:t xml:space="preserve">18 </w:t>
      </w:r>
      <w:r>
        <w:rPr>
          <w:lang w:val="fr-FR"/>
        </w:rPr>
        <w:t xml:space="preserve">de la </w:t>
      </w:r>
      <w:r w:rsidRPr="00FE3C46">
        <w:rPr>
          <w:lang w:val="fr-FR"/>
        </w:rPr>
        <w:t xml:space="preserve">Constitution </w:t>
      </w:r>
      <w:r>
        <w:rPr>
          <w:lang w:val="fr-FR"/>
        </w:rPr>
        <w:t>zambienne dispose que toute personne accusée d’une infraction pénale a droit à un procès équitable se déroulant dans un délai raisonnable devant un tribunal indépendant et impartial établi par la loi</w:t>
      </w:r>
      <w:r w:rsidRPr="00FE3C46">
        <w:rPr>
          <w:lang w:val="fr-FR"/>
        </w:rPr>
        <w:t>.</w:t>
      </w:r>
    </w:p>
    <w:p w:rsidR="00786D88" w:rsidRPr="00FE3C46" w:rsidRDefault="00786D88" w:rsidP="00786D88">
      <w:pPr>
        <w:pStyle w:val="SingleTxtG"/>
        <w:rPr>
          <w:lang w:val="fr-FR"/>
        </w:rPr>
      </w:pPr>
      <w:r w:rsidRPr="00FE3C46">
        <w:rPr>
          <w:lang w:val="fr-FR"/>
        </w:rPr>
        <w:t>92.</w:t>
      </w:r>
      <w:r w:rsidRPr="00FE3C46">
        <w:rPr>
          <w:lang w:val="fr-FR"/>
        </w:rPr>
        <w:tab/>
        <w:t xml:space="preserve">L’État partie </w:t>
      </w:r>
      <w:r>
        <w:rPr>
          <w:lang w:val="fr-FR"/>
        </w:rPr>
        <w:t>tient de surcroît à indiquer que toute loi établissant les tribunaux et les autres organes administrant la justice doit être compatible avec l’article</w:t>
      </w:r>
      <w:r w:rsidR="00AE3BFD">
        <w:rPr>
          <w:lang w:val="fr-FR"/>
        </w:rPr>
        <w:t xml:space="preserve"> </w:t>
      </w:r>
      <w:r w:rsidRPr="00FE3C46">
        <w:rPr>
          <w:lang w:val="fr-FR"/>
        </w:rPr>
        <w:t xml:space="preserve">23 </w:t>
      </w:r>
      <w:r>
        <w:rPr>
          <w:lang w:val="fr-FR"/>
        </w:rPr>
        <w:t xml:space="preserve">de la </w:t>
      </w:r>
      <w:r w:rsidRPr="00FE3C46">
        <w:rPr>
          <w:lang w:val="fr-FR"/>
        </w:rPr>
        <w:t xml:space="preserve">Constitution </w:t>
      </w:r>
      <w:r>
        <w:rPr>
          <w:lang w:val="fr-FR"/>
        </w:rPr>
        <w:t>qui interdit tout traitement discriminatoire</w:t>
      </w:r>
      <w:r w:rsidRPr="00FE3C46">
        <w:rPr>
          <w:lang w:val="fr-FR"/>
        </w:rPr>
        <w:t>.</w:t>
      </w:r>
    </w:p>
    <w:p w:rsidR="00786D88" w:rsidRPr="00FE3C46" w:rsidRDefault="00786D88" w:rsidP="00786D88">
      <w:pPr>
        <w:pStyle w:val="SingleTxtG"/>
        <w:rPr>
          <w:rFonts w:ascii="Bookman Old Style" w:hAnsi="Bookman Old Style"/>
          <w:iCs/>
          <w:color w:val="000000" w:themeColor="text1"/>
          <w:szCs w:val="24"/>
          <w:lang w:val="fr-FR"/>
        </w:rPr>
      </w:pPr>
      <w:r w:rsidRPr="00FE3C46">
        <w:rPr>
          <w:lang w:val="fr-FR"/>
        </w:rPr>
        <w:t>93.</w:t>
      </w:r>
      <w:r w:rsidRPr="00FE3C46">
        <w:rPr>
          <w:lang w:val="fr-FR"/>
        </w:rPr>
        <w:tab/>
      </w:r>
      <w:r>
        <w:rPr>
          <w:lang w:val="fr-FR"/>
        </w:rPr>
        <w:t>L’article</w:t>
      </w:r>
      <w:r w:rsidR="00AE3BFD">
        <w:rPr>
          <w:lang w:val="fr-FR"/>
        </w:rPr>
        <w:t xml:space="preserve"> </w:t>
      </w:r>
      <w:r w:rsidRPr="00FE3C46">
        <w:rPr>
          <w:lang w:val="fr-FR"/>
        </w:rPr>
        <w:t xml:space="preserve">28 </w:t>
      </w:r>
      <w:r>
        <w:rPr>
          <w:lang w:val="fr-FR"/>
        </w:rPr>
        <w:t xml:space="preserve">de la </w:t>
      </w:r>
      <w:r w:rsidRPr="00FE3C46">
        <w:rPr>
          <w:lang w:val="fr-FR"/>
        </w:rPr>
        <w:t>Constitution</w:t>
      </w:r>
      <w:r>
        <w:rPr>
          <w:lang w:val="fr-FR"/>
        </w:rPr>
        <w:t xml:space="preserve"> prévoit expressément un recours judiciaire en cas de violation de l’un quelconque des droits et des libertés garanties par la</w:t>
      </w:r>
      <w:r w:rsidRPr="00FE3C46">
        <w:rPr>
          <w:lang w:val="fr-FR"/>
        </w:rPr>
        <w:t xml:space="preserve"> Constitution.</w:t>
      </w:r>
    </w:p>
    <w:p w:rsidR="00786D88" w:rsidRPr="00FE3C46" w:rsidRDefault="00786D88" w:rsidP="00786D88">
      <w:pPr>
        <w:pStyle w:val="SingleTxtG"/>
        <w:rPr>
          <w:rStyle w:val="PlainTable31"/>
          <w:rFonts w:ascii="Bookman Old Style" w:hAnsi="Bookman Old Style"/>
          <w:i w:val="0"/>
          <w:color w:val="000000" w:themeColor="text1"/>
          <w:szCs w:val="24"/>
          <w:lang w:val="fr-FR"/>
        </w:rPr>
      </w:pPr>
      <w:r w:rsidRPr="00FE3C46">
        <w:rPr>
          <w:lang w:val="fr-FR"/>
        </w:rPr>
        <w:t>94.</w:t>
      </w:r>
      <w:r w:rsidRPr="00FE3C46">
        <w:rPr>
          <w:lang w:val="fr-FR"/>
        </w:rPr>
        <w:tab/>
      </w:r>
      <w:r>
        <w:rPr>
          <w:lang w:val="fr-FR"/>
        </w:rPr>
        <w:t xml:space="preserve">Il est demandé au </w:t>
      </w:r>
      <w:r w:rsidRPr="00FE3C46">
        <w:rPr>
          <w:lang w:val="fr-FR"/>
        </w:rPr>
        <w:t>Comité</w:t>
      </w:r>
      <w:r>
        <w:rPr>
          <w:lang w:val="fr-FR"/>
        </w:rPr>
        <w:t xml:space="preserve"> de porter</w:t>
      </w:r>
      <w:r w:rsidR="00B96389">
        <w:rPr>
          <w:lang w:val="fr-FR"/>
        </w:rPr>
        <w:t xml:space="preserve"> son attention sur les articles </w:t>
      </w:r>
      <w:r w:rsidRPr="00FE3C46">
        <w:rPr>
          <w:lang w:val="fr-FR"/>
        </w:rPr>
        <w:t xml:space="preserve">45 </w:t>
      </w:r>
      <w:r>
        <w:rPr>
          <w:lang w:val="fr-FR"/>
        </w:rPr>
        <w:t>et</w:t>
      </w:r>
      <w:r w:rsidR="00B96389">
        <w:rPr>
          <w:lang w:val="fr-FR"/>
        </w:rPr>
        <w:t xml:space="preserve"> </w:t>
      </w:r>
      <w:r w:rsidRPr="00FE3C46">
        <w:rPr>
          <w:lang w:val="fr-FR"/>
        </w:rPr>
        <w:t xml:space="preserve">46 </w:t>
      </w:r>
      <w:r w:rsidRPr="009D5659">
        <w:rPr>
          <w:lang w:val="fr-FR"/>
        </w:rPr>
        <w:t xml:space="preserve">de la Constitution </w:t>
      </w:r>
      <w:r>
        <w:rPr>
          <w:lang w:val="fr-FR"/>
        </w:rPr>
        <w:t xml:space="preserve">révisée </w:t>
      </w:r>
      <w:r w:rsidRPr="009D5659">
        <w:rPr>
          <w:lang w:val="fr-FR"/>
        </w:rPr>
        <w:t xml:space="preserve">en application de la loi </w:t>
      </w:r>
      <w:r w:rsidR="00B96389" w:rsidRPr="00B96389">
        <w:rPr>
          <w:rFonts w:eastAsia="MS Mincho"/>
          <w:szCs w:val="22"/>
          <w:lang w:val="fr-FR"/>
        </w:rPr>
        <w:t>n</w:t>
      </w:r>
      <w:r w:rsidR="00B96389" w:rsidRPr="00B96389">
        <w:rPr>
          <w:rFonts w:eastAsia="MS Mincho"/>
          <w:szCs w:val="22"/>
          <w:vertAlign w:val="superscript"/>
          <w:lang w:val="fr-FR"/>
        </w:rPr>
        <w:t>o</w:t>
      </w:r>
      <w:r w:rsidR="00B96389">
        <w:rPr>
          <w:lang w:val="fr-FR"/>
        </w:rPr>
        <w:t> </w:t>
      </w:r>
      <w:r w:rsidRPr="009D5659">
        <w:rPr>
          <w:lang w:val="fr-FR"/>
        </w:rPr>
        <w:t>2 de</w:t>
      </w:r>
      <w:r w:rsidR="00B96389">
        <w:rPr>
          <w:lang w:val="fr-FR"/>
        </w:rPr>
        <w:t xml:space="preserve"> </w:t>
      </w:r>
      <w:r w:rsidRPr="009D5659">
        <w:rPr>
          <w:lang w:val="fr-FR"/>
        </w:rPr>
        <w:t>2016</w:t>
      </w:r>
      <w:r>
        <w:rPr>
          <w:lang w:val="fr-FR"/>
        </w:rPr>
        <w:t>, qui garantissent le droit de vote, notamment aux élections présidentielles</w:t>
      </w:r>
      <w:r w:rsidRPr="00FE3C46">
        <w:rPr>
          <w:lang w:val="fr-FR"/>
        </w:rPr>
        <w:t xml:space="preserve">. </w:t>
      </w:r>
      <w:r>
        <w:rPr>
          <w:lang w:val="fr-FR"/>
        </w:rPr>
        <w:t>L’article</w:t>
      </w:r>
      <w:r w:rsidR="00AE3BFD">
        <w:rPr>
          <w:lang w:val="fr-FR"/>
        </w:rPr>
        <w:t xml:space="preserve"> </w:t>
      </w:r>
      <w:r w:rsidRPr="00FE3C46">
        <w:rPr>
          <w:lang w:val="fr-FR"/>
        </w:rPr>
        <w:t xml:space="preserve">45 </w:t>
      </w:r>
      <w:r>
        <w:rPr>
          <w:lang w:val="fr-FR"/>
        </w:rPr>
        <w:t>dispose que </w:t>
      </w:r>
      <w:r w:rsidRPr="00FE3C46">
        <w:rPr>
          <w:lang w:val="fr-FR"/>
        </w:rPr>
        <w:t>:</w:t>
      </w:r>
    </w:p>
    <w:p w:rsidR="00786D88" w:rsidRPr="00FE3C46" w:rsidRDefault="00786D88" w:rsidP="00B96389">
      <w:pPr>
        <w:pStyle w:val="SingleTxtG"/>
        <w:ind w:firstLine="567"/>
        <w:rPr>
          <w:lang w:val="fr-FR"/>
        </w:rPr>
      </w:pPr>
      <w:r>
        <w:rPr>
          <w:lang w:val="fr-FR"/>
        </w:rPr>
        <w:t>« </w:t>
      </w:r>
      <w:r w:rsidRPr="00FE3C46">
        <w:rPr>
          <w:lang w:val="fr-FR"/>
        </w:rPr>
        <w:t>1)</w:t>
      </w:r>
      <w:r w:rsidRPr="00FE3C46">
        <w:rPr>
          <w:lang w:val="fr-FR"/>
        </w:rPr>
        <w:tab/>
      </w:r>
      <w:r>
        <w:rPr>
          <w:lang w:val="fr-FR"/>
        </w:rPr>
        <w:t xml:space="preserve">Tout citoyen zambien ayant atteint l’âge de </w:t>
      </w:r>
      <w:r w:rsidR="00717A51">
        <w:rPr>
          <w:lang w:val="fr-FR"/>
        </w:rPr>
        <w:t>18 </w:t>
      </w:r>
      <w:r>
        <w:rPr>
          <w:lang w:val="fr-FR"/>
        </w:rPr>
        <w:t xml:space="preserve">ans, à moins </w:t>
      </w:r>
      <w:r w:rsidRPr="009D5659">
        <w:rPr>
          <w:lang w:val="fr-FR"/>
        </w:rPr>
        <w:t xml:space="preserve">de ne pas être autorisé à s’inscrire sur les listes électorales pour élire un </w:t>
      </w:r>
      <w:r>
        <w:rPr>
          <w:lang w:val="fr-FR"/>
        </w:rPr>
        <w:t>membre de l’Assemblée nationale</w:t>
      </w:r>
      <w:r w:rsidRPr="009D5659">
        <w:rPr>
          <w:lang w:val="fr-FR"/>
        </w:rPr>
        <w:t>, a le droit de s’inscrire en tant qu’électeur, conformément à la législation électorale, et aucune autre personne ne peut s’inscrire à sa place</w:t>
      </w:r>
      <w:r w:rsidR="00717A51">
        <w:rPr>
          <w:lang w:val="fr-FR"/>
        </w:rPr>
        <w:t>.</w:t>
      </w:r>
      <w:r>
        <w:rPr>
          <w:lang w:val="fr-FR"/>
        </w:rPr>
        <w:t> »</w:t>
      </w:r>
      <w:r w:rsidRPr="00FE3C46">
        <w:rPr>
          <w:lang w:val="fr-FR"/>
        </w:rPr>
        <w:t>.</w:t>
      </w:r>
    </w:p>
    <w:p w:rsidR="00786D88" w:rsidRPr="00FE3C46" w:rsidRDefault="00786D88" w:rsidP="00786D88">
      <w:pPr>
        <w:pStyle w:val="SingleTxtG"/>
        <w:rPr>
          <w:lang w:val="fr-FR"/>
        </w:rPr>
      </w:pPr>
      <w:r w:rsidRPr="00FE3C46">
        <w:rPr>
          <w:lang w:val="fr-FR"/>
        </w:rPr>
        <w:t>95.</w:t>
      </w:r>
      <w:r w:rsidRPr="00FE3C46">
        <w:rPr>
          <w:lang w:val="fr-FR"/>
        </w:rPr>
        <w:tab/>
        <w:t xml:space="preserve">L’État partie </w:t>
      </w:r>
      <w:r>
        <w:rPr>
          <w:lang w:val="fr-FR"/>
        </w:rPr>
        <w:t xml:space="preserve">tient à indiquer </w:t>
      </w:r>
      <w:r w:rsidR="00B96389">
        <w:rPr>
          <w:lang w:val="fr-FR"/>
        </w:rPr>
        <w:t xml:space="preserve">que les articles </w:t>
      </w:r>
      <w:r w:rsidRPr="00FE3C46">
        <w:rPr>
          <w:lang w:val="fr-FR"/>
        </w:rPr>
        <w:t xml:space="preserve">229, 247, 248 </w:t>
      </w:r>
      <w:r>
        <w:rPr>
          <w:lang w:val="fr-FR"/>
        </w:rPr>
        <w:t>et</w:t>
      </w:r>
      <w:r w:rsidRPr="00FE3C46">
        <w:rPr>
          <w:lang w:val="fr-FR"/>
        </w:rPr>
        <w:t xml:space="preserve"> 248A </w:t>
      </w:r>
      <w:r>
        <w:rPr>
          <w:lang w:val="fr-FR"/>
        </w:rPr>
        <w:t xml:space="preserve">du </w:t>
      </w:r>
      <w:r w:rsidRPr="00FE3C46">
        <w:rPr>
          <w:lang w:val="fr-FR"/>
        </w:rPr>
        <w:t>Code</w:t>
      </w:r>
      <w:r>
        <w:rPr>
          <w:lang w:val="fr-FR"/>
        </w:rPr>
        <w:t xml:space="preserve"> pénal prévoient des peines adéquates pour les délits causant des dommages corporels</w:t>
      </w:r>
      <w:r w:rsidRPr="00FE3C46">
        <w:rPr>
          <w:lang w:val="fr-FR"/>
        </w:rPr>
        <w:t>.</w:t>
      </w:r>
    </w:p>
    <w:p w:rsidR="00786D88" w:rsidRPr="00FE3C46" w:rsidRDefault="00786D88" w:rsidP="00274CD5">
      <w:pPr>
        <w:pStyle w:val="SingleTxtG"/>
        <w:ind w:left="1701"/>
        <w:rPr>
          <w:lang w:val="fr-FR"/>
        </w:rPr>
      </w:pPr>
      <w:r w:rsidRPr="00FE3C46">
        <w:rPr>
          <w:lang w:val="fr-FR"/>
        </w:rPr>
        <w:t>229.</w:t>
      </w:r>
      <w:r w:rsidRPr="00FE3C46">
        <w:rPr>
          <w:lang w:val="fr-FR"/>
        </w:rPr>
        <w:tab/>
      </w:r>
      <w:r>
        <w:rPr>
          <w:lang w:val="fr-FR"/>
        </w:rPr>
        <w:t>« Toute personne causant illégalement un préjudice grave à une autre personne se rend coupable d’un crime passible d’une pein</w:t>
      </w:r>
      <w:r w:rsidR="00274CD5">
        <w:rPr>
          <w:lang w:val="fr-FR"/>
        </w:rPr>
        <w:t>e d’emprisonnement de sept ans. </w:t>
      </w:r>
      <w:r>
        <w:rPr>
          <w:lang w:val="fr-FR"/>
        </w:rPr>
        <w:t>»</w:t>
      </w:r>
      <w:r w:rsidR="00274CD5">
        <w:rPr>
          <w:lang w:val="fr-FR"/>
        </w:rPr>
        <w:t>.</w:t>
      </w:r>
    </w:p>
    <w:p w:rsidR="00786D88" w:rsidRPr="00FE3C46" w:rsidRDefault="00786D88" w:rsidP="00274CD5">
      <w:pPr>
        <w:pStyle w:val="SingleTxtG"/>
        <w:ind w:left="1701"/>
        <w:rPr>
          <w:lang w:val="fr-FR"/>
        </w:rPr>
      </w:pPr>
      <w:r w:rsidRPr="00FE3C46">
        <w:rPr>
          <w:lang w:val="fr-FR"/>
        </w:rPr>
        <w:t>227.</w:t>
      </w:r>
      <w:r w:rsidRPr="00FE3C46">
        <w:rPr>
          <w:lang w:val="fr-FR"/>
        </w:rPr>
        <w:tab/>
      </w:r>
      <w:r>
        <w:rPr>
          <w:lang w:val="fr-FR"/>
        </w:rPr>
        <w:t>« Toute personne commettant une agression illégale contre une autre personne se rend coupable d’un délit passible d’une peine d’emprisonnement d’un an, à moins que ladite agression ne soit commise dans des circonstances pouvant être sanctionnées par des peines plus lourdes en vertu du présent Code.</w:t>
      </w:r>
      <w:r w:rsidR="00274CD5">
        <w:rPr>
          <w:lang w:val="fr-FR"/>
        </w:rPr>
        <w:t> ».</w:t>
      </w:r>
    </w:p>
    <w:p w:rsidR="00786D88" w:rsidRPr="00FE3C46" w:rsidRDefault="00786D88" w:rsidP="00274CD5">
      <w:pPr>
        <w:pStyle w:val="SingleTxtG"/>
        <w:ind w:left="1701"/>
        <w:rPr>
          <w:lang w:val="fr-FR"/>
        </w:rPr>
      </w:pPr>
      <w:r w:rsidRPr="00FE3C46">
        <w:rPr>
          <w:lang w:val="fr-FR"/>
        </w:rPr>
        <w:t>248.</w:t>
      </w:r>
      <w:r w:rsidRPr="00FE3C46">
        <w:rPr>
          <w:lang w:val="fr-FR"/>
        </w:rPr>
        <w:tab/>
      </w:r>
      <w:r>
        <w:rPr>
          <w:lang w:val="fr-FR"/>
        </w:rPr>
        <w:t>« Toute personne commettant une agression causant des dommages corporels effectifs se rend coupable d’un délit passible d’une peine d’emprisonnement de cinq an</w:t>
      </w:r>
      <w:r w:rsidR="00274CD5">
        <w:rPr>
          <w:lang w:val="fr-FR"/>
        </w:rPr>
        <w:t>s. ».</w:t>
      </w:r>
    </w:p>
    <w:p w:rsidR="00786D88" w:rsidRPr="00FE3C46" w:rsidRDefault="00786D88" w:rsidP="00274CD5">
      <w:pPr>
        <w:pStyle w:val="SingleTxtG"/>
        <w:ind w:left="1701"/>
        <w:rPr>
          <w:lang w:val="fr-FR"/>
        </w:rPr>
      </w:pPr>
      <w:r w:rsidRPr="00FE3C46">
        <w:rPr>
          <w:lang w:val="fr-FR"/>
        </w:rPr>
        <w:t>248A.</w:t>
      </w:r>
      <w:r w:rsidRPr="00FE3C46">
        <w:rPr>
          <w:lang w:val="fr-FR"/>
        </w:rPr>
        <w:tab/>
      </w:r>
      <w:r>
        <w:rPr>
          <w:lang w:val="fr-FR"/>
        </w:rPr>
        <w:t xml:space="preserve">« Toute personne commettant une agression ou des voies de fait sur un enfant provoquant des dommages corporels effectifs se rend coupable d’un délit passible, si cette personne est condamnée, d’une peine dont la durée ne peut être inférieure à cinq ans ou supérieure à </w:t>
      </w:r>
      <w:r w:rsidR="00717A51">
        <w:rPr>
          <w:lang w:val="fr-FR"/>
        </w:rPr>
        <w:t>dix</w:t>
      </w:r>
      <w:r>
        <w:rPr>
          <w:lang w:val="fr-FR"/>
        </w:rPr>
        <w:t xml:space="preserve"> ans</w:t>
      </w:r>
      <w:r w:rsidRPr="00FE3C46">
        <w:rPr>
          <w:lang w:val="fr-FR"/>
        </w:rPr>
        <w:t>.</w:t>
      </w:r>
      <w:r w:rsidR="00274CD5">
        <w:rPr>
          <w:lang w:val="fr-FR"/>
        </w:rPr>
        <w:t> </w:t>
      </w:r>
      <w:r>
        <w:rPr>
          <w:lang w:val="fr-FR"/>
        </w:rPr>
        <w:t>»</w:t>
      </w:r>
      <w:r w:rsidR="00274CD5">
        <w:rPr>
          <w:lang w:val="fr-FR"/>
        </w:rPr>
        <w:t>.</w:t>
      </w:r>
    </w:p>
    <w:p w:rsidR="00786D88" w:rsidRPr="00FE3C46" w:rsidRDefault="00786D88" w:rsidP="00274CD5">
      <w:pPr>
        <w:pStyle w:val="H23G"/>
        <w:rPr>
          <w:lang w:val="fr-FR"/>
        </w:rPr>
      </w:pPr>
      <w:r w:rsidRPr="00FE3C46">
        <w:rPr>
          <w:lang w:val="fr-FR"/>
        </w:rPr>
        <w:lastRenderedPageBreak/>
        <w:tab/>
        <w:t>B.</w:t>
      </w:r>
      <w:r w:rsidRPr="00FE3C46">
        <w:rPr>
          <w:lang w:val="fr-FR"/>
        </w:rPr>
        <w:tab/>
      </w:r>
      <w:r>
        <w:rPr>
          <w:lang w:val="fr-FR"/>
        </w:rPr>
        <w:t xml:space="preserve">Mesures judiciaires </w:t>
      </w:r>
    </w:p>
    <w:p w:rsidR="00786D88" w:rsidRPr="00FE3C46" w:rsidRDefault="00786D88" w:rsidP="00786D88">
      <w:pPr>
        <w:pStyle w:val="SingleTxtG"/>
        <w:rPr>
          <w:lang w:val="fr-FR"/>
        </w:rPr>
      </w:pPr>
      <w:r w:rsidRPr="00FE3C46">
        <w:rPr>
          <w:lang w:val="fr-FR"/>
        </w:rPr>
        <w:t>96.</w:t>
      </w:r>
      <w:r w:rsidRPr="00FE3C46">
        <w:rPr>
          <w:lang w:val="fr-FR"/>
        </w:rPr>
        <w:tab/>
      </w:r>
      <w:r>
        <w:rPr>
          <w:lang w:val="fr-FR"/>
        </w:rPr>
        <w:t>Aucune nouvelle mesure n’est à signaler</w:t>
      </w:r>
      <w:r w:rsidRPr="00FE3C46">
        <w:rPr>
          <w:lang w:val="fr-FR"/>
        </w:rPr>
        <w:t>.</w:t>
      </w:r>
    </w:p>
    <w:p w:rsidR="00786D88" w:rsidRPr="00FE3C46" w:rsidRDefault="00786D88" w:rsidP="00274CD5">
      <w:pPr>
        <w:pStyle w:val="H23G"/>
        <w:rPr>
          <w:lang w:val="fr-FR"/>
        </w:rPr>
      </w:pPr>
      <w:r w:rsidRPr="00FE3C46">
        <w:rPr>
          <w:lang w:val="fr-FR"/>
        </w:rPr>
        <w:tab/>
        <w:t>C.</w:t>
      </w:r>
      <w:r w:rsidRPr="00FE3C46">
        <w:rPr>
          <w:lang w:val="fr-FR"/>
        </w:rPr>
        <w:tab/>
      </w:r>
      <w:r>
        <w:rPr>
          <w:lang w:val="fr-FR"/>
        </w:rPr>
        <w:t xml:space="preserve">Mesures administratives </w:t>
      </w:r>
    </w:p>
    <w:p w:rsidR="00786D88" w:rsidRPr="00FE3C46" w:rsidRDefault="00786D88" w:rsidP="00786D88">
      <w:pPr>
        <w:pStyle w:val="SingleTxtG"/>
        <w:rPr>
          <w:rFonts w:eastAsia="Calibri"/>
          <w:lang w:val="fr-FR"/>
        </w:rPr>
      </w:pPr>
      <w:r w:rsidRPr="00FE3C46">
        <w:rPr>
          <w:lang w:val="fr-FR"/>
        </w:rPr>
        <w:t>97.</w:t>
      </w:r>
      <w:r w:rsidRPr="00FE3C46">
        <w:rPr>
          <w:lang w:val="fr-FR"/>
        </w:rPr>
        <w:tab/>
      </w:r>
      <w:r>
        <w:rPr>
          <w:lang w:val="fr-FR"/>
        </w:rPr>
        <w:t xml:space="preserve">Le </w:t>
      </w:r>
      <w:r w:rsidRPr="00FE3C46">
        <w:rPr>
          <w:lang w:val="fr-FR"/>
        </w:rPr>
        <w:t xml:space="preserve">Comité </w:t>
      </w:r>
      <w:r>
        <w:rPr>
          <w:lang w:val="fr-FR"/>
        </w:rPr>
        <w:t xml:space="preserve">est invité à prendre note du fait que l’État </w:t>
      </w:r>
      <w:r w:rsidRPr="00FE3C46">
        <w:rPr>
          <w:lang w:val="fr-FR"/>
        </w:rPr>
        <w:t xml:space="preserve">partie </w:t>
      </w:r>
      <w:r>
        <w:rPr>
          <w:lang w:val="fr-FR"/>
        </w:rPr>
        <w:t>a établi la Commission zambienne des droits de l’homme qui a pour mission, entre autres, d’enquêter sur les plaintes pour discrimination</w:t>
      </w:r>
      <w:r w:rsidRPr="00FE3C46">
        <w:rPr>
          <w:lang w:val="fr-FR"/>
        </w:rPr>
        <w:t xml:space="preserve">. </w:t>
      </w:r>
      <w:r>
        <w:rPr>
          <w:lang w:val="fr-FR"/>
        </w:rPr>
        <w:t>Cette Commission veille en outre à ce que les plaintes visant des agents de l’État, notamment pour comportement discriminatoire raciste, fassent l’objet d’enquêtes approfondies. Elle est auss</w:t>
      </w:r>
      <w:r w:rsidR="00274CD5">
        <w:rPr>
          <w:lang w:val="fr-FR"/>
        </w:rPr>
        <w:t xml:space="preserve">i chargée, en vertu de l’alinéa </w:t>
      </w:r>
      <w:r>
        <w:rPr>
          <w:lang w:val="fr-FR"/>
        </w:rPr>
        <w:t>b) du paragraphe 3 de l’article</w:t>
      </w:r>
      <w:r w:rsidR="00AE3BFD">
        <w:rPr>
          <w:lang w:val="fr-FR"/>
        </w:rPr>
        <w:t xml:space="preserve"> </w:t>
      </w:r>
      <w:r w:rsidRPr="00FE3C46">
        <w:rPr>
          <w:lang w:val="fr-FR"/>
        </w:rPr>
        <w:t>230</w:t>
      </w:r>
      <w:r>
        <w:rPr>
          <w:lang w:val="fr-FR"/>
        </w:rPr>
        <w:t xml:space="preserve"> de la </w:t>
      </w:r>
      <w:r w:rsidRPr="00FE3C46">
        <w:rPr>
          <w:lang w:val="fr-FR"/>
        </w:rPr>
        <w:t xml:space="preserve">Constitution </w:t>
      </w:r>
      <w:r>
        <w:rPr>
          <w:lang w:val="fr-FR"/>
        </w:rPr>
        <w:t>zambienne de prendre les mesures nécessaires pour procéder aux réparations nécessaires lorsque des droits et libertés ont été violés</w:t>
      </w:r>
      <w:r w:rsidRPr="00FE3C46">
        <w:rPr>
          <w:rFonts w:eastAsia="Calibri"/>
          <w:lang w:val="fr-FR"/>
        </w:rPr>
        <w:t>.</w:t>
      </w:r>
    </w:p>
    <w:p w:rsidR="00786D88" w:rsidRPr="00FE3C46" w:rsidRDefault="00786D88" w:rsidP="00786D88">
      <w:pPr>
        <w:pStyle w:val="SingleTxtG"/>
        <w:rPr>
          <w:lang w:val="fr-FR"/>
        </w:rPr>
      </w:pPr>
      <w:r w:rsidRPr="00FE3C46">
        <w:rPr>
          <w:lang w:val="fr-FR"/>
        </w:rPr>
        <w:t>98.</w:t>
      </w:r>
      <w:r w:rsidRPr="00FE3C46">
        <w:rPr>
          <w:lang w:val="fr-FR"/>
        </w:rPr>
        <w:tab/>
        <w:t xml:space="preserve">L’État partie </w:t>
      </w:r>
      <w:r>
        <w:rPr>
          <w:lang w:val="fr-FR"/>
        </w:rPr>
        <w:t>tient à indiquer que le Ministère des affaires intérieures, par l’intermédiaire du Service de la police mobile et du Service de protection de la police ainsi que des Opérations au niveau des divisions et des districts, a pour mission d’intervenir rapidement en cas d’émeute</w:t>
      </w:r>
      <w:r w:rsidRPr="00FE3C46">
        <w:rPr>
          <w:lang w:val="fr-FR"/>
        </w:rPr>
        <w:t>.</w:t>
      </w:r>
    </w:p>
    <w:p w:rsidR="00786D88" w:rsidRPr="00FE3C46" w:rsidRDefault="00786D88" w:rsidP="00786D88">
      <w:pPr>
        <w:pStyle w:val="SingleTxtG"/>
        <w:rPr>
          <w:lang w:val="fr-FR"/>
        </w:rPr>
      </w:pPr>
      <w:r w:rsidRPr="00FE3C46">
        <w:rPr>
          <w:lang w:val="fr-FR"/>
        </w:rPr>
        <w:t>99.</w:t>
      </w:r>
      <w:r w:rsidRPr="00FE3C46">
        <w:rPr>
          <w:lang w:val="fr-FR"/>
        </w:rPr>
        <w:tab/>
        <w:t xml:space="preserve">L’État partie </w:t>
      </w:r>
      <w:r>
        <w:rPr>
          <w:lang w:val="fr-FR"/>
        </w:rPr>
        <w:t>tient également à indiquer l’établissement de la Commission d’examen des plaintes contre l</w:t>
      </w:r>
      <w:r w:rsidR="00274CD5">
        <w:rPr>
          <w:lang w:val="fr-FR"/>
        </w:rPr>
        <w:t>a police déposées par le public </w:t>
      </w:r>
      <w:r>
        <w:rPr>
          <w:lang w:val="fr-FR"/>
        </w:rPr>
        <w:t>; cette commission, à laquelle toute plainte pour abus de pouvoir par la police doit être communiquée, a pour mission de procéder à des enquêtes et de régler les affaires en fonction des conclusions de ces enquêtes</w:t>
      </w:r>
      <w:r w:rsidRPr="00FE3C46">
        <w:rPr>
          <w:lang w:val="fr-FR"/>
        </w:rPr>
        <w:t>.</w:t>
      </w:r>
    </w:p>
    <w:p w:rsidR="00786D88" w:rsidRPr="00FE3C46" w:rsidRDefault="00786D88" w:rsidP="00786D88">
      <w:pPr>
        <w:pStyle w:val="SingleTxtG"/>
        <w:rPr>
          <w:lang w:val="fr-FR"/>
        </w:rPr>
      </w:pPr>
      <w:r w:rsidRPr="00FE3C46">
        <w:rPr>
          <w:lang w:val="fr-FR"/>
        </w:rPr>
        <w:t>100.</w:t>
      </w:r>
      <w:r w:rsidRPr="00FE3C46">
        <w:rPr>
          <w:lang w:val="fr-FR"/>
        </w:rPr>
        <w:tab/>
        <w:t xml:space="preserve">L’État partie </w:t>
      </w:r>
      <w:r>
        <w:rPr>
          <w:lang w:val="fr-FR"/>
        </w:rPr>
        <w:t>tient à indiquer qu’il a formulé plusieurs politiques et stratégies portant sur des aspects particuliers de la santé pour améliorer les services de santé et, ainsi, assurer le respect du droit de la population à la santé et à des soins médicaux</w:t>
      </w:r>
      <w:r w:rsidRPr="00FE3C46">
        <w:rPr>
          <w:lang w:val="fr-FR"/>
        </w:rPr>
        <w:t>.</w:t>
      </w:r>
    </w:p>
    <w:p w:rsidR="00786D88" w:rsidRPr="00FE3C46" w:rsidRDefault="00786D88" w:rsidP="00786D88">
      <w:pPr>
        <w:pStyle w:val="SingleTxtG"/>
        <w:rPr>
          <w:lang w:val="fr-FR"/>
        </w:rPr>
      </w:pPr>
      <w:r w:rsidRPr="00FE3C46">
        <w:rPr>
          <w:lang w:val="fr-FR"/>
        </w:rPr>
        <w:t>101.</w:t>
      </w:r>
      <w:r w:rsidRPr="00FE3C46">
        <w:rPr>
          <w:lang w:val="fr-FR"/>
        </w:rPr>
        <w:tab/>
        <w:t xml:space="preserve">L’État partie </w:t>
      </w:r>
      <w:r>
        <w:rPr>
          <w:lang w:val="fr-FR"/>
        </w:rPr>
        <w:t>a formulé le Plan stratégique national de la santé</w:t>
      </w:r>
      <w:r w:rsidRPr="00FE3C46">
        <w:rPr>
          <w:lang w:val="fr-FR"/>
        </w:rPr>
        <w:t xml:space="preserve"> </w:t>
      </w:r>
      <w:r>
        <w:rPr>
          <w:lang w:val="fr-FR"/>
        </w:rPr>
        <w:t>qui couvre la période de cinq ans allant de 2017 à 2021. Le plan fournit des directives concernant toutes les interventions dans le secteur de la santé</w:t>
      </w:r>
      <w:r w:rsidRPr="00FE3C46">
        <w:rPr>
          <w:lang w:val="fr-FR"/>
        </w:rPr>
        <w:t xml:space="preserve">. </w:t>
      </w:r>
      <w:r>
        <w:rPr>
          <w:lang w:val="fr-FR"/>
        </w:rPr>
        <w:t>Il énonce en détail l’orientation future des activités du secteur, les réalisations et les résultats qui seront atteints et les interventions qui seront menées pour assurer la réalisation de ces objectifs. Il précise également les rôles et les attributions de tous les acteurs intervenant dans le domaine de la santé, les problèmes qui devront être réglés aux fins de sa mise en œuvre, les activités de suivi et d’évaluation qui devront être poursuivies et les ressources financières nécessaires à la bonne exécution des activités prévues</w:t>
      </w:r>
      <w:r w:rsidRPr="00FE3C46">
        <w:rPr>
          <w:lang w:val="fr-FR"/>
        </w:rPr>
        <w:t>.</w:t>
      </w:r>
    </w:p>
    <w:p w:rsidR="00786D88" w:rsidRPr="00FE3C46" w:rsidRDefault="00786D88" w:rsidP="00786D88">
      <w:pPr>
        <w:pStyle w:val="SingleTxtG"/>
        <w:rPr>
          <w:lang w:val="fr-FR"/>
        </w:rPr>
      </w:pPr>
      <w:r w:rsidRPr="00FE3C46">
        <w:rPr>
          <w:lang w:val="fr-FR"/>
        </w:rPr>
        <w:t>102.</w:t>
      </w:r>
      <w:r w:rsidRPr="00FE3C46">
        <w:rPr>
          <w:lang w:val="fr-FR"/>
        </w:rPr>
        <w:tab/>
      </w:r>
      <w:r>
        <w:rPr>
          <w:lang w:val="fr-FR"/>
        </w:rPr>
        <w:t xml:space="preserve">Le </w:t>
      </w:r>
      <w:r w:rsidRPr="00FE3C46">
        <w:rPr>
          <w:lang w:val="fr-FR"/>
        </w:rPr>
        <w:t xml:space="preserve">Comité </w:t>
      </w:r>
      <w:r>
        <w:rPr>
          <w:lang w:val="fr-FR"/>
        </w:rPr>
        <w:t>est aussi invité à prendre note du fait que l</w:t>
      </w:r>
      <w:r w:rsidRPr="00FE3C46">
        <w:rPr>
          <w:lang w:val="fr-FR"/>
        </w:rPr>
        <w:t xml:space="preserve">’État partie </w:t>
      </w:r>
      <w:r>
        <w:rPr>
          <w:lang w:val="fr-FR"/>
        </w:rPr>
        <w:t>a formulé une politique nationale de la santé. Cette dernière témoigne de la détermination du Gouvernement à assurer un accès équitable à des services de santé de qualité et d’un bon rapport coût-efficacité, assurés par un personnel compétent dans des lieux aussi proches que possible des ménages et dans des locaux accueillants et propres</w:t>
      </w:r>
      <w:r w:rsidRPr="00FE3C46">
        <w:rPr>
          <w:lang w:val="fr-FR"/>
        </w:rPr>
        <w:t xml:space="preserve">. </w:t>
      </w:r>
      <w:r>
        <w:rPr>
          <w:lang w:val="fr-FR"/>
        </w:rPr>
        <w:t>Conformément à cette politique, le Gouvernement donnera la priorité, entre autres, aux services de santé primaire, aux services d’aiguillage hospitalier, à la valorisation et à la gestion des ressources humaines, au développement des infrastructures médicales et logistiques, au cadre juridique et au financement des soins de santé</w:t>
      </w:r>
      <w:r w:rsidRPr="00FE3C46">
        <w:rPr>
          <w:lang w:val="fr-FR"/>
        </w:rPr>
        <w:t>.</w:t>
      </w:r>
    </w:p>
    <w:p w:rsidR="00786D88" w:rsidRPr="00FE3C46" w:rsidRDefault="00786D88" w:rsidP="00786D88">
      <w:pPr>
        <w:pStyle w:val="SingleTxtG"/>
        <w:rPr>
          <w:lang w:val="fr-FR"/>
        </w:rPr>
      </w:pPr>
      <w:r w:rsidRPr="00FE3C46">
        <w:rPr>
          <w:lang w:val="fr-FR"/>
        </w:rPr>
        <w:t>103.</w:t>
      </w:r>
      <w:r w:rsidRPr="00FE3C46">
        <w:rPr>
          <w:lang w:val="fr-FR"/>
        </w:rPr>
        <w:tab/>
        <w:t xml:space="preserve"> L’État partie </w:t>
      </w:r>
      <w:r>
        <w:rPr>
          <w:lang w:val="fr-FR"/>
        </w:rPr>
        <w:t>tient à indiquer que, depuis 2012, le Gouvernement, par l’intermédiaire du Minist</w:t>
      </w:r>
      <w:r w:rsidR="00717A51">
        <w:rPr>
          <w:lang w:val="fr-FR"/>
        </w:rPr>
        <w:t xml:space="preserve">ère de la santé, a construit 40 </w:t>
      </w:r>
      <w:r>
        <w:rPr>
          <w:lang w:val="fr-FR"/>
        </w:rPr>
        <w:t>hôpitaux. Des hôpitaux ont été installés dans chaque province du pays de manière à améliorer les services de santé</w:t>
      </w:r>
      <w:r w:rsidRPr="00FE3C46">
        <w:rPr>
          <w:lang w:val="fr-FR"/>
        </w:rPr>
        <w:t>.</w:t>
      </w:r>
    </w:p>
    <w:p w:rsidR="00786D88" w:rsidRPr="00FE3C46" w:rsidRDefault="00786D88" w:rsidP="00786D88">
      <w:pPr>
        <w:pStyle w:val="SingleTxtG"/>
        <w:rPr>
          <w:lang w:val="fr-FR"/>
        </w:rPr>
      </w:pPr>
      <w:r w:rsidRPr="00FE3C46">
        <w:rPr>
          <w:lang w:val="fr-FR"/>
        </w:rPr>
        <w:t>104.</w:t>
      </w:r>
      <w:r w:rsidRPr="00FE3C46">
        <w:rPr>
          <w:lang w:val="fr-FR"/>
        </w:rPr>
        <w:tab/>
      </w:r>
      <w:r>
        <w:rPr>
          <w:lang w:val="fr-FR"/>
        </w:rPr>
        <w:t>Durant la période considérée, l</w:t>
      </w:r>
      <w:r w:rsidRPr="00FE3C46">
        <w:rPr>
          <w:lang w:val="fr-FR"/>
        </w:rPr>
        <w:t xml:space="preserve">’État partie </w:t>
      </w:r>
      <w:r>
        <w:rPr>
          <w:lang w:val="fr-FR"/>
        </w:rPr>
        <w:t>a construit et modernisé un certain nombre de centres de santé pour en faire des hôpitaux de premier niveau</w:t>
      </w:r>
      <w:r w:rsidRPr="00FE3C46">
        <w:rPr>
          <w:lang w:val="fr-FR"/>
        </w:rPr>
        <w:t xml:space="preserve">. </w:t>
      </w:r>
      <w:r>
        <w:rPr>
          <w:lang w:val="fr-FR"/>
        </w:rPr>
        <w:t>Au total, 24 établissements de santé</w:t>
      </w:r>
      <w:r w:rsidR="00274CD5">
        <w:rPr>
          <w:lang w:val="fr-FR"/>
        </w:rPr>
        <w:t xml:space="preserve"> ont été construits dans les 10 </w:t>
      </w:r>
      <w:r>
        <w:rPr>
          <w:lang w:val="fr-FR"/>
        </w:rPr>
        <w:t>provinces</w:t>
      </w:r>
      <w:r w:rsidRPr="00FE3C46">
        <w:rPr>
          <w:lang w:val="fr-FR"/>
        </w:rPr>
        <w:t xml:space="preserve">. </w:t>
      </w:r>
      <w:r>
        <w:rPr>
          <w:lang w:val="fr-FR"/>
        </w:rPr>
        <w:t xml:space="preserve">Le Ministère de la santé a également construit et ouvert quatre services hospitaliers dans les établissements pénitentiaires suivants : </w:t>
      </w:r>
      <w:r w:rsidRPr="00FE3C46">
        <w:rPr>
          <w:lang w:val="fr-FR"/>
        </w:rPr>
        <w:t xml:space="preserve">Livingstone Central, Chipata, Kabwe Medium </w:t>
      </w:r>
      <w:r>
        <w:rPr>
          <w:lang w:val="fr-FR"/>
        </w:rPr>
        <w:t xml:space="preserve">et </w:t>
      </w:r>
      <w:r w:rsidRPr="00FE3C46">
        <w:rPr>
          <w:lang w:val="fr-FR"/>
        </w:rPr>
        <w:t xml:space="preserve">Lusaka Central. </w:t>
      </w:r>
      <w:r>
        <w:rPr>
          <w:lang w:val="fr-FR"/>
        </w:rPr>
        <w:t xml:space="preserve">Ces services hospitaliers sont dotés de laboratoires dûment équipés pour procéder, entre autres, au dépistage de la tuberculose et du VIH, à la numération des </w:t>
      </w:r>
      <w:r w:rsidRPr="00FE3C46">
        <w:rPr>
          <w:lang w:val="fr-FR"/>
        </w:rPr>
        <w:t>CD4</w:t>
      </w:r>
      <w:r>
        <w:rPr>
          <w:lang w:val="fr-FR"/>
        </w:rPr>
        <w:t xml:space="preserve"> et à des analyses chimiques</w:t>
      </w:r>
      <w:r w:rsidRPr="00FE3C46">
        <w:rPr>
          <w:lang w:val="fr-FR"/>
        </w:rPr>
        <w:t>.</w:t>
      </w:r>
    </w:p>
    <w:p w:rsidR="00786D88" w:rsidRPr="00FE3C46" w:rsidRDefault="00786D88" w:rsidP="00786D88">
      <w:pPr>
        <w:pStyle w:val="SingleTxtG"/>
        <w:rPr>
          <w:lang w:val="fr-FR"/>
        </w:rPr>
      </w:pPr>
      <w:r w:rsidRPr="00FE3C46">
        <w:rPr>
          <w:lang w:val="fr-FR"/>
        </w:rPr>
        <w:t>105.</w:t>
      </w:r>
      <w:r w:rsidRPr="00FE3C46">
        <w:rPr>
          <w:lang w:val="fr-FR"/>
        </w:rPr>
        <w:tab/>
      </w:r>
      <w:r>
        <w:rPr>
          <w:lang w:val="fr-FR"/>
        </w:rPr>
        <w:t xml:space="preserve">Le Gouvernement a de surcroît construit un hôpital moderne associé à l’établissement pénitentiaire de </w:t>
      </w:r>
      <w:proofErr w:type="spellStart"/>
      <w:r w:rsidRPr="00FE3C46">
        <w:rPr>
          <w:lang w:val="fr-FR"/>
        </w:rPr>
        <w:t>Mwembeshi</w:t>
      </w:r>
      <w:proofErr w:type="spellEnd"/>
      <w:r w:rsidRPr="00FE3C46">
        <w:rPr>
          <w:lang w:val="fr-FR"/>
        </w:rPr>
        <w:t xml:space="preserve">. </w:t>
      </w:r>
      <w:r>
        <w:rPr>
          <w:lang w:val="fr-FR"/>
        </w:rPr>
        <w:t xml:space="preserve">Les efforts déployés par le Service </w:t>
      </w:r>
      <w:r>
        <w:rPr>
          <w:lang w:val="fr-FR"/>
        </w:rPr>
        <w:lastRenderedPageBreak/>
        <w:t>pénitentiaire pour assurer des soins de santé, des services d’hygiène et d’approvisionnement en eau adéquats et la satisfaction d’autres besoins essentiels, ont tous pour objet d’améliorer les conditions de vie des prisonniers dans les lieux de détention et, par conséquent, de respecter leurs droits fondamentaux</w:t>
      </w:r>
      <w:r w:rsidRPr="00FE3C46">
        <w:rPr>
          <w:lang w:val="fr-FR"/>
        </w:rPr>
        <w:t>.</w:t>
      </w:r>
    </w:p>
    <w:p w:rsidR="00786D88" w:rsidRPr="002466CE" w:rsidRDefault="00786D88" w:rsidP="00274CD5">
      <w:pPr>
        <w:pStyle w:val="H1G"/>
        <w:rPr>
          <w:lang w:val="fr-FR"/>
        </w:rPr>
      </w:pPr>
      <w:r w:rsidRPr="005958B1">
        <w:tab/>
      </w:r>
      <w:r w:rsidRPr="002466CE">
        <w:rPr>
          <w:lang w:val="fr-FR"/>
        </w:rPr>
        <w:t>22.</w:t>
      </w:r>
      <w:r w:rsidRPr="002466CE">
        <w:rPr>
          <w:lang w:val="fr-FR"/>
        </w:rPr>
        <w:tab/>
      </w:r>
      <w:r>
        <w:rPr>
          <w:lang w:val="fr-FR"/>
        </w:rPr>
        <w:t xml:space="preserve">Autres droits civils </w:t>
      </w:r>
      <w:r w:rsidRPr="002466CE">
        <w:rPr>
          <w:lang w:val="fr-FR"/>
        </w:rPr>
        <w:t>[</w:t>
      </w:r>
      <w:r>
        <w:rPr>
          <w:lang w:val="fr-FR"/>
        </w:rPr>
        <w:t>alinéas i) à ix) du paragraphe d) de l’article</w:t>
      </w:r>
      <w:r w:rsidR="00AE3BFD">
        <w:rPr>
          <w:lang w:val="fr-FR"/>
        </w:rPr>
        <w:t xml:space="preserve"> </w:t>
      </w:r>
      <w:r w:rsidRPr="002466CE">
        <w:rPr>
          <w:lang w:val="fr-FR"/>
        </w:rPr>
        <w:t>5]</w:t>
      </w:r>
    </w:p>
    <w:p w:rsidR="00786D88" w:rsidRPr="002466CE" w:rsidRDefault="00786D88" w:rsidP="00786D88">
      <w:pPr>
        <w:pStyle w:val="SingleTxtG"/>
        <w:rPr>
          <w:lang w:val="fr-FR"/>
        </w:rPr>
      </w:pPr>
      <w:r w:rsidRPr="002466CE">
        <w:rPr>
          <w:lang w:val="fr-FR"/>
        </w:rPr>
        <w:t>106.</w:t>
      </w:r>
      <w:r w:rsidRPr="002466CE">
        <w:rPr>
          <w:lang w:val="fr-FR"/>
        </w:rPr>
        <w:tab/>
      </w:r>
      <w:r>
        <w:rPr>
          <w:lang w:val="fr-FR"/>
        </w:rPr>
        <w:t>Aucune nouvelle mesure n’a été adoptée</w:t>
      </w:r>
      <w:r w:rsidRPr="002466CE">
        <w:rPr>
          <w:lang w:val="fr-FR"/>
        </w:rPr>
        <w:t>.</w:t>
      </w:r>
    </w:p>
    <w:p w:rsidR="00786D88" w:rsidRPr="002466CE" w:rsidRDefault="00786D88" w:rsidP="00274CD5">
      <w:pPr>
        <w:pStyle w:val="H1G"/>
        <w:rPr>
          <w:lang w:val="fr-FR"/>
        </w:rPr>
      </w:pPr>
      <w:r w:rsidRPr="002466CE">
        <w:rPr>
          <w:lang w:val="fr-FR"/>
        </w:rPr>
        <w:tab/>
        <w:t>23.</w:t>
      </w:r>
      <w:r w:rsidRPr="002466CE">
        <w:rPr>
          <w:lang w:val="fr-FR"/>
        </w:rPr>
        <w:tab/>
      </w:r>
      <w:r>
        <w:rPr>
          <w:lang w:val="fr-FR"/>
        </w:rPr>
        <w:t>Droits économiques, sociaux et culturels</w:t>
      </w:r>
    </w:p>
    <w:p w:rsidR="00786D88" w:rsidRPr="002466CE" w:rsidRDefault="00786D88" w:rsidP="00786D88">
      <w:pPr>
        <w:pStyle w:val="SingleTxtG"/>
        <w:rPr>
          <w:lang w:val="fr-FR"/>
        </w:rPr>
      </w:pPr>
      <w:r w:rsidRPr="002466CE">
        <w:rPr>
          <w:lang w:val="fr-FR"/>
        </w:rPr>
        <w:t>107.</w:t>
      </w:r>
      <w:r w:rsidRPr="002466CE">
        <w:rPr>
          <w:lang w:val="fr-FR"/>
        </w:rPr>
        <w:tab/>
        <w:t xml:space="preserve">L’État partie </w:t>
      </w:r>
      <w:r>
        <w:rPr>
          <w:lang w:val="fr-FR"/>
        </w:rPr>
        <w:t>tient à signaler que son droit interne ne garantit pas expressément les droits économiques, sociaux et culturels. Un</w:t>
      </w:r>
      <w:r w:rsidR="00274CD5">
        <w:rPr>
          <w:lang w:val="fr-FR"/>
        </w:rPr>
        <w:t xml:space="preserve">e tentative a été menée en août </w:t>
      </w:r>
      <w:r>
        <w:rPr>
          <w:lang w:val="fr-FR"/>
        </w:rPr>
        <w:t xml:space="preserve">2016 dans le but d’inclure les droits économiques, sociaux et culturels dans la Charte des droits par voie de </w:t>
      </w:r>
      <w:proofErr w:type="spellStart"/>
      <w:r>
        <w:rPr>
          <w:lang w:val="fr-FR"/>
        </w:rPr>
        <w:t>référendum</w:t>
      </w:r>
      <w:proofErr w:type="spellEnd"/>
      <w:r>
        <w:rPr>
          <w:lang w:val="fr-FR"/>
        </w:rPr>
        <w:t>, mais elle n’a pas abouti</w:t>
      </w:r>
      <w:r w:rsidRPr="002466CE">
        <w:rPr>
          <w:lang w:val="fr-FR"/>
        </w:rPr>
        <w:t xml:space="preserve">. </w:t>
      </w:r>
      <w:r>
        <w:rPr>
          <w:lang w:val="fr-FR"/>
        </w:rPr>
        <w:t>En vertu, toutefois, des principes directeurs de la politique publique,</w:t>
      </w:r>
      <w:r w:rsidRPr="002466CE">
        <w:rPr>
          <w:lang w:val="fr-FR"/>
        </w:rPr>
        <w:t xml:space="preserve"> </w:t>
      </w:r>
      <w:r>
        <w:rPr>
          <w:lang w:val="fr-FR"/>
        </w:rPr>
        <w:t>l</w:t>
      </w:r>
      <w:r w:rsidRPr="002466CE">
        <w:rPr>
          <w:lang w:val="fr-FR"/>
        </w:rPr>
        <w:t xml:space="preserve">’État partie </w:t>
      </w:r>
      <w:r>
        <w:rPr>
          <w:lang w:val="fr-FR"/>
        </w:rPr>
        <w:t xml:space="preserve">a entrepris d’ouvrir progressivement </w:t>
      </w:r>
      <w:r w:rsidR="00717A51">
        <w:rPr>
          <w:lang w:val="fr-FR"/>
        </w:rPr>
        <w:t>l’</w:t>
      </w:r>
      <w:r>
        <w:rPr>
          <w:lang w:val="fr-FR"/>
        </w:rPr>
        <w:t>accès à ces droits, en fonction des ressources financières disponibles</w:t>
      </w:r>
      <w:r w:rsidRPr="002466CE">
        <w:rPr>
          <w:lang w:val="fr-FR"/>
        </w:rPr>
        <w:t>.</w:t>
      </w:r>
    </w:p>
    <w:p w:rsidR="00786D88" w:rsidRPr="002466CE" w:rsidRDefault="00786D88" w:rsidP="00274CD5">
      <w:pPr>
        <w:pStyle w:val="HChG"/>
        <w:rPr>
          <w:lang w:val="fr-FR"/>
        </w:rPr>
      </w:pPr>
      <w:r w:rsidRPr="002466CE">
        <w:rPr>
          <w:lang w:val="fr-FR"/>
        </w:rPr>
        <w:tab/>
      </w:r>
      <w:r w:rsidRPr="002466CE">
        <w:rPr>
          <w:lang w:val="fr-FR"/>
        </w:rPr>
        <w:tab/>
        <w:t>Article 6</w:t>
      </w:r>
    </w:p>
    <w:p w:rsidR="00786D88" w:rsidRPr="002466CE" w:rsidRDefault="00786D88" w:rsidP="00274CD5">
      <w:pPr>
        <w:pStyle w:val="H1G"/>
        <w:rPr>
          <w:lang w:val="fr-FR"/>
        </w:rPr>
      </w:pPr>
      <w:r w:rsidRPr="002466CE">
        <w:rPr>
          <w:lang w:val="fr-FR"/>
        </w:rPr>
        <w:tab/>
        <w:t>24.</w:t>
      </w:r>
      <w:r w:rsidRPr="002466CE">
        <w:rPr>
          <w:lang w:val="fr-FR"/>
        </w:rPr>
        <w:tab/>
      </w:r>
      <w:r>
        <w:rPr>
          <w:lang w:val="fr-FR"/>
        </w:rPr>
        <w:t xml:space="preserve">Voies de recours effectives devant les tribunaux nationaux </w:t>
      </w:r>
      <w:r w:rsidR="00274CD5">
        <w:rPr>
          <w:lang w:val="fr-FR"/>
        </w:rPr>
        <w:br/>
      </w:r>
      <w:r>
        <w:rPr>
          <w:lang w:val="fr-FR"/>
        </w:rPr>
        <w:t xml:space="preserve">et autres organismes compétents </w:t>
      </w:r>
    </w:p>
    <w:p w:rsidR="00786D88" w:rsidRPr="002466CE" w:rsidRDefault="00786D88" w:rsidP="00274CD5">
      <w:pPr>
        <w:pStyle w:val="H23G"/>
        <w:rPr>
          <w:lang w:val="fr-FR"/>
        </w:rPr>
      </w:pPr>
      <w:r w:rsidRPr="002466CE">
        <w:rPr>
          <w:lang w:val="fr-FR"/>
        </w:rPr>
        <w:tab/>
        <w:t>A.</w:t>
      </w:r>
      <w:r w:rsidRPr="002466CE">
        <w:rPr>
          <w:lang w:val="fr-FR"/>
        </w:rPr>
        <w:tab/>
      </w:r>
      <w:r>
        <w:rPr>
          <w:lang w:val="fr-FR"/>
        </w:rPr>
        <w:t xml:space="preserve">Mesures législatives </w:t>
      </w:r>
    </w:p>
    <w:p w:rsidR="00786D88" w:rsidRPr="002466CE" w:rsidRDefault="00786D88" w:rsidP="00786D88">
      <w:pPr>
        <w:pStyle w:val="SingleTxtG"/>
        <w:rPr>
          <w:lang w:val="fr-FR"/>
        </w:rPr>
      </w:pPr>
      <w:r w:rsidRPr="002466CE">
        <w:rPr>
          <w:lang w:val="fr-FR"/>
        </w:rPr>
        <w:t>108.</w:t>
      </w:r>
      <w:r w:rsidRPr="002466CE">
        <w:rPr>
          <w:lang w:val="fr-FR"/>
        </w:rPr>
        <w:tab/>
      </w:r>
      <w:r>
        <w:rPr>
          <w:lang w:val="fr-FR"/>
        </w:rPr>
        <w:t>Les a</w:t>
      </w:r>
      <w:r w:rsidRPr="002466CE">
        <w:rPr>
          <w:lang w:val="fr-FR"/>
        </w:rPr>
        <w:t>rticles</w:t>
      </w:r>
      <w:r w:rsidR="00274CD5">
        <w:rPr>
          <w:lang w:val="fr-FR"/>
        </w:rPr>
        <w:t xml:space="preserve"> </w:t>
      </w:r>
      <w:r w:rsidRPr="002466CE">
        <w:rPr>
          <w:lang w:val="fr-FR"/>
        </w:rPr>
        <w:t xml:space="preserve">11 </w:t>
      </w:r>
      <w:r>
        <w:rPr>
          <w:lang w:val="fr-FR"/>
        </w:rPr>
        <w:t>à</w:t>
      </w:r>
      <w:r w:rsidR="00274CD5">
        <w:rPr>
          <w:lang w:val="fr-FR"/>
        </w:rPr>
        <w:t xml:space="preserve"> </w:t>
      </w:r>
      <w:r w:rsidRPr="002466CE">
        <w:rPr>
          <w:lang w:val="fr-FR"/>
        </w:rPr>
        <w:t xml:space="preserve">26 </w:t>
      </w:r>
      <w:r>
        <w:rPr>
          <w:lang w:val="fr-FR"/>
        </w:rPr>
        <w:t xml:space="preserve">de la </w:t>
      </w:r>
      <w:r w:rsidRPr="002466CE">
        <w:rPr>
          <w:lang w:val="fr-FR"/>
        </w:rPr>
        <w:t xml:space="preserve">Constitution </w:t>
      </w:r>
      <w:r>
        <w:rPr>
          <w:lang w:val="fr-FR"/>
        </w:rPr>
        <w:t>protègent les droits de l’homme et l’article</w:t>
      </w:r>
      <w:r w:rsidR="00AE3BFD">
        <w:rPr>
          <w:lang w:val="fr-FR"/>
        </w:rPr>
        <w:t xml:space="preserve"> </w:t>
      </w:r>
      <w:r w:rsidRPr="002466CE">
        <w:rPr>
          <w:lang w:val="fr-FR"/>
        </w:rPr>
        <w:t xml:space="preserve">28 </w:t>
      </w:r>
      <w:r>
        <w:rPr>
          <w:lang w:val="fr-FR"/>
        </w:rPr>
        <w:t>permet de s’adresser aux tribunaux pour obtenir réparation</w:t>
      </w:r>
      <w:r w:rsidRPr="002466CE">
        <w:rPr>
          <w:lang w:val="fr-FR"/>
        </w:rPr>
        <w:t>.</w:t>
      </w:r>
    </w:p>
    <w:p w:rsidR="00786D88" w:rsidRPr="002466CE" w:rsidRDefault="00786D88" w:rsidP="00786D88">
      <w:pPr>
        <w:pStyle w:val="SingleTxtG"/>
        <w:rPr>
          <w:lang w:val="fr-FR"/>
        </w:rPr>
      </w:pPr>
      <w:r w:rsidRPr="002466CE">
        <w:rPr>
          <w:lang w:val="fr-FR"/>
        </w:rPr>
        <w:t>109.</w:t>
      </w:r>
      <w:r w:rsidRPr="002466CE">
        <w:rPr>
          <w:lang w:val="fr-FR"/>
        </w:rPr>
        <w:tab/>
      </w:r>
      <w:r>
        <w:rPr>
          <w:lang w:val="fr-FR"/>
        </w:rPr>
        <w:t>La loi sur l’aide juridictionnelle, qui constitue le chapitre</w:t>
      </w:r>
      <w:r w:rsidR="00274CD5">
        <w:rPr>
          <w:lang w:val="fr-FR"/>
        </w:rPr>
        <w:t xml:space="preserve"> </w:t>
      </w:r>
      <w:r w:rsidRPr="002466CE">
        <w:rPr>
          <w:lang w:val="fr-FR"/>
        </w:rPr>
        <w:t xml:space="preserve">34 </w:t>
      </w:r>
      <w:r>
        <w:rPr>
          <w:lang w:val="fr-FR"/>
        </w:rPr>
        <w:t xml:space="preserve">de la législation zambienne, a été modifiée par la loi </w:t>
      </w:r>
      <w:r w:rsidR="00717A51" w:rsidRPr="00717A51">
        <w:rPr>
          <w:rFonts w:eastAsia="MS Mincho"/>
          <w:szCs w:val="22"/>
          <w:lang w:val="fr-FR"/>
        </w:rPr>
        <w:t>n</w:t>
      </w:r>
      <w:r w:rsidR="00717A51" w:rsidRPr="00717A51">
        <w:rPr>
          <w:rFonts w:eastAsia="MS Mincho"/>
          <w:szCs w:val="22"/>
          <w:vertAlign w:val="superscript"/>
          <w:lang w:val="fr-FR"/>
        </w:rPr>
        <w:t>o</w:t>
      </w:r>
      <w:r w:rsidR="00717A51">
        <w:rPr>
          <w:lang w:val="fr-FR"/>
        </w:rPr>
        <w:t> </w:t>
      </w:r>
      <w:r>
        <w:rPr>
          <w:lang w:val="fr-FR"/>
        </w:rPr>
        <w:t>19 de 2005 sur l’aide juridictionnelle révisée dans le but de former une Commission d’aide juridictionnelle chargée d’aider les plaignants et les accusés disposant de ressources insuffisantes à obtenir une représentation en justice adéquate devant les tribunaux</w:t>
      </w:r>
      <w:r w:rsidRPr="002466CE">
        <w:rPr>
          <w:lang w:val="fr-FR"/>
        </w:rPr>
        <w:t>.</w:t>
      </w:r>
    </w:p>
    <w:p w:rsidR="00786D88" w:rsidRPr="002466CE" w:rsidRDefault="00786D88" w:rsidP="00274CD5">
      <w:pPr>
        <w:pStyle w:val="H23G"/>
        <w:rPr>
          <w:lang w:val="fr-FR"/>
        </w:rPr>
      </w:pPr>
      <w:r w:rsidRPr="002466CE">
        <w:rPr>
          <w:lang w:val="fr-FR"/>
        </w:rPr>
        <w:tab/>
        <w:t>B.</w:t>
      </w:r>
      <w:r w:rsidRPr="002466CE">
        <w:rPr>
          <w:lang w:val="fr-FR"/>
        </w:rPr>
        <w:tab/>
      </w:r>
      <w:r>
        <w:rPr>
          <w:lang w:val="fr-FR"/>
        </w:rPr>
        <w:t xml:space="preserve">Mesures judiciaires </w:t>
      </w:r>
    </w:p>
    <w:p w:rsidR="00786D88" w:rsidRPr="002466CE" w:rsidRDefault="00786D88" w:rsidP="00786D88">
      <w:pPr>
        <w:pStyle w:val="SingleTxtG"/>
        <w:rPr>
          <w:lang w:val="fr-FR"/>
        </w:rPr>
      </w:pPr>
      <w:r w:rsidRPr="002466CE">
        <w:rPr>
          <w:lang w:val="fr-FR"/>
        </w:rPr>
        <w:t>110.</w:t>
      </w:r>
      <w:r w:rsidRPr="002466CE">
        <w:rPr>
          <w:lang w:val="fr-FR"/>
        </w:rPr>
        <w:tab/>
        <w:t xml:space="preserve">L’État partie </w:t>
      </w:r>
      <w:r>
        <w:rPr>
          <w:lang w:val="fr-FR"/>
        </w:rPr>
        <w:t>tient à indiquer que la Cour suprême, la Cour</w:t>
      </w:r>
      <w:r w:rsidR="00717A51">
        <w:rPr>
          <w:lang w:val="fr-FR"/>
        </w:rPr>
        <w:t xml:space="preserve"> constitutionnelle et la Haute C</w:t>
      </w:r>
      <w:r>
        <w:rPr>
          <w:lang w:val="fr-FR"/>
        </w:rPr>
        <w:t>our fournissent des recours adéquats en cas de violation de l’un quelconque des droits de l’homme</w:t>
      </w:r>
      <w:r w:rsidRPr="002466CE">
        <w:rPr>
          <w:lang w:val="fr-FR"/>
        </w:rPr>
        <w:t>.</w:t>
      </w:r>
    </w:p>
    <w:p w:rsidR="00786D88" w:rsidRPr="002466CE" w:rsidRDefault="00786D88" w:rsidP="00274CD5">
      <w:pPr>
        <w:pStyle w:val="H23G"/>
        <w:rPr>
          <w:lang w:val="fr-FR"/>
        </w:rPr>
      </w:pPr>
      <w:r w:rsidRPr="002466CE">
        <w:rPr>
          <w:lang w:val="fr-FR"/>
        </w:rPr>
        <w:tab/>
        <w:t>C.</w:t>
      </w:r>
      <w:r w:rsidRPr="002466CE">
        <w:rPr>
          <w:lang w:val="fr-FR"/>
        </w:rPr>
        <w:tab/>
      </w:r>
      <w:r>
        <w:rPr>
          <w:lang w:val="fr-FR"/>
        </w:rPr>
        <w:t xml:space="preserve">Mesures administratives </w:t>
      </w:r>
    </w:p>
    <w:p w:rsidR="00786D88" w:rsidRPr="002466CE" w:rsidRDefault="00786D88" w:rsidP="00786D88">
      <w:pPr>
        <w:pStyle w:val="SingleTxtG"/>
        <w:rPr>
          <w:lang w:val="fr-FR"/>
        </w:rPr>
      </w:pPr>
      <w:r w:rsidRPr="002466CE">
        <w:rPr>
          <w:lang w:val="fr-FR"/>
        </w:rPr>
        <w:t>111.</w:t>
      </w:r>
      <w:r w:rsidRPr="002466CE">
        <w:rPr>
          <w:lang w:val="fr-FR"/>
        </w:rPr>
        <w:tab/>
      </w:r>
      <w:r>
        <w:rPr>
          <w:lang w:val="fr-FR"/>
        </w:rPr>
        <w:t>La Commission sur l’aide juridictionnelle a établi des bureaux dans les dix</w:t>
      </w:r>
      <w:r w:rsidRPr="002466CE">
        <w:rPr>
          <w:lang w:val="fr-FR"/>
        </w:rPr>
        <w:t xml:space="preserve"> (10)</w:t>
      </w:r>
      <w:r>
        <w:rPr>
          <w:lang w:val="fr-FR"/>
        </w:rPr>
        <w:t> </w:t>
      </w:r>
      <w:r w:rsidRPr="002466CE">
        <w:rPr>
          <w:lang w:val="fr-FR"/>
        </w:rPr>
        <w:t>provinces</w:t>
      </w:r>
      <w:r>
        <w:rPr>
          <w:lang w:val="fr-FR"/>
        </w:rPr>
        <w:t xml:space="preserve"> du pays dans un souci d’efficacité.</w:t>
      </w:r>
      <w:r w:rsidRPr="002466CE">
        <w:rPr>
          <w:lang w:val="fr-FR"/>
        </w:rPr>
        <w:t xml:space="preserve"> </w:t>
      </w:r>
      <w:r>
        <w:rPr>
          <w:lang w:val="fr-FR"/>
        </w:rPr>
        <w:t xml:space="preserve">Le Groupe des services juridiques a été mis en place dans le cadre du programme pour la </w:t>
      </w:r>
      <w:proofErr w:type="spellStart"/>
      <w:r>
        <w:rPr>
          <w:lang w:val="fr-FR"/>
        </w:rPr>
        <w:t>démarginalisation</w:t>
      </w:r>
      <w:proofErr w:type="spellEnd"/>
      <w:r>
        <w:rPr>
          <w:lang w:val="fr-FR"/>
        </w:rPr>
        <w:t xml:space="preserve"> par le droit et le renforcement de la justice, qui a donné lieu à l’ouverture de bureaux dans les tribunaux de première instance. Ce programme est actuellement opérationnel dans les villes suivantes </w:t>
      </w:r>
      <w:r w:rsidRPr="002466CE">
        <w:rPr>
          <w:lang w:val="fr-FR"/>
        </w:rPr>
        <w:t>:</w:t>
      </w:r>
    </w:p>
    <w:p w:rsidR="00786D88" w:rsidRPr="002466CE" w:rsidRDefault="00786D88" w:rsidP="00786D88">
      <w:pPr>
        <w:pStyle w:val="Paragraphedeliste"/>
        <w:ind w:left="1134" w:right="1134" w:firstLine="567"/>
        <w:rPr>
          <w:sz w:val="20"/>
          <w:lang w:val="fr-FR"/>
        </w:rPr>
      </w:pPr>
      <w:r w:rsidRPr="002466CE">
        <w:rPr>
          <w:sz w:val="20"/>
          <w:lang w:val="fr-FR"/>
        </w:rPr>
        <w:t>i)</w:t>
      </w:r>
      <w:r w:rsidRPr="002466CE">
        <w:rPr>
          <w:sz w:val="20"/>
          <w:lang w:val="fr-FR"/>
        </w:rPr>
        <w:tab/>
        <w:t xml:space="preserve">Livingstone </w:t>
      </w:r>
      <w:r w:rsidR="00274CD5">
        <w:rPr>
          <w:sz w:val="20"/>
          <w:lang w:val="fr-FR"/>
        </w:rPr>
        <w:t>−</w:t>
      </w:r>
      <w:r w:rsidRPr="002466CE">
        <w:rPr>
          <w:sz w:val="20"/>
          <w:lang w:val="fr-FR"/>
        </w:rPr>
        <w:t xml:space="preserve"> 2 </w:t>
      </w:r>
      <w:r>
        <w:rPr>
          <w:sz w:val="20"/>
          <w:lang w:val="fr-FR"/>
        </w:rPr>
        <w:t xml:space="preserve">assistants d’aide juridictionnelle ; </w:t>
      </w:r>
    </w:p>
    <w:p w:rsidR="00786D88" w:rsidRPr="002466CE" w:rsidRDefault="00274CD5" w:rsidP="00786D88">
      <w:pPr>
        <w:pStyle w:val="Paragraphedeliste"/>
        <w:ind w:left="1134" w:right="1134" w:firstLine="567"/>
        <w:rPr>
          <w:sz w:val="20"/>
          <w:lang w:val="fr-FR"/>
        </w:rPr>
      </w:pPr>
      <w:r>
        <w:rPr>
          <w:sz w:val="20"/>
          <w:lang w:val="fr-FR"/>
        </w:rPr>
        <w:t>ii)</w:t>
      </w:r>
      <w:r>
        <w:rPr>
          <w:sz w:val="20"/>
          <w:lang w:val="fr-FR"/>
        </w:rPr>
        <w:tab/>
        <w:t>Choma −</w:t>
      </w:r>
      <w:r w:rsidR="00786D88" w:rsidRPr="002466CE">
        <w:rPr>
          <w:sz w:val="20"/>
          <w:lang w:val="fr-FR"/>
        </w:rPr>
        <w:t xml:space="preserve"> 3 </w:t>
      </w:r>
      <w:r w:rsidR="00786D88">
        <w:rPr>
          <w:sz w:val="20"/>
          <w:lang w:val="fr-FR"/>
        </w:rPr>
        <w:t>assistants d’aide juridictionnelle </w:t>
      </w:r>
      <w:r w:rsidR="00786D88" w:rsidRPr="002466CE">
        <w:rPr>
          <w:sz w:val="20"/>
          <w:lang w:val="fr-FR"/>
        </w:rPr>
        <w:t>;</w:t>
      </w:r>
    </w:p>
    <w:p w:rsidR="00786D88" w:rsidRPr="002466CE" w:rsidRDefault="00274CD5" w:rsidP="00786D88">
      <w:pPr>
        <w:pStyle w:val="Paragraphedeliste"/>
        <w:ind w:left="1134" w:right="1134" w:firstLine="567"/>
        <w:rPr>
          <w:sz w:val="20"/>
          <w:lang w:val="fr-FR"/>
        </w:rPr>
      </w:pPr>
      <w:r>
        <w:rPr>
          <w:sz w:val="20"/>
          <w:lang w:val="fr-FR"/>
        </w:rPr>
        <w:t>iii)</w:t>
      </w:r>
      <w:r>
        <w:rPr>
          <w:sz w:val="20"/>
          <w:lang w:val="fr-FR"/>
        </w:rPr>
        <w:tab/>
      </w:r>
      <w:proofErr w:type="spellStart"/>
      <w:r>
        <w:rPr>
          <w:sz w:val="20"/>
          <w:lang w:val="fr-FR"/>
        </w:rPr>
        <w:t>Kitwe</w:t>
      </w:r>
      <w:proofErr w:type="spellEnd"/>
      <w:r>
        <w:rPr>
          <w:sz w:val="20"/>
          <w:lang w:val="fr-FR"/>
        </w:rPr>
        <w:t xml:space="preserve"> −</w:t>
      </w:r>
      <w:r w:rsidR="00786D88" w:rsidRPr="002466CE">
        <w:rPr>
          <w:sz w:val="20"/>
          <w:lang w:val="fr-FR"/>
        </w:rPr>
        <w:t xml:space="preserve"> 2 </w:t>
      </w:r>
      <w:r w:rsidR="00786D88">
        <w:rPr>
          <w:sz w:val="20"/>
          <w:lang w:val="fr-FR"/>
        </w:rPr>
        <w:t>assistants d’aide juridictionnelle </w:t>
      </w:r>
      <w:r w:rsidR="00786D88" w:rsidRPr="002466CE">
        <w:rPr>
          <w:sz w:val="20"/>
          <w:lang w:val="fr-FR"/>
        </w:rPr>
        <w:t>;</w:t>
      </w:r>
    </w:p>
    <w:p w:rsidR="00786D88" w:rsidRPr="002466CE" w:rsidRDefault="00786D88" w:rsidP="00786D88">
      <w:pPr>
        <w:pStyle w:val="Paragraphedeliste"/>
        <w:ind w:left="1134" w:right="1134" w:firstLine="567"/>
        <w:rPr>
          <w:sz w:val="20"/>
          <w:lang w:val="fr-FR"/>
        </w:rPr>
      </w:pPr>
      <w:r w:rsidRPr="002466CE">
        <w:rPr>
          <w:sz w:val="20"/>
          <w:lang w:val="fr-FR"/>
        </w:rPr>
        <w:t>iv)</w:t>
      </w:r>
      <w:r w:rsidRPr="002466CE">
        <w:rPr>
          <w:sz w:val="20"/>
          <w:lang w:val="fr-FR"/>
        </w:rPr>
        <w:tab/>
        <w:t xml:space="preserve">Lusaka </w:t>
      </w:r>
      <w:r w:rsidR="00274CD5">
        <w:rPr>
          <w:sz w:val="20"/>
          <w:lang w:val="fr-FR"/>
        </w:rPr>
        <w:t>−</w:t>
      </w:r>
      <w:r w:rsidRPr="002466CE">
        <w:rPr>
          <w:sz w:val="20"/>
          <w:lang w:val="fr-FR"/>
        </w:rPr>
        <w:t xml:space="preserve"> 10 </w:t>
      </w:r>
      <w:r>
        <w:rPr>
          <w:sz w:val="20"/>
          <w:lang w:val="fr-FR"/>
        </w:rPr>
        <w:t>assistants d’aide juridictionnelle </w:t>
      </w:r>
      <w:r w:rsidRPr="002466CE">
        <w:rPr>
          <w:sz w:val="20"/>
          <w:lang w:val="fr-FR"/>
        </w:rPr>
        <w:t>;</w:t>
      </w:r>
    </w:p>
    <w:p w:rsidR="00786D88" w:rsidRPr="002466CE" w:rsidRDefault="00786D88" w:rsidP="00786D88">
      <w:pPr>
        <w:pStyle w:val="Paragraphedeliste"/>
        <w:ind w:left="1134" w:right="1134" w:firstLine="567"/>
        <w:rPr>
          <w:sz w:val="20"/>
          <w:lang w:val="fr-FR"/>
        </w:rPr>
      </w:pPr>
      <w:r w:rsidRPr="002466CE">
        <w:rPr>
          <w:sz w:val="20"/>
          <w:lang w:val="fr-FR"/>
        </w:rPr>
        <w:t>v)</w:t>
      </w:r>
      <w:r w:rsidRPr="002466CE">
        <w:rPr>
          <w:sz w:val="20"/>
          <w:lang w:val="fr-FR"/>
        </w:rPr>
        <w:tab/>
        <w:t xml:space="preserve">Chingola </w:t>
      </w:r>
      <w:r w:rsidR="00274CD5">
        <w:rPr>
          <w:sz w:val="20"/>
          <w:lang w:val="fr-FR"/>
        </w:rPr>
        <w:t>−</w:t>
      </w:r>
      <w:r w:rsidRPr="002466CE">
        <w:rPr>
          <w:sz w:val="20"/>
          <w:lang w:val="fr-FR"/>
        </w:rPr>
        <w:t xml:space="preserve"> 2 </w:t>
      </w:r>
      <w:r>
        <w:rPr>
          <w:sz w:val="20"/>
          <w:lang w:val="fr-FR"/>
        </w:rPr>
        <w:t>assistants d’aide juridictionnelle </w:t>
      </w:r>
      <w:r w:rsidRPr="002466CE">
        <w:rPr>
          <w:sz w:val="20"/>
          <w:lang w:val="fr-FR"/>
        </w:rPr>
        <w:t xml:space="preserve">; </w:t>
      </w:r>
    </w:p>
    <w:p w:rsidR="00786D88" w:rsidRPr="002466CE" w:rsidRDefault="00274CD5" w:rsidP="00786D88">
      <w:pPr>
        <w:pStyle w:val="Paragraphedeliste"/>
        <w:ind w:left="1134" w:right="1134" w:firstLine="567"/>
        <w:rPr>
          <w:sz w:val="20"/>
          <w:lang w:val="fr-FR"/>
        </w:rPr>
      </w:pPr>
      <w:r>
        <w:rPr>
          <w:sz w:val="20"/>
          <w:lang w:val="fr-FR"/>
        </w:rPr>
        <w:lastRenderedPageBreak/>
        <w:t>vi)</w:t>
      </w:r>
      <w:r>
        <w:rPr>
          <w:sz w:val="20"/>
          <w:lang w:val="fr-FR"/>
        </w:rPr>
        <w:tab/>
        <w:t>Ndola −</w:t>
      </w:r>
      <w:r w:rsidR="00786D88" w:rsidRPr="002466CE">
        <w:rPr>
          <w:sz w:val="20"/>
          <w:lang w:val="fr-FR"/>
        </w:rPr>
        <w:t xml:space="preserve"> 1 </w:t>
      </w:r>
      <w:r w:rsidR="00786D88">
        <w:rPr>
          <w:sz w:val="20"/>
          <w:lang w:val="fr-FR"/>
        </w:rPr>
        <w:t>assistant d’aide juridictionnelle ; la procédure de recrutement de deux aides est en cours</w:t>
      </w:r>
      <w:r w:rsidR="00786D88" w:rsidRPr="002466CE">
        <w:rPr>
          <w:sz w:val="20"/>
          <w:lang w:val="fr-FR"/>
        </w:rPr>
        <w:t>.</w:t>
      </w:r>
    </w:p>
    <w:p w:rsidR="00786D88" w:rsidRPr="002466CE" w:rsidRDefault="00786D88" w:rsidP="00274CD5">
      <w:pPr>
        <w:pStyle w:val="SingleTxtG"/>
        <w:rPr>
          <w:lang w:val="fr-FR"/>
        </w:rPr>
      </w:pPr>
      <w:r>
        <w:rPr>
          <w:lang w:val="fr-FR"/>
        </w:rPr>
        <w:t>Le Groupe des services juridiques assure également une aide dans les districts ne comptant pas de bureau</w:t>
      </w:r>
      <w:r w:rsidRPr="002466CE">
        <w:rPr>
          <w:lang w:val="fr-FR"/>
        </w:rPr>
        <w:t>.</w:t>
      </w:r>
    </w:p>
    <w:p w:rsidR="00786D88" w:rsidRPr="002466CE" w:rsidRDefault="00786D88" w:rsidP="00786D88">
      <w:pPr>
        <w:pStyle w:val="SingleTxtG"/>
        <w:rPr>
          <w:lang w:val="fr-FR"/>
        </w:rPr>
      </w:pPr>
      <w:r w:rsidRPr="002466CE">
        <w:rPr>
          <w:lang w:val="fr-FR"/>
        </w:rPr>
        <w:t>112.</w:t>
      </w:r>
      <w:r w:rsidRPr="002466CE">
        <w:rPr>
          <w:lang w:val="fr-FR"/>
        </w:rPr>
        <w:tab/>
      </w:r>
      <w:r>
        <w:rPr>
          <w:lang w:val="fr-FR"/>
        </w:rPr>
        <w:t>Des efforts ont été entrepris dans le but d’améliorer la fourniture d’aide juridictionnelle par l’intermédiaire du programme pour l’« accès à la justice ». Ce programme interinstitutionnel a pour objet d’améliorer l’accès des pauvres à la justice en poursuivant une approche intégrée et en faisant participer conjointement les principales institutions de justice pénale, à savoir la Police zambienne, la Commission pour l’aide juridictionnelle, le Ministère public, le Service judiciaire et l’administration pénitentiaire, aux activités menées pour régler les problèmes et établir des plans</w:t>
      </w:r>
      <w:r w:rsidRPr="002466CE">
        <w:rPr>
          <w:lang w:val="fr-FR"/>
        </w:rPr>
        <w:t>.</w:t>
      </w:r>
    </w:p>
    <w:p w:rsidR="00786D88" w:rsidRPr="002466CE" w:rsidRDefault="00786D88" w:rsidP="00274CD5">
      <w:pPr>
        <w:pStyle w:val="H1G"/>
        <w:rPr>
          <w:lang w:val="fr-FR"/>
        </w:rPr>
      </w:pPr>
      <w:r w:rsidRPr="002466CE">
        <w:rPr>
          <w:lang w:val="fr-FR"/>
        </w:rPr>
        <w:tab/>
        <w:t>25.</w:t>
      </w:r>
      <w:r w:rsidRPr="002466CE">
        <w:rPr>
          <w:lang w:val="fr-FR"/>
        </w:rPr>
        <w:tab/>
      </w:r>
      <w:r>
        <w:rPr>
          <w:lang w:val="fr-FR"/>
        </w:rPr>
        <w:t xml:space="preserve">Commission des droits de l’homme </w:t>
      </w:r>
    </w:p>
    <w:p w:rsidR="00786D88" w:rsidRPr="002466CE" w:rsidRDefault="00786D88" w:rsidP="00786D88">
      <w:pPr>
        <w:pStyle w:val="SingleTxtG"/>
        <w:rPr>
          <w:lang w:val="fr-FR"/>
        </w:rPr>
      </w:pPr>
      <w:r w:rsidRPr="002466CE">
        <w:rPr>
          <w:lang w:val="fr-FR"/>
        </w:rPr>
        <w:t>113.</w:t>
      </w:r>
      <w:r w:rsidRPr="002466CE">
        <w:rPr>
          <w:lang w:val="fr-FR"/>
        </w:rPr>
        <w:tab/>
        <w:t xml:space="preserve">L’État partie </w:t>
      </w:r>
      <w:r>
        <w:rPr>
          <w:lang w:val="fr-FR"/>
        </w:rPr>
        <w:t>tient à indiquer que la Commission des droits de l’homme a pour mission de recevoir les plaintes pour violation des droits de l’homme, notamment pour discrimination raciale, et d’enquêter sur ces dernières</w:t>
      </w:r>
      <w:r w:rsidRPr="002466CE">
        <w:rPr>
          <w:lang w:val="fr-FR"/>
        </w:rPr>
        <w:t>.</w:t>
      </w:r>
    </w:p>
    <w:p w:rsidR="00786D88" w:rsidRPr="002466CE" w:rsidRDefault="00786D88" w:rsidP="00274CD5">
      <w:pPr>
        <w:pStyle w:val="H1G"/>
        <w:rPr>
          <w:lang w:val="fr-FR"/>
        </w:rPr>
      </w:pPr>
      <w:r w:rsidRPr="002466CE">
        <w:rPr>
          <w:lang w:val="fr-FR"/>
        </w:rPr>
        <w:tab/>
        <w:t>26.</w:t>
      </w:r>
      <w:r w:rsidRPr="002466CE">
        <w:rPr>
          <w:lang w:val="fr-FR"/>
        </w:rPr>
        <w:tab/>
      </w:r>
      <w:r>
        <w:rPr>
          <w:lang w:val="fr-FR"/>
        </w:rPr>
        <w:t xml:space="preserve">Affaires de discrimination raciale soumise à d’autres institutions </w:t>
      </w:r>
    </w:p>
    <w:p w:rsidR="00786D88" w:rsidRPr="002466CE" w:rsidRDefault="00786D88" w:rsidP="00786D88">
      <w:pPr>
        <w:pStyle w:val="SingleTxtG"/>
        <w:rPr>
          <w:lang w:val="fr-FR"/>
        </w:rPr>
      </w:pPr>
      <w:r w:rsidRPr="002466CE">
        <w:rPr>
          <w:lang w:val="fr-FR"/>
        </w:rPr>
        <w:t>114.</w:t>
      </w:r>
      <w:r w:rsidRPr="002466CE">
        <w:rPr>
          <w:lang w:val="fr-FR"/>
        </w:rPr>
        <w:tab/>
        <w:t xml:space="preserve">L’État partie </w:t>
      </w:r>
      <w:r>
        <w:rPr>
          <w:lang w:val="fr-FR"/>
        </w:rPr>
        <w:t>tient à indiquer que, durant la période allant de 2011</w:t>
      </w:r>
      <w:r w:rsidR="00717A51">
        <w:rPr>
          <w:lang w:val="fr-FR"/>
        </w:rPr>
        <w:t xml:space="preserve"> à </w:t>
      </w:r>
      <w:r>
        <w:rPr>
          <w:lang w:val="fr-FR"/>
        </w:rPr>
        <w:t xml:space="preserve">2017, le Ministère du travail et de la sécurité sociale a été saisi de six affaires concernant l’emploi de propos injurieux et des brimades motivés par la race. Le </w:t>
      </w:r>
      <w:r w:rsidRPr="002466CE">
        <w:rPr>
          <w:lang w:val="fr-FR"/>
        </w:rPr>
        <w:t xml:space="preserve">Comité </w:t>
      </w:r>
      <w:r>
        <w:rPr>
          <w:lang w:val="fr-FR"/>
        </w:rPr>
        <w:t>est invité à se reporter à la première partie du présent rapport (réponse aux observations finales) pour plus d’informations</w:t>
      </w:r>
      <w:r w:rsidRPr="002466CE">
        <w:rPr>
          <w:lang w:val="fr-FR"/>
        </w:rPr>
        <w:t>.</w:t>
      </w:r>
    </w:p>
    <w:p w:rsidR="00786D88" w:rsidRPr="002466CE" w:rsidRDefault="00786D88" w:rsidP="00274CD5">
      <w:pPr>
        <w:pStyle w:val="HChG"/>
        <w:rPr>
          <w:lang w:val="fr-FR"/>
        </w:rPr>
      </w:pPr>
      <w:r w:rsidRPr="002466CE">
        <w:rPr>
          <w:lang w:val="fr-FR"/>
        </w:rPr>
        <w:tab/>
      </w:r>
      <w:r w:rsidRPr="002466CE">
        <w:rPr>
          <w:lang w:val="fr-FR"/>
        </w:rPr>
        <w:tab/>
      </w:r>
      <w:r w:rsidRPr="00274CD5">
        <w:t>Article</w:t>
      </w:r>
      <w:r w:rsidRPr="002466CE">
        <w:rPr>
          <w:lang w:val="fr-FR"/>
        </w:rPr>
        <w:t xml:space="preserve"> 7</w:t>
      </w:r>
    </w:p>
    <w:p w:rsidR="00786D88" w:rsidRPr="002466CE" w:rsidRDefault="00786D88" w:rsidP="00274CD5">
      <w:pPr>
        <w:pStyle w:val="H1G"/>
        <w:rPr>
          <w:lang w:val="fr-FR"/>
        </w:rPr>
      </w:pPr>
      <w:r w:rsidRPr="002466CE">
        <w:rPr>
          <w:lang w:val="fr-FR"/>
        </w:rPr>
        <w:tab/>
        <w:t>27.</w:t>
      </w:r>
      <w:r w:rsidRPr="002466CE">
        <w:rPr>
          <w:lang w:val="fr-FR"/>
        </w:rPr>
        <w:tab/>
      </w:r>
      <w:r>
        <w:rPr>
          <w:lang w:val="fr-FR"/>
        </w:rPr>
        <w:t xml:space="preserve">Mesures prises pour lutter contre les préjugés conduisant </w:t>
      </w:r>
      <w:r w:rsidR="00717A51">
        <w:rPr>
          <w:lang w:val="fr-FR"/>
        </w:rPr>
        <w:br/>
      </w:r>
      <w:r>
        <w:rPr>
          <w:lang w:val="fr-FR"/>
        </w:rPr>
        <w:t xml:space="preserve">à la discrimination raciale </w:t>
      </w:r>
    </w:p>
    <w:p w:rsidR="00786D88" w:rsidRPr="002466CE" w:rsidRDefault="00786D88" w:rsidP="00786D88">
      <w:pPr>
        <w:pStyle w:val="SingleTxtG"/>
        <w:rPr>
          <w:lang w:val="fr-FR"/>
        </w:rPr>
      </w:pPr>
      <w:r w:rsidRPr="002466CE">
        <w:rPr>
          <w:lang w:val="fr-FR"/>
        </w:rPr>
        <w:t>115.</w:t>
      </w:r>
      <w:r w:rsidRPr="002466CE">
        <w:rPr>
          <w:lang w:val="fr-FR"/>
        </w:rPr>
        <w:tab/>
      </w:r>
      <w:r>
        <w:rPr>
          <w:lang w:val="fr-FR"/>
        </w:rPr>
        <w:t xml:space="preserve"> </w:t>
      </w:r>
      <w:r w:rsidRPr="002466CE">
        <w:rPr>
          <w:lang w:val="fr-FR"/>
        </w:rPr>
        <w:t xml:space="preserve">L’État partie </w:t>
      </w:r>
      <w:r>
        <w:rPr>
          <w:lang w:val="fr-FR"/>
        </w:rPr>
        <w:t>tient à indiquer qu’il a pris plusieurs mesures pour faire prendre conscience de la discrimination, en particulier la discrimination fondée sur la race et, de manière plus générale, des valeurs relatives aux droits de l’homme</w:t>
      </w:r>
      <w:r w:rsidRPr="002466CE">
        <w:rPr>
          <w:lang w:val="fr-FR"/>
        </w:rPr>
        <w:t xml:space="preserve">. </w:t>
      </w:r>
      <w:r>
        <w:rPr>
          <w:lang w:val="fr-FR"/>
        </w:rPr>
        <w:t>La promulgation de lois a également largement contribué à lutter contre les préjugés conduisant à la discrimination raciale</w:t>
      </w:r>
      <w:r w:rsidRPr="002466CE">
        <w:rPr>
          <w:lang w:val="fr-FR"/>
        </w:rPr>
        <w:t>.</w:t>
      </w:r>
    </w:p>
    <w:p w:rsidR="00786D88" w:rsidRPr="002466CE" w:rsidRDefault="00786D88" w:rsidP="00274CD5">
      <w:pPr>
        <w:pStyle w:val="H23G"/>
        <w:rPr>
          <w:lang w:val="fr-FR"/>
        </w:rPr>
      </w:pPr>
      <w:r w:rsidRPr="002466CE">
        <w:rPr>
          <w:lang w:val="fr-FR"/>
        </w:rPr>
        <w:tab/>
        <w:t>A.</w:t>
      </w:r>
      <w:r w:rsidRPr="002466CE">
        <w:rPr>
          <w:lang w:val="fr-FR"/>
        </w:rPr>
        <w:tab/>
      </w:r>
      <w:r>
        <w:rPr>
          <w:lang w:val="fr-FR"/>
        </w:rPr>
        <w:t xml:space="preserve">Mesures législatives </w:t>
      </w:r>
    </w:p>
    <w:p w:rsidR="00786D88" w:rsidRPr="002466CE" w:rsidRDefault="00786D88" w:rsidP="00786D88">
      <w:pPr>
        <w:pStyle w:val="SingleTxtG"/>
        <w:rPr>
          <w:rFonts w:eastAsia="Calibri"/>
          <w:lang w:val="fr-FR"/>
        </w:rPr>
      </w:pPr>
      <w:r w:rsidRPr="002466CE">
        <w:rPr>
          <w:rFonts w:eastAsia="Calibri"/>
          <w:lang w:val="fr-FR"/>
        </w:rPr>
        <w:t>116.</w:t>
      </w:r>
      <w:r w:rsidRPr="002466CE">
        <w:rPr>
          <w:rFonts w:eastAsia="Calibri"/>
          <w:lang w:val="fr-FR"/>
        </w:rPr>
        <w:tab/>
        <w:t xml:space="preserve">L’État partie </w:t>
      </w:r>
      <w:r>
        <w:rPr>
          <w:rFonts w:eastAsia="Calibri"/>
          <w:lang w:val="fr-FR"/>
        </w:rPr>
        <w:t>protège le droit des personnes à la liberté de conscience, de conviction ou de religion. Les membres de la population sont libres de pratiquer leur propre culture. Le paragraphe 1 de l’article</w:t>
      </w:r>
      <w:r w:rsidR="00AE3BFD">
        <w:rPr>
          <w:rFonts w:eastAsia="Calibri"/>
          <w:lang w:val="fr-FR"/>
        </w:rPr>
        <w:t xml:space="preserve"> </w:t>
      </w:r>
      <w:r w:rsidRPr="002466CE">
        <w:rPr>
          <w:rFonts w:eastAsia="Calibri"/>
          <w:lang w:val="fr-FR"/>
        </w:rPr>
        <w:t xml:space="preserve">19 </w:t>
      </w:r>
      <w:r>
        <w:rPr>
          <w:rFonts w:eastAsia="Calibri"/>
          <w:lang w:val="fr-FR"/>
        </w:rPr>
        <w:t>de la C</w:t>
      </w:r>
      <w:r w:rsidRPr="002466CE">
        <w:rPr>
          <w:rFonts w:eastAsia="Calibri"/>
          <w:lang w:val="fr-FR"/>
        </w:rPr>
        <w:t xml:space="preserve">onstitution </w:t>
      </w:r>
      <w:r>
        <w:rPr>
          <w:rFonts w:eastAsia="Calibri"/>
          <w:lang w:val="fr-FR"/>
        </w:rPr>
        <w:t>dispose par ailleurs que </w:t>
      </w:r>
      <w:r w:rsidRPr="002466CE">
        <w:rPr>
          <w:rFonts w:eastAsia="Calibri"/>
          <w:lang w:val="fr-FR"/>
        </w:rPr>
        <w:t>:</w:t>
      </w:r>
    </w:p>
    <w:p w:rsidR="00786D88" w:rsidRPr="002466CE" w:rsidRDefault="00CA6B10" w:rsidP="00786D88">
      <w:pPr>
        <w:pStyle w:val="SingleTxtG"/>
        <w:ind w:left="1701"/>
        <w:rPr>
          <w:rFonts w:eastAsia="Calibri"/>
          <w:lang w:val="fr-FR"/>
        </w:rPr>
      </w:pPr>
      <w:r>
        <w:rPr>
          <w:rFonts w:eastAsia="Calibri"/>
          <w:lang w:val="fr-FR"/>
        </w:rPr>
        <w:t>« </w:t>
      </w:r>
      <w:r w:rsidR="00786D88">
        <w:rPr>
          <w:rFonts w:eastAsia="Calibri"/>
          <w:lang w:val="fr-FR"/>
        </w:rPr>
        <w:t>Il ne sera porté aucune entrave au droit de quiconque à la liberté de conscience, à moins que la personne concernée n’y ait expressément consenti, et ce droit implique, aux fins du présent article, la liberté de penser et de religion, la liberté de changer de religion ou de croyance, ainsi que la liberté, individuellement ou collectivement, en public ou en privé, de manifester et de propager sa relig</w:t>
      </w:r>
      <w:r>
        <w:rPr>
          <w:rFonts w:eastAsia="Calibri"/>
          <w:lang w:val="fr-FR"/>
        </w:rPr>
        <w:t>ion ou sa croyance par le culte</w:t>
      </w:r>
      <w:r w:rsidR="00786D88">
        <w:rPr>
          <w:rFonts w:eastAsia="Calibri"/>
          <w:lang w:val="fr-FR"/>
        </w:rPr>
        <w:t>, l’enseignement et l’observance</w:t>
      </w:r>
      <w:r>
        <w:rPr>
          <w:rFonts w:eastAsia="Calibri"/>
          <w:lang w:val="fr-FR"/>
        </w:rPr>
        <w:t> </w:t>
      </w:r>
      <w:r w:rsidR="00786D88">
        <w:rPr>
          <w:rFonts w:eastAsia="Calibri"/>
          <w:lang w:val="fr-FR"/>
        </w:rPr>
        <w:t xml:space="preserve">». </w:t>
      </w:r>
    </w:p>
    <w:p w:rsidR="00786D88" w:rsidRPr="002466CE" w:rsidRDefault="00786D88" w:rsidP="00786D88">
      <w:pPr>
        <w:pStyle w:val="SingleTxtG"/>
        <w:rPr>
          <w:lang w:val="fr-FR"/>
        </w:rPr>
      </w:pPr>
      <w:r w:rsidRPr="002466CE">
        <w:rPr>
          <w:lang w:val="fr-FR"/>
        </w:rPr>
        <w:t>117.</w:t>
      </w:r>
      <w:r w:rsidRPr="002466CE">
        <w:rPr>
          <w:lang w:val="fr-FR"/>
        </w:rPr>
        <w:tab/>
        <w:t xml:space="preserve">L’État partie </w:t>
      </w:r>
      <w:r w:rsidR="00274CD5">
        <w:rPr>
          <w:lang w:val="fr-FR"/>
        </w:rPr>
        <w:t xml:space="preserve">tient à indiquer que la loi </w:t>
      </w:r>
      <w:r w:rsidR="00274CD5" w:rsidRPr="00274CD5">
        <w:rPr>
          <w:rFonts w:eastAsia="MS Mincho"/>
          <w:szCs w:val="22"/>
          <w:lang w:val="fr-FR"/>
        </w:rPr>
        <w:t>n</w:t>
      </w:r>
      <w:r w:rsidR="00274CD5" w:rsidRPr="00274CD5">
        <w:rPr>
          <w:rFonts w:eastAsia="MS Mincho"/>
          <w:szCs w:val="22"/>
          <w:vertAlign w:val="superscript"/>
          <w:lang w:val="fr-FR"/>
        </w:rPr>
        <w:t>o</w:t>
      </w:r>
      <w:r w:rsidR="00274CD5">
        <w:rPr>
          <w:lang w:val="fr-FR"/>
        </w:rPr>
        <w:t> </w:t>
      </w:r>
      <w:r>
        <w:rPr>
          <w:lang w:val="fr-FR"/>
        </w:rPr>
        <w:t>23 de 2011 sur l’éducation a été promulguée dans le but d’éliminer la discrimination dans l’accès aux possibilités d’éducation</w:t>
      </w:r>
      <w:r w:rsidRPr="002466CE">
        <w:rPr>
          <w:lang w:val="fr-FR"/>
        </w:rPr>
        <w:t>.</w:t>
      </w:r>
    </w:p>
    <w:p w:rsidR="00786D88" w:rsidRPr="002466CE" w:rsidRDefault="00786D88" w:rsidP="00274CD5">
      <w:pPr>
        <w:pStyle w:val="H23G"/>
        <w:rPr>
          <w:lang w:val="fr-FR"/>
        </w:rPr>
      </w:pPr>
      <w:r w:rsidRPr="002466CE">
        <w:rPr>
          <w:lang w:val="fr-FR"/>
        </w:rPr>
        <w:tab/>
        <w:t>B.</w:t>
      </w:r>
      <w:r w:rsidRPr="002466CE">
        <w:rPr>
          <w:lang w:val="fr-FR"/>
        </w:rPr>
        <w:tab/>
      </w:r>
      <w:r>
        <w:rPr>
          <w:lang w:val="fr-FR"/>
        </w:rPr>
        <w:t xml:space="preserve">Mesures judiciaires </w:t>
      </w:r>
    </w:p>
    <w:p w:rsidR="00786D88" w:rsidRPr="002466CE" w:rsidRDefault="00786D88" w:rsidP="00786D88">
      <w:pPr>
        <w:pStyle w:val="SingleTxtG"/>
        <w:rPr>
          <w:lang w:val="fr-FR"/>
        </w:rPr>
      </w:pPr>
      <w:r w:rsidRPr="002466CE">
        <w:rPr>
          <w:lang w:val="fr-FR"/>
        </w:rPr>
        <w:t>118.</w:t>
      </w:r>
      <w:r w:rsidRPr="002466CE">
        <w:rPr>
          <w:lang w:val="fr-FR"/>
        </w:rPr>
        <w:tab/>
      </w:r>
      <w:r>
        <w:rPr>
          <w:lang w:val="fr-FR"/>
        </w:rPr>
        <w:t>Aucune nouvelle mesure n’est à signaler</w:t>
      </w:r>
      <w:r w:rsidRPr="002466CE">
        <w:rPr>
          <w:lang w:val="fr-FR"/>
        </w:rPr>
        <w:t>.</w:t>
      </w:r>
    </w:p>
    <w:p w:rsidR="00786D88" w:rsidRPr="002466CE" w:rsidRDefault="00786D88" w:rsidP="00274CD5">
      <w:pPr>
        <w:pStyle w:val="H23G"/>
        <w:rPr>
          <w:lang w:val="fr-FR"/>
        </w:rPr>
      </w:pPr>
      <w:r w:rsidRPr="002466CE">
        <w:rPr>
          <w:lang w:val="fr-FR"/>
        </w:rPr>
        <w:lastRenderedPageBreak/>
        <w:tab/>
        <w:t>C.</w:t>
      </w:r>
      <w:r w:rsidRPr="002466CE">
        <w:rPr>
          <w:lang w:val="fr-FR"/>
        </w:rPr>
        <w:tab/>
      </w:r>
      <w:r>
        <w:rPr>
          <w:lang w:val="fr-FR"/>
        </w:rPr>
        <w:t xml:space="preserve">Mesures administratives </w:t>
      </w:r>
    </w:p>
    <w:p w:rsidR="00786D88" w:rsidRPr="002466CE" w:rsidRDefault="00786D88" w:rsidP="00786D88">
      <w:pPr>
        <w:pStyle w:val="SingleTxtG"/>
        <w:rPr>
          <w:lang w:val="fr-FR"/>
        </w:rPr>
      </w:pPr>
      <w:r w:rsidRPr="002466CE">
        <w:rPr>
          <w:lang w:val="fr-FR"/>
        </w:rPr>
        <w:t>119.</w:t>
      </w:r>
      <w:r w:rsidRPr="002466CE">
        <w:rPr>
          <w:lang w:val="fr-FR"/>
        </w:rPr>
        <w:tab/>
      </w:r>
      <w:r>
        <w:rPr>
          <w:lang w:val="fr-FR"/>
        </w:rPr>
        <w:t>Aucune nouvelle mesure n’est à signaler</w:t>
      </w:r>
      <w:r w:rsidRPr="002466CE">
        <w:rPr>
          <w:lang w:val="fr-FR"/>
        </w:rPr>
        <w:t>.</w:t>
      </w:r>
    </w:p>
    <w:p w:rsidR="00786D88" w:rsidRPr="002466CE" w:rsidRDefault="00786D88" w:rsidP="00274CD5">
      <w:pPr>
        <w:pStyle w:val="H1G"/>
        <w:rPr>
          <w:lang w:val="fr-FR"/>
        </w:rPr>
      </w:pPr>
      <w:r w:rsidRPr="002466CE">
        <w:rPr>
          <w:lang w:val="fr-FR"/>
        </w:rPr>
        <w:tab/>
        <w:t>28.</w:t>
      </w:r>
      <w:r w:rsidRPr="002466CE">
        <w:rPr>
          <w:lang w:val="fr-FR"/>
        </w:rPr>
        <w:tab/>
      </w:r>
      <w:r w:rsidR="00274CD5">
        <w:rPr>
          <w:lang w:val="fr-FR"/>
        </w:rPr>
        <w:t>Éducation et enseignement</w:t>
      </w:r>
    </w:p>
    <w:p w:rsidR="00786D88" w:rsidRPr="002466CE" w:rsidRDefault="00786D88" w:rsidP="00786D88">
      <w:pPr>
        <w:pStyle w:val="SingleTxtG"/>
        <w:rPr>
          <w:lang w:val="fr-FR"/>
        </w:rPr>
      </w:pPr>
      <w:r w:rsidRPr="002466CE">
        <w:rPr>
          <w:lang w:val="fr-FR"/>
        </w:rPr>
        <w:t>120.</w:t>
      </w:r>
      <w:r w:rsidRPr="002466CE">
        <w:rPr>
          <w:lang w:val="fr-FR"/>
        </w:rPr>
        <w:tab/>
        <w:t xml:space="preserve">L’État partie </w:t>
      </w:r>
      <w:r>
        <w:rPr>
          <w:lang w:val="fr-FR"/>
        </w:rPr>
        <w:t>poursuit une politique de l’éducation qui a principalement pour objectif de guider la fourniture d’une éducation soutenant les idéaux démocratiques, en vertu desquels toute personne accepte et apprécie les autres personnes dans le respect de leurs valeurs personnelles et de leur dignité, indépendamment de leur origine ethnique ou de tout autre caractéristique</w:t>
      </w:r>
      <w:r w:rsidRPr="002466CE">
        <w:rPr>
          <w:lang w:val="fr-FR"/>
        </w:rPr>
        <w:t>.</w:t>
      </w:r>
    </w:p>
    <w:p w:rsidR="00786D88" w:rsidRPr="002466CE" w:rsidRDefault="00786D88" w:rsidP="00274CD5">
      <w:pPr>
        <w:pStyle w:val="H1G"/>
        <w:rPr>
          <w:lang w:val="fr-FR"/>
        </w:rPr>
      </w:pPr>
      <w:r w:rsidRPr="002466CE">
        <w:rPr>
          <w:lang w:val="fr-FR"/>
        </w:rPr>
        <w:tab/>
        <w:t>29.</w:t>
      </w:r>
      <w:r w:rsidRPr="002466CE">
        <w:rPr>
          <w:lang w:val="fr-FR"/>
        </w:rPr>
        <w:tab/>
        <w:t xml:space="preserve">Information </w:t>
      </w:r>
      <w:r>
        <w:rPr>
          <w:lang w:val="fr-FR"/>
        </w:rPr>
        <w:t xml:space="preserve">et radiodiffusion </w:t>
      </w:r>
    </w:p>
    <w:p w:rsidR="00786D88" w:rsidRPr="002466CE" w:rsidRDefault="00786D88" w:rsidP="00786D88">
      <w:pPr>
        <w:pStyle w:val="SingleTxtG"/>
        <w:rPr>
          <w:lang w:val="fr-FR"/>
        </w:rPr>
      </w:pPr>
      <w:r w:rsidRPr="002466CE">
        <w:rPr>
          <w:lang w:val="fr-FR"/>
        </w:rPr>
        <w:t>121.</w:t>
      </w:r>
      <w:r w:rsidRPr="002466CE">
        <w:rPr>
          <w:lang w:val="fr-FR"/>
        </w:rPr>
        <w:tab/>
        <w:t xml:space="preserve">L’État partie </w:t>
      </w:r>
      <w:r>
        <w:rPr>
          <w:lang w:val="fr-FR"/>
        </w:rPr>
        <w:t xml:space="preserve">tient à indiquer que le Ministère de l’information et de la radiodiffusion a organisé un certain nombre d’ateliers de sensibilisation à l’intention du personnel des </w:t>
      </w:r>
      <w:proofErr w:type="spellStart"/>
      <w:r>
        <w:rPr>
          <w:lang w:val="fr-FR"/>
        </w:rPr>
        <w:t>médias</w:t>
      </w:r>
      <w:proofErr w:type="spellEnd"/>
      <w:r>
        <w:rPr>
          <w:lang w:val="fr-FR"/>
        </w:rPr>
        <w:t xml:space="preserve"> pour promouvoir leur professionnalisme et décourager l’emploi de stéréotypes dans les émissions concernant les affaires de discrimination raciale. </w:t>
      </w:r>
      <w:r w:rsidRPr="002466CE">
        <w:rPr>
          <w:lang w:val="fr-FR"/>
        </w:rPr>
        <w:t xml:space="preserve">L’État partie </w:t>
      </w:r>
      <w:r>
        <w:rPr>
          <w:lang w:val="fr-FR"/>
        </w:rPr>
        <w:t xml:space="preserve">a également autorisé les </w:t>
      </w:r>
      <w:proofErr w:type="spellStart"/>
      <w:r>
        <w:rPr>
          <w:lang w:val="fr-FR"/>
        </w:rPr>
        <w:t>médias</w:t>
      </w:r>
      <w:proofErr w:type="spellEnd"/>
      <w:r>
        <w:rPr>
          <w:lang w:val="fr-FR"/>
        </w:rPr>
        <w:t xml:space="preserve"> à établir leur propre cadre réglementaire régi par leur propre code de conduite</w:t>
      </w:r>
      <w:r w:rsidRPr="002466CE">
        <w:rPr>
          <w:lang w:val="fr-FR"/>
        </w:rPr>
        <w:t>.</w:t>
      </w:r>
    </w:p>
    <w:p w:rsidR="00786D88" w:rsidRPr="002466CE" w:rsidRDefault="00786D88" w:rsidP="00786D88">
      <w:pPr>
        <w:pStyle w:val="SingleTxtG"/>
        <w:rPr>
          <w:lang w:val="fr-FR"/>
        </w:rPr>
      </w:pPr>
      <w:r w:rsidRPr="002466CE">
        <w:rPr>
          <w:lang w:val="fr-FR"/>
        </w:rPr>
        <w:t>122.</w:t>
      </w:r>
      <w:r w:rsidRPr="002466CE">
        <w:rPr>
          <w:lang w:val="fr-FR"/>
        </w:rPr>
        <w:tab/>
        <w:t xml:space="preserve">L’État partie </w:t>
      </w:r>
      <w:r>
        <w:rPr>
          <w:lang w:val="fr-FR"/>
        </w:rPr>
        <w:t>tient aussi à indiquer que certaines stations de radio ont pour mission de sensibiliser le public aux droits de l’homme</w:t>
      </w:r>
      <w:r w:rsidRPr="002466CE">
        <w:rPr>
          <w:lang w:val="fr-FR"/>
        </w:rPr>
        <w:t>.</w:t>
      </w:r>
    </w:p>
    <w:p w:rsidR="00786D88" w:rsidRPr="002466CE" w:rsidRDefault="00786D88" w:rsidP="00274CD5">
      <w:pPr>
        <w:pStyle w:val="H1G"/>
        <w:rPr>
          <w:lang w:val="fr-FR"/>
        </w:rPr>
      </w:pPr>
      <w:r w:rsidRPr="002466CE">
        <w:rPr>
          <w:lang w:val="fr-FR"/>
        </w:rPr>
        <w:tab/>
        <w:t>30.</w:t>
      </w:r>
      <w:r w:rsidRPr="002466CE">
        <w:rPr>
          <w:lang w:val="fr-FR"/>
        </w:rPr>
        <w:tab/>
        <w:t>Culture</w:t>
      </w:r>
    </w:p>
    <w:p w:rsidR="00786D88" w:rsidRPr="002466CE" w:rsidRDefault="00786D88" w:rsidP="00786D88">
      <w:pPr>
        <w:pStyle w:val="SingleTxtG"/>
        <w:rPr>
          <w:lang w:val="fr-FR"/>
        </w:rPr>
      </w:pPr>
      <w:r w:rsidRPr="002466CE">
        <w:rPr>
          <w:lang w:val="fr-FR"/>
        </w:rPr>
        <w:t>123.</w:t>
      </w:r>
      <w:r w:rsidRPr="002466CE">
        <w:rPr>
          <w:lang w:val="fr-FR"/>
        </w:rPr>
        <w:tab/>
        <w:t xml:space="preserve">L’État partie </w:t>
      </w:r>
      <w:r>
        <w:rPr>
          <w:lang w:val="fr-FR"/>
        </w:rPr>
        <w:t>demeure déterminé à soutenir la culture et les cérémonies traditionnelles sur l’ensemble de son territoire pour promouvoir l’identité culturelle des différents groupes tribaux</w:t>
      </w:r>
      <w:r w:rsidRPr="002466CE">
        <w:rPr>
          <w:lang w:val="fr-FR"/>
        </w:rPr>
        <w:t>.</w:t>
      </w:r>
    </w:p>
    <w:p w:rsidR="00786D88" w:rsidRPr="002466CE" w:rsidRDefault="00786D88" w:rsidP="00274CD5">
      <w:pPr>
        <w:pStyle w:val="SingleTxtG"/>
        <w:rPr>
          <w:lang w:val="fr-FR"/>
        </w:rPr>
      </w:pPr>
      <w:r w:rsidRPr="002466CE">
        <w:rPr>
          <w:lang w:val="fr-FR"/>
        </w:rPr>
        <w:t>124.</w:t>
      </w:r>
      <w:r w:rsidRPr="002466CE">
        <w:rPr>
          <w:lang w:val="fr-FR"/>
        </w:rPr>
        <w:tab/>
      </w:r>
      <w:r w:rsidR="00274CD5">
        <w:rPr>
          <w:lang w:val="fr-FR"/>
        </w:rPr>
        <w:t>Le</w:t>
      </w:r>
      <w:r w:rsidRPr="002466CE">
        <w:rPr>
          <w:lang w:val="fr-FR"/>
        </w:rPr>
        <w:t xml:space="preserve"> Comité </w:t>
      </w:r>
      <w:r>
        <w:rPr>
          <w:lang w:val="fr-FR"/>
        </w:rPr>
        <w:t>pourrait souhaiter prendre note du fait que l</w:t>
      </w:r>
      <w:r w:rsidRPr="002466CE">
        <w:rPr>
          <w:lang w:val="fr-FR"/>
        </w:rPr>
        <w:t xml:space="preserve">’État partie </w:t>
      </w:r>
      <w:r>
        <w:rPr>
          <w:lang w:val="fr-FR"/>
        </w:rPr>
        <w:t xml:space="preserve">assure un soutien financier aux institutions et aux associations qui s’emploient à promouvoir la protection de l’identité culturelle par </w:t>
      </w:r>
      <w:r w:rsidRPr="00274CD5">
        <w:t>l’intermédiaire</w:t>
      </w:r>
      <w:r>
        <w:rPr>
          <w:lang w:val="fr-FR"/>
        </w:rPr>
        <w:t xml:space="preserve"> d’organisations comme l’Association nationale des </w:t>
      </w:r>
      <w:proofErr w:type="spellStart"/>
      <w:r>
        <w:rPr>
          <w:lang w:val="fr-FR"/>
        </w:rPr>
        <w:t>médias</w:t>
      </w:r>
      <w:proofErr w:type="spellEnd"/>
      <w:r>
        <w:rPr>
          <w:lang w:val="fr-FR"/>
        </w:rPr>
        <w:t xml:space="preserve"> et des arts.</w:t>
      </w:r>
    </w:p>
    <w:p w:rsidR="00786D88" w:rsidRPr="002466CE" w:rsidRDefault="00786D88" w:rsidP="00274CD5">
      <w:pPr>
        <w:pStyle w:val="H1G"/>
        <w:rPr>
          <w:lang w:val="fr-FR"/>
        </w:rPr>
      </w:pPr>
      <w:r w:rsidRPr="002466CE">
        <w:rPr>
          <w:lang w:val="fr-FR"/>
        </w:rPr>
        <w:tab/>
        <w:t>31.</w:t>
      </w:r>
      <w:r w:rsidRPr="002466CE">
        <w:rPr>
          <w:lang w:val="fr-FR"/>
        </w:rPr>
        <w:tab/>
        <w:t>Conclusion</w:t>
      </w:r>
    </w:p>
    <w:p w:rsidR="00786D88" w:rsidRPr="002466CE" w:rsidRDefault="00786D88" w:rsidP="00786D88">
      <w:pPr>
        <w:pStyle w:val="SingleTxtG"/>
        <w:rPr>
          <w:lang w:val="fr-FR"/>
        </w:rPr>
      </w:pPr>
      <w:r w:rsidRPr="002466CE">
        <w:rPr>
          <w:lang w:val="fr-FR"/>
        </w:rPr>
        <w:t>125.</w:t>
      </w:r>
      <w:r w:rsidRPr="002466CE">
        <w:rPr>
          <w:lang w:val="fr-FR"/>
        </w:rPr>
        <w:tab/>
        <w:t xml:space="preserve">L’État partie </w:t>
      </w:r>
      <w:r>
        <w:rPr>
          <w:lang w:val="fr-FR"/>
        </w:rPr>
        <w:t>continuera de poursuivre ses efforts et de coopérer avec l’Organisation des Nations Unies et les États Membres afin d’assurer l’élimination effective de toutes les formes de discrimination raciale</w:t>
      </w:r>
      <w:r w:rsidRPr="002466CE">
        <w:rPr>
          <w:lang w:val="fr-FR"/>
        </w:rPr>
        <w:t>.</w:t>
      </w:r>
    </w:p>
    <w:p w:rsidR="00786D88" w:rsidRPr="005958B1" w:rsidRDefault="00786D88" w:rsidP="00786D88">
      <w:pPr>
        <w:pStyle w:val="HChG"/>
      </w:pPr>
      <w:r w:rsidRPr="002466CE">
        <w:rPr>
          <w:sz w:val="24"/>
          <w:u w:val="single"/>
          <w:lang w:val="fr-FR"/>
        </w:rPr>
        <w:br w:type="page"/>
      </w:r>
      <w:r w:rsidRPr="005958B1">
        <w:lastRenderedPageBreak/>
        <w:t>Annexes</w:t>
      </w:r>
    </w:p>
    <w:p w:rsidR="00786D88" w:rsidRPr="00C46231" w:rsidRDefault="00786D88" w:rsidP="00274CD5">
      <w:pPr>
        <w:pStyle w:val="H1G"/>
        <w:rPr>
          <w:lang w:val="fr-FR"/>
        </w:rPr>
      </w:pPr>
      <w:r w:rsidRPr="005958B1">
        <w:tab/>
      </w:r>
      <w:r w:rsidRPr="005958B1">
        <w:tab/>
      </w:r>
      <w:r w:rsidRPr="00C46231">
        <w:rPr>
          <w:lang w:val="fr-FR"/>
        </w:rPr>
        <w:t>Législation</w:t>
      </w:r>
    </w:p>
    <w:p w:rsidR="003950E6" w:rsidRPr="003950E6" w:rsidRDefault="003950E6" w:rsidP="00C015C6">
      <w:pPr>
        <w:pStyle w:val="SingleTxtG"/>
        <w:ind w:firstLine="567"/>
      </w:pPr>
      <w:r w:rsidRPr="003950E6">
        <w:t xml:space="preserve">Quelques textes législatifs mentionnés dans le rapport de </w:t>
      </w:r>
      <w:r w:rsidR="00C015C6">
        <w:t>l’État partie </w:t>
      </w:r>
      <w:r w:rsidRPr="003950E6">
        <w:t>:</w:t>
      </w:r>
    </w:p>
    <w:p w:rsidR="003950E6" w:rsidRPr="003950E6" w:rsidRDefault="00C015C6" w:rsidP="00C015C6">
      <w:pPr>
        <w:pStyle w:val="SingleTxtG"/>
        <w:ind w:left="2268" w:hanging="567"/>
      </w:pPr>
      <w:r>
        <w:t>1.</w:t>
      </w:r>
      <w:r>
        <w:tab/>
      </w:r>
      <w:r w:rsidR="003950E6" w:rsidRPr="003950E6">
        <w:t>L</w:t>
      </w:r>
      <w:r>
        <w:t xml:space="preserve">oi </w:t>
      </w:r>
      <w:r w:rsidRPr="002D76F4">
        <w:rPr>
          <w:rFonts w:eastAsia="MS Mincho"/>
          <w:szCs w:val="22"/>
        </w:rPr>
        <w:t>n</w:t>
      </w:r>
      <w:r w:rsidRPr="002D76F4">
        <w:rPr>
          <w:rFonts w:eastAsia="MS Mincho"/>
          <w:szCs w:val="22"/>
          <w:vertAlign w:val="superscript"/>
        </w:rPr>
        <w:t>o</w:t>
      </w:r>
      <w:r>
        <w:t> </w:t>
      </w:r>
      <w:r w:rsidR="003950E6" w:rsidRPr="003950E6">
        <w:t>2 de 2016 portant modification de la Constitution de la Zambie</w:t>
      </w:r>
      <w:r>
        <w:t> </w:t>
      </w:r>
      <w:r w:rsidR="003950E6" w:rsidRPr="003950E6">
        <w:t>;</w:t>
      </w:r>
    </w:p>
    <w:p w:rsidR="003950E6" w:rsidRPr="003950E6" w:rsidRDefault="00C015C6" w:rsidP="00C015C6">
      <w:pPr>
        <w:pStyle w:val="SingleTxtG"/>
        <w:ind w:left="2268" w:hanging="567"/>
      </w:pPr>
      <w:r>
        <w:t>2.</w:t>
      </w:r>
      <w:r>
        <w:tab/>
      </w:r>
      <w:r w:rsidR="003950E6" w:rsidRPr="003950E6">
        <w:t>Loi sur les relations industrielles et professionnelles, chapitre 269 du Recueil des lois de la Zambie</w:t>
      </w:r>
      <w:r>
        <w:t> </w:t>
      </w:r>
      <w:r w:rsidR="003950E6" w:rsidRPr="003950E6">
        <w:t>;</w:t>
      </w:r>
    </w:p>
    <w:p w:rsidR="003950E6" w:rsidRPr="003950E6" w:rsidRDefault="00C015C6" w:rsidP="00C015C6">
      <w:pPr>
        <w:pStyle w:val="SingleTxtG"/>
        <w:ind w:left="2268" w:hanging="567"/>
      </w:pPr>
      <w:r>
        <w:t>3.</w:t>
      </w:r>
      <w:r>
        <w:tab/>
      </w:r>
      <w:r w:rsidR="003950E6" w:rsidRPr="003950E6">
        <w:t>Code pénal, chapitre 87 du Recueil des lois de la Zambie</w:t>
      </w:r>
      <w:r>
        <w:t> </w:t>
      </w:r>
      <w:r w:rsidR="003950E6" w:rsidRPr="003950E6">
        <w:t>;</w:t>
      </w:r>
    </w:p>
    <w:p w:rsidR="003950E6" w:rsidRPr="003950E6" w:rsidRDefault="00C015C6" w:rsidP="00C015C6">
      <w:pPr>
        <w:pStyle w:val="SingleTxtG"/>
        <w:ind w:left="2268" w:hanging="567"/>
      </w:pPr>
      <w:r>
        <w:t>4.</w:t>
      </w:r>
      <w:r>
        <w:tab/>
      </w:r>
      <w:r w:rsidR="003950E6" w:rsidRPr="003950E6">
        <w:t>Loi n</w:t>
      </w:r>
      <w:r w:rsidRPr="00C015C6">
        <w:rPr>
          <w:rFonts w:eastAsia="MS Mincho"/>
          <w:szCs w:val="22"/>
        </w:rPr>
        <w:t xml:space="preserve"> </w:t>
      </w:r>
      <w:r w:rsidRPr="002D76F4">
        <w:rPr>
          <w:rFonts w:eastAsia="MS Mincho"/>
          <w:szCs w:val="22"/>
        </w:rPr>
        <w:t>n</w:t>
      </w:r>
      <w:r w:rsidRPr="002D76F4">
        <w:rPr>
          <w:rFonts w:eastAsia="MS Mincho"/>
          <w:szCs w:val="22"/>
          <w:vertAlign w:val="superscript"/>
        </w:rPr>
        <w:t>o</w:t>
      </w:r>
      <w:r>
        <w:t> </w:t>
      </w:r>
      <w:r w:rsidR="003950E6" w:rsidRPr="003950E6">
        <w:t>1 de 2017 sur les réfugié</w:t>
      </w:r>
      <w:r>
        <w:t>s </w:t>
      </w:r>
      <w:r w:rsidR="003950E6" w:rsidRPr="003950E6">
        <w:t>;</w:t>
      </w:r>
    </w:p>
    <w:p w:rsidR="003950E6" w:rsidRPr="003950E6" w:rsidRDefault="00C015C6" w:rsidP="00C015C6">
      <w:pPr>
        <w:pStyle w:val="SingleTxtG"/>
        <w:ind w:left="2268" w:hanging="567"/>
      </w:pPr>
      <w:r>
        <w:rPr>
          <w:lang w:val="fr-FR"/>
        </w:rPr>
        <w:t>5.</w:t>
      </w:r>
      <w:r>
        <w:rPr>
          <w:lang w:val="fr-FR"/>
        </w:rPr>
        <w:tab/>
      </w:r>
      <w:r w:rsidR="003950E6" w:rsidRPr="003950E6">
        <w:rPr>
          <w:lang w:val="fr-FR"/>
        </w:rPr>
        <w:t xml:space="preserve">Loi </w:t>
      </w:r>
      <w:r w:rsidRPr="002D76F4">
        <w:rPr>
          <w:rFonts w:eastAsia="MS Mincho"/>
          <w:szCs w:val="22"/>
        </w:rPr>
        <w:t>n</w:t>
      </w:r>
      <w:r w:rsidRPr="002D76F4">
        <w:rPr>
          <w:rFonts w:eastAsia="MS Mincho"/>
          <w:szCs w:val="22"/>
          <w:vertAlign w:val="superscript"/>
        </w:rPr>
        <w:t>o</w:t>
      </w:r>
      <w:r>
        <w:t> </w:t>
      </w:r>
      <w:r w:rsidR="003950E6" w:rsidRPr="003950E6">
        <w:rPr>
          <w:lang w:val="fr-FR"/>
        </w:rPr>
        <w:t>33 de 2016 sur la citoyenneté zambienne</w:t>
      </w:r>
      <w:r>
        <w:rPr>
          <w:lang w:val="fr-FR"/>
        </w:rPr>
        <w:t> </w:t>
      </w:r>
      <w:r w:rsidR="003950E6" w:rsidRPr="003950E6">
        <w:t>;</w:t>
      </w:r>
    </w:p>
    <w:p w:rsidR="003950E6" w:rsidRPr="003950E6" w:rsidRDefault="00C015C6" w:rsidP="00C015C6">
      <w:pPr>
        <w:pStyle w:val="SingleTxtG"/>
        <w:ind w:left="2268" w:hanging="567"/>
      </w:pPr>
      <w:r>
        <w:t>6.</w:t>
      </w:r>
      <w:r>
        <w:tab/>
      </w:r>
      <w:r w:rsidR="003950E6" w:rsidRPr="003950E6">
        <w:t xml:space="preserve">Loi </w:t>
      </w:r>
      <w:r w:rsidRPr="002D76F4">
        <w:rPr>
          <w:rFonts w:eastAsia="MS Mincho"/>
          <w:szCs w:val="22"/>
        </w:rPr>
        <w:t>n</w:t>
      </w:r>
      <w:r w:rsidRPr="002D76F4">
        <w:rPr>
          <w:rFonts w:eastAsia="MS Mincho"/>
          <w:szCs w:val="22"/>
          <w:vertAlign w:val="superscript"/>
        </w:rPr>
        <w:t>o</w:t>
      </w:r>
      <w:r>
        <w:t> </w:t>
      </w:r>
      <w:r w:rsidR="003950E6" w:rsidRPr="003950E6">
        <w:t>18 de 2010 sur l’immigration et l’expulsion</w:t>
      </w:r>
      <w:r>
        <w:t> </w:t>
      </w:r>
      <w:r w:rsidR="003950E6" w:rsidRPr="003950E6">
        <w:t>;</w:t>
      </w:r>
    </w:p>
    <w:p w:rsidR="003950E6" w:rsidRPr="003950E6" w:rsidRDefault="00C015C6" w:rsidP="00C015C6">
      <w:pPr>
        <w:pStyle w:val="SingleTxtG"/>
        <w:ind w:left="2268" w:hanging="567"/>
      </w:pPr>
      <w:r>
        <w:t>7.</w:t>
      </w:r>
      <w:r>
        <w:tab/>
      </w:r>
      <w:r w:rsidR="003950E6" w:rsidRPr="003950E6">
        <w:t>Loi sur la Commission des droits de l’homme, chapitre 48 du Recueil des lois de la Zambie</w:t>
      </w:r>
      <w:r>
        <w:t> </w:t>
      </w:r>
      <w:r w:rsidR="003950E6" w:rsidRPr="003950E6">
        <w:t>;</w:t>
      </w:r>
    </w:p>
    <w:p w:rsidR="003950E6" w:rsidRPr="003950E6" w:rsidRDefault="00C015C6" w:rsidP="00C015C6">
      <w:pPr>
        <w:pStyle w:val="SingleTxtG"/>
        <w:ind w:left="2268" w:hanging="567"/>
      </w:pPr>
      <w:r>
        <w:t>8.</w:t>
      </w:r>
      <w:r>
        <w:tab/>
      </w:r>
      <w:r w:rsidR="003950E6" w:rsidRPr="003950E6">
        <w:t>Loi de 2006 sur l’autonomisation économique des citoyens</w:t>
      </w:r>
      <w:r>
        <w:t> </w:t>
      </w:r>
      <w:r w:rsidR="003950E6" w:rsidRPr="003950E6">
        <w:t>;</w:t>
      </w:r>
    </w:p>
    <w:p w:rsidR="003950E6" w:rsidRPr="003950E6" w:rsidRDefault="00C015C6" w:rsidP="00C015C6">
      <w:pPr>
        <w:pStyle w:val="SingleTxtG"/>
        <w:ind w:left="2268" w:hanging="567"/>
      </w:pPr>
      <w:r>
        <w:t>9.</w:t>
      </w:r>
      <w:r>
        <w:tab/>
      </w:r>
      <w:r w:rsidR="003950E6" w:rsidRPr="003950E6">
        <w:t xml:space="preserve">Loi </w:t>
      </w:r>
      <w:r w:rsidRPr="002D76F4">
        <w:rPr>
          <w:rFonts w:eastAsia="MS Mincho"/>
          <w:szCs w:val="22"/>
        </w:rPr>
        <w:t>n</w:t>
      </w:r>
      <w:r w:rsidRPr="002D76F4">
        <w:rPr>
          <w:rFonts w:eastAsia="MS Mincho"/>
          <w:szCs w:val="22"/>
          <w:vertAlign w:val="superscript"/>
        </w:rPr>
        <w:t>o</w:t>
      </w:r>
      <w:r>
        <w:t> </w:t>
      </w:r>
      <w:r w:rsidR="003950E6" w:rsidRPr="003950E6">
        <w:t>11 de 2006 sur l’Agence zambienne de développement</w:t>
      </w:r>
      <w:r>
        <w:t> </w:t>
      </w:r>
      <w:r w:rsidR="003950E6" w:rsidRPr="003950E6">
        <w:t>;</w:t>
      </w:r>
    </w:p>
    <w:p w:rsidR="003950E6" w:rsidRPr="003950E6" w:rsidRDefault="00C015C6" w:rsidP="00C015C6">
      <w:pPr>
        <w:pStyle w:val="SingleTxtG"/>
        <w:ind w:left="2268" w:hanging="567"/>
      </w:pPr>
      <w:r>
        <w:rPr>
          <w:lang w:val="fr-FR"/>
        </w:rPr>
        <w:t>10.</w:t>
      </w:r>
      <w:r>
        <w:rPr>
          <w:lang w:val="fr-FR"/>
        </w:rPr>
        <w:tab/>
      </w:r>
      <w:r w:rsidR="003950E6" w:rsidRPr="003950E6">
        <w:rPr>
          <w:lang w:val="fr-FR"/>
        </w:rPr>
        <w:t xml:space="preserve">Loi </w:t>
      </w:r>
      <w:r w:rsidRPr="002D76F4">
        <w:rPr>
          <w:rFonts w:eastAsia="MS Mincho"/>
          <w:szCs w:val="22"/>
        </w:rPr>
        <w:t>n</w:t>
      </w:r>
      <w:r w:rsidRPr="002D76F4">
        <w:rPr>
          <w:rFonts w:eastAsia="MS Mincho"/>
          <w:szCs w:val="22"/>
          <w:vertAlign w:val="superscript"/>
        </w:rPr>
        <w:t>o</w:t>
      </w:r>
      <w:r>
        <w:t> </w:t>
      </w:r>
      <w:r w:rsidR="003950E6" w:rsidRPr="003950E6">
        <w:rPr>
          <w:lang w:val="fr-FR"/>
        </w:rPr>
        <w:t>23 de 2011 sur l’éducation</w:t>
      </w:r>
      <w:r>
        <w:rPr>
          <w:lang w:val="fr-FR"/>
        </w:rPr>
        <w:t> </w:t>
      </w:r>
      <w:r w:rsidR="003950E6" w:rsidRPr="003950E6">
        <w:t>;</w:t>
      </w:r>
    </w:p>
    <w:p w:rsidR="003950E6" w:rsidRPr="003950E6" w:rsidRDefault="00C015C6" w:rsidP="00C015C6">
      <w:pPr>
        <w:pStyle w:val="SingleTxtG"/>
        <w:ind w:left="2268" w:hanging="567"/>
      </w:pPr>
      <w:r>
        <w:t>11.</w:t>
      </w:r>
      <w:r>
        <w:tab/>
      </w:r>
      <w:r w:rsidR="003950E6" w:rsidRPr="003950E6">
        <w:t xml:space="preserve">Loi </w:t>
      </w:r>
      <w:r w:rsidRPr="002D76F4">
        <w:rPr>
          <w:rFonts w:eastAsia="MS Mincho"/>
          <w:szCs w:val="22"/>
        </w:rPr>
        <w:t>n</w:t>
      </w:r>
      <w:r w:rsidRPr="002D76F4">
        <w:rPr>
          <w:rFonts w:eastAsia="MS Mincho"/>
          <w:szCs w:val="22"/>
          <w:vertAlign w:val="superscript"/>
        </w:rPr>
        <w:t>o</w:t>
      </w:r>
      <w:r>
        <w:t> </w:t>
      </w:r>
      <w:r w:rsidR="003950E6" w:rsidRPr="003950E6">
        <w:t>19 de 2005 portant modification de la loi sur l’aide juridictionnelle.</w:t>
      </w:r>
    </w:p>
    <w:p w:rsidR="003950E6" w:rsidRPr="00C015C6" w:rsidRDefault="003950E6" w:rsidP="00C015C6">
      <w:pPr>
        <w:pStyle w:val="H1G"/>
      </w:pPr>
      <w:r w:rsidRPr="003950E6">
        <w:tab/>
      </w:r>
      <w:r w:rsidRPr="003950E6">
        <w:tab/>
      </w:r>
      <w:r w:rsidRPr="00C015C6">
        <w:t>Politiques, directives et normes</w:t>
      </w:r>
    </w:p>
    <w:p w:rsidR="003950E6" w:rsidRPr="003950E6" w:rsidRDefault="00C015C6" w:rsidP="00C015C6">
      <w:pPr>
        <w:pStyle w:val="SingleTxtG"/>
        <w:ind w:left="2268" w:hanging="567"/>
      </w:pPr>
      <w:r>
        <w:t>1.</w:t>
      </w:r>
      <w:r>
        <w:tab/>
      </w:r>
      <w:r w:rsidR="003950E6" w:rsidRPr="003950E6">
        <w:t>Politique nationale de la santé, 2017</w:t>
      </w:r>
      <w:r>
        <w:t> </w:t>
      </w:r>
      <w:r w:rsidR="003950E6" w:rsidRPr="003950E6">
        <w:t>;</w:t>
      </w:r>
    </w:p>
    <w:p w:rsidR="003950E6" w:rsidRPr="003950E6" w:rsidRDefault="00C015C6" w:rsidP="00C015C6">
      <w:pPr>
        <w:pStyle w:val="SingleTxtG"/>
        <w:ind w:left="2268" w:hanging="567"/>
      </w:pPr>
      <w:r>
        <w:t>2.</w:t>
      </w:r>
      <w:r>
        <w:tab/>
      </w:r>
      <w:r w:rsidR="003950E6" w:rsidRPr="003950E6">
        <w:t>Plan stratégique national de la santé, 2017.</w:t>
      </w:r>
    </w:p>
    <w:p w:rsidR="00274CD5" w:rsidRPr="00C015C6" w:rsidRDefault="00C015C6" w:rsidP="00C015C6">
      <w:pPr>
        <w:pStyle w:val="SingleTxtG"/>
        <w:spacing w:before="240" w:after="0"/>
        <w:jc w:val="center"/>
        <w:rPr>
          <w:u w:val="single"/>
        </w:rPr>
      </w:pPr>
      <w:r>
        <w:rPr>
          <w:u w:val="single"/>
        </w:rPr>
        <w:tab/>
      </w:r>
      <w:r>
        <w:rPr>
          <w:u w:val="single"/>
        </w:rPr>
        <w:tab/>
      </w:r>
      <w:r>
        <w:rPr>
          <w:u w:val="single"/>
        </w:rPr>
        <w:tab/>
      </w:r>
    </w:p>
    <w:sectPr w:rsidR="00274CD5" w:rsidRPr="00C015C6" w:rsidSect="00786D88">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6D88" w:rsidRDefault="00786D88" w:rsidP="00F95C08">
      <w:pPr>
        <w:spacing w:line="240" w:lineRule="auto"/>
      </w:pPr>
    </w:p>
  </w:endnote>
  <w:endnote w:type="continuationSeparator" w:id="0">
    <w:p w:rsidR="00786D88" w:rsidRPr="00AC3823" w:rsidRDefault="00786D88" w:rsidP="00AC3823">
      <w:pPr>
        <w:pStyle w:val="Pieddepage"/>
      </w:pPr>
    </w:p>
  </w:endnote>
  <w:endnote w:type="continuationNotice" w:id="1">
    <w:p w:rsidR="00786D88" w:rsidRDefault="00786D8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Arial"/>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 w:name="Times New Roman Gras">
    <w:altName w:val="Times New Roman"/>
    <w:panose1 w:val="00000000000000000000"/>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6D88" w:rsidRPr="00786D88" w:rsidRDefault="00786D88" w:rsidP="00786D88">
    <w:pPr>
      <w:pStyle w:val="Pieddepage"/>
      <w:tabs>
        <w:tab w:val="right" w:pos="9638"/>
      </w:tabs>
    </w:pPr>
    <w:r w:rsidRPr="00786D88">
      <w:rPr>
        <w:b/>
        <w:sz w:val="18"/>
      </w:rPr>
      <w:fldChar w:fldCharType="begin"/>
    </w:r>
    <w:r w:rsidRPr="00786D88">
      <w:rPr>
        <w:b/>
        <w:sz w:val="18"/>
      </w:rPr>
      <w:instrText xml:space="preserve"> PAGE  \* MERGEFORMAT </w:instrText>
    </w:r>
    <w:r w:rsidRPr="00786D88">
      <w:rPr>
        <w:b/>
        <w:sz w:val="18"/>
      </w:rPr>
      <w:fldChar w:fldCharType="separate"/>
    </w:r>
    <w:r w:rsidR="002A2548">
      <w:rPr>
        <w:b/>
        <w:noProof/>
        <w:sz w:val="18"/>
      </w:rPr>
      <w:t>2</w:t>
    </w:r>
    <w:r w:rsidRPr="00786D88">
      <w:rPr>
        <w:b/>
        <w:sz w:val="18"/>
      </w:rPr>
      <w:fldChar w:fldCharType="end"/>
    </w:r>
    <w:r>
      <w:rPr>
        <w:b/>
        <w:sz w:val="18"/>
      </w:rPr>
      <w:tab/>
    </w:r>
    <w:r>
      <w:t>GE.18-08851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6D88" w:rsidRPr="00786D88" w:rsidRDefault="00786D88" w:rsidP="00786D88">
    <w:pPr>
      <w:pStyle w:val="Pieddepage"/>
      <w:tabs>
        <w:tab w:val="right" w:pos="9638"/>
      </w:tabs>
      <w:rPr>
        <w:b/>
        <w:sz w:val="18"/>
      </w:rPr>
    </w:pPr>
    <w:r>
      <w:t>GE.18-08851</w:t>
    </w:r>
    <w:r>
      <w:tab/>
    </w:r>
    <w:r w:rsidRPr="00786D88">
      <w:rPr>
        <w:b/>
        <w:sz w:val="18"/>
      </w:rPr>
      <w:fldChar w:fldCharType="begin"/>
    </w:r>
    <w:r w:rsidRPr="00786D88">
      <w:rPr>
        <w:b/>
        <w:sz w:val="18"/>
      </w:rPr>
      <w:instrText xml:space="preserve"> PAGE  \* MERGEFORMAT </w:instrText>
    </w:r>
    <w:r w:rsidRPr="00786D88">
      <w:rPr>
        <w:b/>
        <w:sz w:val="18"/>
      </w:rPr>
      <w:fldChar w:fldCharType="separate"/>
    </w:r>
    <w:r w:rsidR="002A2548">
      <w:rPr>
        <w:b/>
        <w:noProof/>
        <w:sz w:val="18"/>
      </w:rPr>
      <w:t>21</w:t>
    </w:r>
    <w:r w:rsidRPr="00786D8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6D88" w:rsidRPr="00786D88" w:rsidRDefault="00786D88" w:rsidP="00786D88">
    <w:pPr>
      <w:pStyle w:val="Pieddepage"/>
      <w:spacing w:before="120"/>
      <w:rPr>
        <w:sz w:val="20"/>
      </w:rPr>
    </w:pPr>
    <w:r>
      <w:rPr>
        <w:sz w:val="20"/>
      </w:rPr>
      <w:t>GE.</w:t>
    </w:r>
    <w:r>
      <w:rPr>
        <w:noProof/>
        <w:lang w:eastAsia="fr-CH"/>
      </w:rPr>
      <w:drawing>
        <wp:anchor distT="0" distB="0" distL="114300" distR="114300" simplePos="0" relativeHeight="251660288" behindDoc="0" locked="0" layoutInCell="1" allowOverlap="0" wp14:anchorId="5545B402" wp14:editId="6E1792CE">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18-08851</w:t>
    </w:r>
    <w:r w:rsidR="00717A51">
      <w:rPr>
        <w:sz w:val="20"/>
      </w:rPr>
      <w:t xml:space="preserve"> </w:t>
    </w:r>
    <w:r w:rsidR="00AE3BFD">
      <w:rPr>
        <w:sz w:val="20"/>
      </w:rPr>
      <w:t xml:space="preserve"> </w:t>
    </w:r>
    <w:r>
      <w:rPr>
        <w:sz w:val="20"/>
      </w:rPr>
      <w:t>(F)</w:t>
    </w:r>
    <w:r w:rsidR="00AE3BFD">
      <w:rPr>
        <w:sz w:val="20"/>
      </w:rPr>
      <w:t xml:space="preserve">  </w:t>
    </w:r>
    <w:r w:rsidR="00717A51">
      <w:rPr>
        <w:sz w:val="20"/>
      </w:rPr>
      <w:t xml:space="preserve">  </w:t>
    </w:r>
    <w:r>
      <w:rPr>
        <w:sz w:val="20"/>
      </w:rPr>
      <w:t>050918</w:t>
    </w:r>
    <w:r w:rsidR="00AE3BFD">
      <w:rPr>
        <w:sz w:val="20"/>
      </w:rPr>
      <w:t xml:space="preserve"> </w:t>
    </w:r>
    <w:r w:rsidR="00717A51">
      <w:rPr>
        <w:sz w:val="20"/>
      </w:rPr>
      <w:t xml:space="preserve">  </w:t>
    </w:r>
    <w:r w:rsidR="00AE3BFD">
      <w:rPr>
        <w:sz w:val="20"/>
      </w:rPr>
      <w:t xml:space="preserve"> </w:t>
    </w:r>
    <w:r>
      <w:rPr>
        <w:sz w:val="20"/>
      </w:rPr>
      <w:t>111218</w:t>
    </w:r>
    <w:r>
      <w:rPr>
        <w:sz w:val="20"/>
      </w:rPr>
      <w:br/>
    </w:r>
    <w:r w:rsidRPr="00786D88">
      <w:rPr>
        <w:rFonts w:ascii="C39T30Lfz" w:hAnsi="C39T30Lfz"/>
        <w:sz w:val="56"/>
      </w:rPr>
      <w:t></w:t>
    </w:r>
    <w:r w:rsidRPr="00786D88">
      <w:rPr>
        <w:rFonts w:ascii="C39T30Lfz" w:hAnsi="C39T30Lfz"/>
        <w:sz w:val="56"/>
      </w:rPr>
      <w:t></w:t>
    </w:r>
    <w:r w:rsidRPr="00786D88">
      <w:rPr>
        <w:rFonts w:ascii="C39T30Lfz" w:hAnsi="C39T30Lfz"/>
        <w:sz w:val="56"/>
      </w:rPr>
      <w:t></w:t>
    </w:r>
    <w:r w:rsidRPr="00786D88">
      <w:rPr>
        <w:rFonts w:ascii="C39T30Lfz" w:hAnsi="C39T30Lfz"/>
        <w:sz w:val="56"/>
      </w:rPr>
      <w:t></w:t>
    </w:r>
    <w:r w:rsidRPr="00786D88">
      <w:rPr>
        <w:rFonts w:ascii="C39T30Lfz" w:hAnsi="C39T30Lfz"/>
        <w:sz w:val="56"/>
      </w:rPr>
      <w:t></w:t>
    </w:r>
    <w:r w:rsidRPr="00786D88">
      <w:rPr>
        <w:rFonts w:ascii="C39T30Lfz" w:hAnsi="C39T30Lfz"/>
        <w:sz w:val="56"/>
      </w:rPr>
      <w:t></w:t>
    </w:r>
    <w:r w:rsidRPr="00786D88">
      <w:rPr>
        <w:rFonts w:ascii="C39T30Lfz" w:hAnsi="C39T30Lfz"/>
        <w:sz w:val="56"/>
      </w:rPr>
      <w:t></w:t>
    </w:r>
    <w:r w:rsidRPr="00786D88">
      <w:rPr>
        <w:rFonts w:ascii="C39T30Lfz" w:hAnsi="C39T30Lfz"/>
        <w:sz w:val="56"/>
      </w:rPr>
      <w:t></w:t>
    </w:r>
    <w:r w:rsidRPr="00786D88">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2" name="Image 1" descr="https://undocs.org/m2/QRCode.ashx?DS=CERD/C/ZMB/17-19&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RD/C/ZMB/17-19&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6D88" w:rsidRPr="00AC3823" w:rsidRDefault="00786D88" w:rsidP="00AC3823">
      <w:pPr>
        <w:pStyle w:val="Pieddepage"/>
        <w:tabs>
          <w:tab w:val="right" w:pos="2155"/>
        </w:tabs>
        <w:spacing w:after="80" w:line="240" w:lineRule="atLeast"/>
        <w:ind w:left="680"/>
        <w:rPr>
          <w:u w:val="single"/>
        </w:rPr>
      </w:pPr>
      <w:r>
        <w:rPr>
          <w:u w:val="single"/>
        </w:rPr>
        <w:tab/>
      </w:r>
    </w:p>
  </w:footnote>
  <w:footnote w:type="continuationSeparator" w:id="0">
    <w:p w:rsidR="00786D88" w:rsidRPr="00AC3823" w:rsidRDefault="00786D88" w:rsidP="00AC3823">
      <w:pPr>
        <w:pStyle w:val="Pieddepage"/>
        <w:tabs>
          <w:tab w:val="right" w:pos="2155"/>
        </w:tabs>
        <w:spacing w:after="80" w:line="240" w:lineRule="atLeast"/>
        <w:ind w:left="680"/>
        <w:rPr>
          <w:u w:val="single"/>
        </w:rPr>
      </w:pPr>
      <w:r>
        <w:rPr>
          <w:u w:val="single"/>
        </w:rPr>
        <w:tab/>
      </w:r>
    </w:p>
  </w:footnote>
  <w:footnote w:type="continuationNotice" w:id="1">
    <w:p w:rsidR="00786D88" w:rsidRPr="00AC3823" w:rsidRDefault="00786D88">
      <w:pPr>
        <w:spacing w:line="240" w:lineRule="auto"/>
        <w:rPr>
          <w:sz w:val="2"/>
          <w:szCs w:val="2"/>
        </w:rPr>
      </w:pPr>
    </w:p>
  </w:footnote>
  <w:footnote w:id="2">
    <w:p w:rsidR="00786D88" w:rsidRPr="00786D88" w:rsidRDefault="00786D88">
      <w:pPr>
        <w:pStyle w:val="Notedebasdepage"/>
      </w:pPr>
      <w:r>
        <w:rPr>
          <w:rStyle w:val="Appelnotedebasdep"/>
        </w:rPr>
        <w:tab/>
      </w:r>
      <w:r w:rsidRPr="00786D88">
        <w:rPr>
          <w:rStyle w:val="Appelnotedebasdep"/>
          <w:sz w:val="20"/>
          <w:vertAlign w:val="baseline"/>
        </w:rPr>
        <w:t>*</w:t>
      </w:r>
      <w:r>
        <w:rPr>
          <w:rStyle w:val="Appelnotedebasdep"/>
          <w:sz w:val="20"/>
          <w:vertAlign w:val="baseline"/>
        </w:rPr>
        <w:tab/>
      </w:r>
      <w:r w:rsidRPr="00C07083">
        <w:rPr>
          <w:lang w:val="fr-FR"/>
        </w:rPr>
        <w:t>La version originale du présent document n’a pas été revue par les services d’édition.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6D88" w:rsidRPr="00786D88" w:rsidRDefault="00786D88">
    <w:pPr>
      <w:pStyle w:val="En-tte"/>
    </w:pPr>
    <w:fldSimple w:instr=" TITLE  \* MERGEFORMAT ">
      <w:r w:rsidR="002A2548">
        <w:t>CERD/C/ZMB/17-19</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6D88" w:rsidRPr="00786D88" w:rsidRDefault="00786D88" w:rsidP="00786D88">
    <w:pPr>
      <w:pStyle w:val="En-tte"/>
      <w:jc w:val="right"/>
    </w:pPr>
    <w:fldSimple w:instr=" TITLE  \* MERGEFORMAT ">
      <w:r w:rsidR="002A2548">
        <w:t>CERD/C/ZMB/17-19</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54887"/>
    <w:multiLevelType w:val="hybridMultilevel"/>
    <w:tmpl w:val="B34CE6D4"/>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16394779"/>
    <w:multiLevelType w:val="hybridMultilevel"/>
    <w:tmpl w:val="64B02804"/>
    <w:lvl w:ilvl="0" w:tplc="0809000F">
      <w:start w:val="1"/>
      <w:numFmt w:val="decimal"/>
      <w:lvlText w:val="%1."/>
      <w:lvlJc w:val="left"/>
      <w:pPr>
        <w:ind w:left="1854" w:hanging="360"/>
      </w:pPr>
      <w:rPr>
        <w:rFonts w:cs="Times New Roman"/>
      </w:rPr>
    </w:lvl>
    <w:lvl w:ilvl="1" w:tplc="08090019" w:tentative="1">
      <w:start w:val="1"/>
      <w:numFmt w:val="lowerLetter"/>
      <w:lvlText w:val="%2."/>
      <w:lvlJc w:val="left"/>
      <w:pPr>
        <w:ind w:left="2574" w:hanging="360"/>
      </w:pPr>
      <w:rPr>
        <w:rFonts w:cs="Times New Roman"/>
      </w:rPr>
    </w:lvl>
    <w:lvl w:ilvl="2" w:tplc="0809001B" w:tentative="1">
      <w:start w:val="1"/>
      <w:numFmt w:val="lowerRoman"/>
      <w:lvlText w:val="%3."/>
      <w:lvlJc w:val="right"/>
      <w:pPr>
        <w:ind w:left="3294" w:hanging="180"/>
      </w:pPr>
      <w:rPr>
        <w:rFonts w:cs="Times New Roman"/>
      </w:rPr>
    </w:lvl>
    <w:lvl w:ilvl="3" w:tplc="0809000F" w:tentative="1">
      <w:start w:val="1"/>
      <w:numFmt w:val="decimal"/>
      <w:lvlText w:val="%4."/>
      <w:lvlJc w:val="left"/>
      <w:pPr>
        <w:ind w:left="4014" w:hanging="360"/>
      </w:pPr>
      <w:rPr>
        <w:rFonts w:cs="Times New Roman"/>
      </w:rPr>
    </w:lvl>
    <w:lvl w:ilvl="4" w:tplc="08090019" w:tentative="1">
      <w:start w:val="1"/>
      <w:numFmt w:val="lowerLetter"/>
      <w:lvlText w:val="%5."/>
      <w:lvlJc w:val="left"/>
      <w:pPr>
        <w:ind w:left="4734" w:hanging="360"/>
      </w:pPr>
      <w:rPr>
        <w:rFonts w:cs="Times New Roman"/>
      </w:rPr>
    </w:lvl>
    <w:lvl w:ilvl="5" w:tplc="0809001B" w:tentative="1">
      <w:start w:val="1"/>
      <w:numFmt w:val="lowerRoman"/>
      <w:lvlText w:val="%6."/>
      <w:lvlJc w:val="right"/>
      <w:pPr>
        <w:ind w:left="5454" w:hanging="180"/>
      </w:pPr>
      <w:rPr>
        <w:rFonts w:cs="Times New Roman"/>
      </w:rPr>
    </w:lvl>
    <w:lvl w:ilvl="6" w:tplc="0809000F" w:tentative="1">
      <w:start w:val="1"/>
      <w:numFmt w:val="decimal"/>
      <w:lvlText w:val="%7."/>
      <w:lvlJc w:val="left"/>
      <w:pPr>
        <w:ind w:left="6174" w:hanging="360"/>
      </w:pPr>
      <w:rPr>
        <w:rFonts w:cs="Times New Roman"/>
      </w:rPr>
    </w:lvl>
    <w:lvl w:ilvl="7" w:tplc="08090019" w:tentative="1">
      <w:start w:val="1"/>
      <w:numFmt w:val="lowerLetter"/>
      <w:lvlText w:val="%8."/>
      <w:lvlJc w:val="left"/>
      <w:pPr>
        <w:ind w:left="6894" w:hanging="360"/>
      </w:pPr>
      <w:rPr>
        <w:rFonts w:cs="Times New Roman"/>
      </w:rPr>
    </w:lvl>
    <w:lvl w:ilvl="8" w:tplc="0809001B" w:tentative="1">
      <w:start w:val="1"/>
      <w:numFmt w:val="lowerRoman"/>
      <w:lvlText w:val="%9."/>
      <w:lvlJc w:val="right"/>
      <w:pPr>
        <w:ind w:left="7614" w:hanging="180"/>
      </w:pPr>
      <w:rPr>
        <w:rFonts w:cs="Times New Roman"/>
      </w:rPr>
    </w:lvl>
  </w:abstractNum>
  <w:abstractNum w:abstractNumId="2" w15:restartNumberingAfterBreak="0">
    <w:nsid w:val="3ACF4EB2"/>
    <w:multiLevelType w:val="hybridMultilevel"/>
    <w:tmpl w:val="6D84B90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3" w15:restartNumberingAfterBreak="0">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4" w15:restartNumberingAfterBreak="0">
    <w:nsid w:val="687512E3"/>
    <w:multiLevelType w:val="hybridMultilevel"/>
    <w:tmpl w:val="5F70C7BE"/>
    <w:lvl w:ilvl="0" w:tplc="0809000F">
      <w:start w:val="1"/>
      <w:numFmt w:val="decimal"/>
      <w:lvlText w:val="%1."/>
      <w:lvlJc w:val="left"/>
      <w:pPr>
        <w:ind w:left="1854" w:hanging="360"/>
      </w:pPr>
      <w:rPr>
        <w:rFonts w:cs="Times New Roman"/>
      </w:rPr>
    </w:lvl>
    <w:lvl w:ilvl="1" w:tplc="08090019" w:tentative="1">
      <w:start w:val="1"/>
      <w:numFmt w:val="lowerLetter"/>
      <w:lvlText w:val="%2."/>
      <w:lvlJc w:val="left"/>
      <w:pPr>
        <w:ind w:left="2574" w:hanging="360"/>
      </w:pPr>
      <w:rPr>
        <w:rFonts w:cs="Times New Roman"/>
      </w:rPr>
    </w:lvl>
    <w:lvl w:ilvl="2" w:tplc="0809001B" w:tentative="1">
      <w:start w:val="1"/>
      <w:numFmt w:val="lowerRoman"/>
      <w:lvlText w:val="%3."/>
      <w:lvlJc w:val="right"/>
      <w:pPr>
        <w:ind w:left="3294" w:hanging="180"/>
      </w:pPr>
      <w:rPr>
        <w:rFonts w:cs="Times New Roman"/>
      </w:rPr>
    </w:lvl>
    <w:lvl w:ilvl="3" w:tplc="0809000F" w:tentative="1">
      <w:start w:val="1"/>
      <w:numFmt w:val="decimal"/>
      <w:lvlText w:val="%4."/>
      <w:lvlJc w:val="left"/>
      <w:pPr>
        <w:ind w:left="4014" w:hanging="360"/>
      </w:pPr>
      <w:rPr>
        <w:rFonts w:cs="Times New Roman"/>
      </w:rPr>
    </w:lvl>
    <w:lvl w:ilvl="4" w:tplc="08090019" w:tentative="1">
      <w:start w:val="1"/>
      <w:numFmt w:val="lowerLetter"/>
      <w:lvlText w:val="%5."/>
      <w:lvlJc w:val="left"/>
      <w:pPr>
        <w:ind w:left="4734" w:hanging="360"/>
      </w:pPr>
      <w:rPr>
        <w:rFonts w:cs="Times New Roman"/>
      </w:rPr>
    </w:lvl>
    <w:lvl w:ilvl="5" w:tplc="0809001B" w:tentative="1">
      <w:start w:val="1"/>
      <w:numFmt w:val="lowerRoman"/>
      <w:lvlText w:val="%6."/>
      <w:lvlJc w:val="right"/>
      <w:pPr>
        <w:ind w:left="5454" w:hanging="180"/>
      </w:pPr>
      <w:rPr>
        <w:rFonts w:cs="Times New Roman"/>
      </w:rPr>
    </w:lvl>
    <w:lvl w:ilvl="6" w:tplc="0809000F" w:tentative="1">
      <w:start w:val="1"/>
      <w:numFmt w:val="decimal"/>
      <w:lvlText w:val="%7."/>
      <w:lvlJc w:val="left"/>
      <w:pPr>
        <w:ind w:left="6174" w:hanging="360"/>
      </w:pPr>
      <w:rPr>
        <w:rFonts w:cs="Times New Roman"/>
      </w:rPr>
    </w:lvl>
    <w:lvl w:ilvl="7" w:tplc="08090019" w:tentative="1">
      <w:start w:val="1"/>
      <w:numFmt w:val="lowerLetter"/>
      <w:lvlText w:val="%8."/>
      <w:lvlJc w:val="left"/>
      <w:pPr>
        <w:ind w:left="6894" w:hanging="360"/>
      </w:pPr>
      <w:rPr>
        <w:rFonts w:cs="Times New Roman"/>
      </w:rPr>
    </w:lvl>
    <w:lvl w:ilvl="8" w:tplc="0809001B" w:tentative="1">
      <w:start w:val="1"/>
      <w:numFmt w:val="lowerRoman"/>
      <w:lvlText w:val="%9."/>
      <w:lvlJc w:val="right"/>
      <w:pPr>
        <w:ind w:left="7614" w:hanging="180"/>
      </w:pPr>
      <w:rPr>
        <w:rFonts w:cs="Times New Roman"/>
      </w:rPr>
    </w:lvl>
  </w:abstractNum>
  <w:abstractNum w:abstractNumId="5" w15:restartNumberingAfterBreak="0">
    <w:nsid w:val="68AD07B2"/>
    <w:multiLevelType w:val="hybridMultilevel"/>
    <w:tmpl w:val="631A52E4"/>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5"/>
  </w:num>
  <w:num w:numId="2">
    <w:abstractNumId w:val="2"/>
  </w:num>
  <w:num w:numId="3">
    <w:abstractNumId w:val="0"/>
  </w:num>
  <w:num w:numId="4">
    <w:abstractNumId w:val="3"/>
  </w:num>
  <w:num w:numId="5">
    <w:abstractNumId w:val="1"/>
  </w:num>
  <w:num w:numId="6">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isplayBackgroundShape/>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203"/>
    <w:rsid w:val="00017F94"/>
    <w:rsid w:val="00023842"/>
    <w:rsid w:val="000334F9"/>
    <w:rsid w:val="0007796D"/>
    <w:rsid w:val="000B7790"/>
    <w:rsid w:val="000C4EE3"/>
    <w:rsid w:val="00111F2F"/>
    <w:rsid w:val="00136A5E"/>
    <w:rsid w:val="0014365E"/>
    <w:rsid w:val="00176178"/>
    <w:rsid w:val="001F525A"/>
    <w:rsid w:val="00215BEC"/>
    <w:rsid w:val="00223272"/>
    <w:rsid w:val="0024779E"/>
    <w:rsid w:val="00274CD5"/>
    <w:rsid w:val="002A2548"/>
    <w:rsid w:val="003950E6"/>
    <w:rsid w:val="003E029B"/>
    <w:rsid w:val="00446FE5"/>
    <w:rsid w:val="00452396"/>
    <w:rsid w:val="004F094E"/>
    <w:rsid w:val="005505B7"/>
    <w:rsid w:val="00573BE5"/>
    <w:rsid w:val="00586ED3"/>
    <w:rsid w:val="00596AA9"/>
    <w:rsid w:val="00623CA8"/>
    <w:rsid w:val="006832EA"/>
    <w:rsid w:val="00712E6E"/>
    <w:rsid w:val="0071601D"/>
    <w:rsid w:val="00717A51"/>
    <w:rsid w:val="00780585"/>
    <w:rsid w:val="00783E9F"/>
    <w:rsid w:val="00786D88"/>
    <w:rsid w:val="007A62E6"/>
    <w:rsid w:val="007F7D90"/>
    <w:rsid w:val="0080684C"/>
    <w:rsid w:val="00871C75"/>
    <w:rsid w:val="008776DC"/>
    <w:rsid w:val="009705C8"/>
    <w:rsid w:val="00984B29"/>
    <w:rsid w:val="009D5F1A"/>
    <w:rsid w:val="00A30353"/>
    <w:rsid w:val="00AC3823"/>
    <w:rsid w:val="00AE323C"/>
    <w:rsid w:val="00AE3BFD"/>
    <w:rsid w:val="00B00181"/>
    <w:rsid w:val="00B765F7"/>
    <w:rsid w:val="00B96389"/>
    <w:rsid w:val="00BA0CA9"/>
    <w:rsid w:val="00BB0B66"/>
    <w:rsid w:val="00C015C6"/>
    <w:rsid w:val="00C02897"/>
    <w:rsid w:val="00CA6B10"/>
    <w:rsid w:val="00CB16CF"/>
    <w:rsid w:val="00D3439C"/>
    <w:rsid w:val="00D759F4"/>
    <w:rsid w:val="00DB1831"/>
    <w:rsid w:val="00DB33B8"/>
    <w:rsid w:val="00DC0149"/>
    <w:rsid w:val="00DC5A77"/>
    <w:rsid w:val="00DD3BFD"/>
    <w:rsid w:val="00DF6678"/>
    <w:rsid w:val="00F660DF"/>
    <w:rsid w:val="00F94203"/>
    <w:rsid w:val="00F95C08"/>
    <w:rsid w:val="00FA7077"/>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A6AA9F4"/>
  <w15:docId w15:val="{51E93ECB-DFA8-450D-8E71-0CEE18597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F094E"/>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uiPriority w:val="9"/>
    <w:qFormat/>
    <w:rsid w:val="004F094E"/>
    <w:pPr>
      <w:keepNext/>
      <w:keepLines/>
      <w:spacing w:after="0" w:line="240" w:lineRule="auto"/>
      <w:ind w:right="0"/>
      <w:jc w:val="left"/>
      <w:outlineLvl w:val="0"/>
    </w:pPr>
  </w:style>
  <w:style w:type="paragraph" w:styleId="Titre2">
    <w:name w:val="heading 2"/>
    <w:basedOn w:val="Normal"/>
    <w:next w:val="Normal"/>
    <w:link w:val="Titre2Car"/>
    <w:qFormat/>
    <w:rsid w:val="00023842"/>
    <w:pPr>
      <w:outlineLvl w:val="1"/>
    </w:pPr>
  </w:style>
  <w:style w:type="paragraph" w:styleId="Titre3">
    <w:name w:val="heading 3"/>
    <w:basedOn w:val="Normal"/>
    <w:next w:val="Normal"/>
    <w:link w:val="Titre3Car"/>
    <w:uiPriority w:val="9"/>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uiPriority w:val="9"/>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4F094E"/>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4F094E"/>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uiPriority w:val="99"/>
    <w:qFormat/>
    <w:rsid w:val="004F094E"/>
    <w:pPr>
      <w:spacing w:line="240" w:lineRule="auto"/>
    </w:pPr>
    <w:rPr>
      <w:sz w:val="16"/>
    </w:rPr>
  </w:style>
  <w:style w:type="character" w:customStyle="1" w:styleId="PieddepageCar">
    <w:name w:val="Pied de page Car"/>
    <w:aliases w:val="3_G Car"/>
    <w:basedOn w:val="Policepardfaut"/>
    <w:link w:val="Pieddepage"/>
    <w:uiPriority w:val="99"/>
    <w:rsid w:val="004F094E"/>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F094E"/>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4F094E"/>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4F094E"/>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F094E"/>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F094E"/>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F094E"/>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4F094E"/>
    <w:pPr>
      <w:spacing w:after="120"/>
      <w:ind w:left="1134" w:right="1134"/>
      <w:jc w:val="both"/>
    </w:pPr>
  </w:style>
  <w:style w:type="paragraph" w:customStyle="1" w:styleId="SLG">
    <w:name w:val="__S_L_G"/>
    <w:basedOn w:val="Normal"/>
    <w:next w:val="Normal"/>
    <w:rsid w:val="004F094E"/>
    <w:pPr>
      <w:keepNext/>
      <w:keepLines/>
      <w:spacing w:before="240" w:after="240" w:line="580" w:lineRule="exact"/>
      <w:ind w:left="1134" w:right="1134"/>
    </w:pPr>
    <w:rPr>
      <w:b/>
      <w:sz w:val="56"/>
    </w:rPr>
  </w:style>
  <w:style w:type="paragraph" w:customStyle="1" w:styleId="SMG">
    <w:name w:val="__S_M_G"/>
    <w:basedOn w:val="Normal"/>
    <w:next w:val="Normal"/>
    <w:rsid w:val="004F094E"/>
    <w:pPr>
      <w:keepNext/>
      <w:keepLines/>
      <w:spacing w:before="240" w:after="240" w:line="420" w:lineRule="exact"/>
      <w:ind w:left="1134" w:right="1134"/>
    </w:pPr>
    <w:rPr>
      <w:b/>
      <w:sz w:val="40"/>
    </w:rPr>
  </w:style>
  <w:style w:type="paragraph" w:customStyle="1" w:styleId="SSG">
    <w:name w:val="__S_S_G"/>
    <w:basedOn w:val="Normal"/>
    <w:next w:val="Normal"/>
    <w:rsid w:val="004F094E"/>
    <w:pPr>
      <w:keepNext/>
      <w:keepLines/>
      <w:spacing w:before="240" w:after="240" w:line="300" w:lineRule="exact"/>
      <w:ind w:left="1134" w:right="1134"/>
    </w:pPr>
    <w:rPr>
      <w:b/>
      <w:sz w:val="28"/>
    </w:rPr>
  </w:style>
  <w:style w:type="paragraph" w:customStyle="1" w:styleId="XLargeG">
    <w:name w:val="__XLarge_G"/>
    <w:basedOn w:val="Normal"/>
    <w:next w:val="Normal"/>
    <w:rsid w:val="004F094E"/>
    <w:pPr>
      <w:keepNext/>
      <w:keepLines/>
      <w:spacing w:before="240" w:after="240" w:line="420" w:lineRule="exact"/>
      <w:ind w:left="1134" w:right="1134"/>
    </w:pPr>
    <w:rPr>
      <w:b/>
      <w:sz w:val="40"/>
    </w:rPr>
  </w:style>
  <w:style w:type="paragraph" w:customStyle="1" w:styleId="Bullet1G">
    <w:name w:val="_Bullet 1_G"/>
    <w:basedOn w:val="Normal"/>
    <w:qFormat/>
    <w:rsid w:val="004F094E"/>
    <w:pPr>
      <w:numPr>
        <w:numId w:val="1"/>
      </w:numPr>
      <w:spacing w:after="120"/>
      <w:ind w:right="1134"/>
      <w:jc w:val="both"/>
    </w:pPr>
  </w:style>
  <w:style w:type="paragraph" w:customStyle="1" w:styleId="Bullet2G">
    <w:name w:val="_Bullet 2_G"/>
    <w:basedOn w:val="Normal"/>
    <w:qFormat/>
    <w:rsid w:val="004F094E"/>
    <w:pPr>
      <w:numPr>
        <w:numId w:val="2"/>
      </w:numPr>
      <w:spacing w:after="120"/>
      <w:ind w:right="1134"/>
      <w:jc w:val="both"/>
    </w:pPr>
  </w:style>
  <w:style w:type="paragraph" w:customStyle="1" w:styleId="ParNoG">
    <w:name w:val="_ParNo_G"/>
    <w:basedOn w:val="Normal"/>
    <w:qFormat/>
    <w:rsid w:val="004F094E"/>
    <w:pPr>
      <w:numPr>
        <w:numId w:val="3"/>
      </w:numPr>
      <w:tabs>
        <w:tab w:val="clear" w:pos="1701"/>
      </w:tabs>
      <w:spacing w:after="120"/>
      <w:ind w:right="1134"/>
      <w:jc w:val="both"/>
    </w:pPr>
  </w:style>
  <w:style w:type="character" w:styleId="Appelnotedebasdep">
    <w:name w:val="footnote reference"/>
    <w:aliases w:val="4_G"/>
    <w:basedOn w:val="Policepardfaut"/>
    <w:qFormat/>
    <w:rsid w:val="004F094E"/>
    <w:rPr>
      <w:rFonts w:ascii="Times New Roman" w:hAnsi="Times New Roman"/>
      <w:sz w:val="18"/>
      <w:vertAlign w:val="superscript"/>
      <w:lang w:val="fr-CH"/>
    </w:rPr>
  </w:style>
  <w:style w:type="character" w:styleId="Appeldenotedefin">
    <w:name w:val="endnote reference"/>
    <w:aliases w:val="1_G"/>
    <w:basedOn w:val="Appelnotedebasdep"/>
    <w:qFormat/>
    <w:rsid w:val="004F094E"/>
    <w:rPr>
      <w:rFonts w:ascii="Times New Roman" w:hAnsi="Times New Roman"/>
      <w:sz w:val="18"/>
      <w:vertAlign w:val="superscript"/>
      <w:lang w:val="fr-CH"/>
    </w:rPr>
  </w:style>
  <w:style w:type="table" w:styleId="Grilledutableau">
    <w:name w:val="Table Grid"/>
    <w:basedOn w:val="TableauNormal"/>
    <w:rsid w:val="004F094E"/>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iPriority w:val="99"/>
    <w:unhideWhenUsed/>
    <w:rsid w:val="004F094E"/>
    <w:rPr>
      <w:color w:val="0000FF"/>
      <w:u w:val="none"/>
    </w:rPr>
  </w:style>
  <w:style w:type="character" w:styleId="Lienhypertextesuivivisit">
    <w:name w:val="FollowedHyperlink"/>
    <w:basedOn w:val="Policepardfaut"/>
    <w:unhideWhenUsed/>
    <w:rsid w:val="004F094E"/>
    <w:rPr>
      <w:color w:val="0000FF"/>
      <w:u w:val="none"/>
    </w:rPr>
  </w:style>
  <w:style w:type="paragraph" w:styleId="Notedebasdepage">
    <w:name w:val="footnote text"/>
    <w:aliases w:val="5_G"/>
    <w:basedOn w:val="Normal"/>
    <w:link w:val="NotedebasdepageCar"/>
    <w:qFormat/>
    <w:rsid w:val="004F094E"/>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4F094E"/>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4F094E"/>
  </w:style>
  <w:style w:type="character" w:customStyle="1" w:styleId="NotedefinCar">
    <w:name w:val="Note de fin Car"/>
    <w:aliases w:val="2_G Car"/>
    <w:basedOn w:val="Policepardfaut"/>
    <w:link w:val="Notedefin"/>
    <w:rsid w:val="004F094E"/>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4F094E"/>
    <w:rPr>
      <w:rFonts w:ascii="Times New Roman" w:hAnsi="Times New Roman"/>
      <w:b/>
      <w:sz w:val="18"/>
      <w:lang w:val="fr-CH"/>
    </w:rPr>
  </w:style>
  <w:style w:type="character" w:customStyle="1" w:styleId="Titre1Car">
    <w:name w:val="Titre 1 Car"/>
    <w:aliases w:val="Table_G Car"/>
    <w:basedOn w:val="Policepardfaut"/>
    <w:link w:val="Titre1"/>
    <w:uiPriority w:val="9"/>
    <w:rsid w:val="004F094E"/>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uiPriority w:val="9"/>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uiPriority w:val="9"/>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DC014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C0149"/>
    <w:rPr>
      <w:rFonts w:ascii="Tahoma" w:hAnsi="Tahoma" w:cs="Tahoma"/>
      <w:sz w:val="16"/>
      <w:szCs w:val="16"/>
      <w:lang w:eastAsia="en-US"/>
    </w:rPr>
  </w:style>
  <w:style w:type="character" w:customStyle="1" w:styleId="HChGChar">
    <w:name w:val="_ H _Ch_G Char"/>
    <w:link w:val="HChG"/>
    <w:rsid w:val="00780585"/>
    <w:rPr>
      <w:rFonts w:ascii="Times New Roman" w:eastAsiaTheme="minorHAnsi" w:hAnsi="Times New Roman" w:cs="Times New Roman"/>
      <w:b/>
      <w:sz w:val="28"/>
      <w:szCs w:val="20"/>
      <w:lang w:eastAsia="en-US"/>
    </w:rPr>
  </w:style>
  <w:style w:type="character" w:customStyle="1" w:styleId="SingleTxtGChar">
    <w:name w:val="_ Single Txt_G Char"/>
    <w:link w:val="SingleTxtG"/>
    <w:locked/>
    <w:rsid w:val="00780585"/>
    <w:rPr>
      <w:rFonts w:ascii="Times New Roman" w:eastAsiaTheme="minorHAnsi" w:hAnsi="Times New Roman" w:cs="Times New Roman"/>
      <w:sz w:val="20"/>
      <w:szCs w:val="20"/>
      <w:lang w:eastAsia="en-US"/>
    </w:rPr>
  </w:style>
  <w:style w:type="paragraph" w:customStyle="1" w:styleId="MediumShading1-Accent11">
    <w:name w:val="Medium Shading 1 - Accent 11"/>
    <w:link w:val="MediumShading1-Accent1Char"/>
    <w:uiPriority w:val="1"/>
    <w:qFormat/>
    <w:rsid w:val="00786D88"/>
    <w:pPr>
      <w:spacing w:after="0" w:line="240" w:lineRule="auto"/>
    </w:pPr>
    <w:rPr>
      <w:rFonts w:ascii="Calibri" w:eastAsia="Calibri" w:hAnsi="Calibri" w:cs="Times New Roman"/>
      <w:lang w:val="en-US" w:eastAsia="en-US"/>
    </w:rPr>
  </w:style>
  <w:style w:type="character" w:customStyle="1" w:styleId="MediumShading1-Accent1Char">
    <w:name w:val="Medium Shading 1 - Accent 1 Char"/>
    <w:link w:val="MediumShading1-Accent11"/>
    <w:uiPriority w:val="1"/>
    <w:rsid w:val="00786D88"/>
    <w:rPr>
      <w:rFonts w:ascii="Calibri" w:eastAsia="Calibri" w:hAnsi="Calibri" w:cs="Times New Roman"/>
      <w:lang w:val="en-US" w:eastAsia="en-US"/>
    </w:rPr>
  </w:style>
  <w:style w:type="paragraph" w:customStyle="1" w:styleId="MediumGrid1-Accent21">
    <w:name w:val="Medium Grid 1 - Accent 21"/>
    <w:basedOn w:val="Normal"/>
    <w:uiPriority w:val="34"/>
    <w:qFormat/>
    <w:rsid w:val="00786D88"/>
    <w:pPr>
      <w:suppressAutoHyphens w:val="0"/>
      <w:kinsoku/>
      <w:overflowPunct/>
      <w:autoSpaceDE/>
      <w:autoSpaceDN/>
      <w:adjustRightInd/>
      <w:snapToGrid/>
      <w:spacing w:after="240" w:line="240" w:lineRule="auto"/>
      <w:ind w:left="720"/>
    </w:pPr>
    <w:rPr>
      <w:rFonts w:eastAsia="Times New Roman"/>
      <w:sz w:val="24"/>
      <w:lang w:val="en-GB"/>
    </w:rPr>
  </w:style>
  <w:style w:type="character" w:customStyle="1" w:styleId="PlainTable31">
    <w:name w:val="Plain Table 31"/>
    <w:uiPriority w:val="19"/>
    <w:qFormat/>
    <w:rsid w:val="00786D88"/>
    <w:rPr>
      <w:i/>
      <w:iCs/>
      <w:color w:val="808080"/>
    </w:rPr>
  </w:style>
  <w:style w:type="paragraph" w:styleId="PrformatHTML">
    <w:name w:val="HTML Preformatted"/>
    <w:basedOn w:val="Normal"/>
    <w:link w:val="PrformatHTMLCar"/>
    <w:rsid w:val="00786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kinsoku/>
      <w:overflowPunct/>
      <w:autoSpaceDE/>
      <w:autoSpaceDN/>
      <w:adjustRightInd/>
      <w:snapToGrid/>
      <w:spacing w:line="240" w:lineRule="auto"/>
    </w:pPr>
    <w:rPr>
      <w:rFonts w:ascii="Arial Unicode MS" w:eastAsia="Arial Unicode MS" w:hAnsi="Arial Unicode MS"/>
      <w:lang w:val="en-GB"/>
    </w:rPr>
  </w:style>
  <w:style w:type="character" w:customStyle="1" w:styleId="PrformatHTMLCar">
    <w:name w:val="Préformaté HTML Car"/>
    <w:basedOn w:val="Policepardfaut"/>
    <w:link w:val="PrformatHTML"/>
    <w:rsid w:val="00786D88"/>
    <w:rPr>
      <w:rFonts w:ascii="Arial Unicode MS" w:eastAsia="Arial Unicode MS" w:hAnsi="Arial Unicode MS" w:cs="Times New Roman"/>
      <w:sz w:val="20"/>
      <w:szCs w:val="20"/>
      <w:lang w:val="en-GB" w:eastAsia="en-US"/>
    </w:rPr>
  </w:style>
  <w:style w:type="paragraph" w:styleId="Corpsdetexte2">
    <w:name w:val="Body Text 2"/>
    <w:basedOn w:val="Normal"/>
    <w:link w:val="Corpsdetexte2Car"/>
    <w:rsid w:val="00786D88"/>
    <w:pPr>
      <w:suppressAutoHyphens w:val="0"/>
      <w:kinsoku/>
      <w:overflowPunct/>
      <w:autoSpaceDE/>
      <w:autoSpaceDN/>
      <w:adjustRightInd/>
      <w:snapToGrid/>
      <w:spacing w:after="120" w:line="480" w:lineRule="auto"/>
    </w:pPr>
    <w:rPr>
      <w:rFonts w:eastAsia="Times New Roman"/>
      <w:lang w:val="en-GB"/>
    </w:rPr>
  </w:style>
  <w:style w:type="character" w:customStyle="1" w:styleId="Corpsdetexte2Car">
    <w:name w:val="Corps de texte 2 Car"/>
    <w:basedOn w:val="Policepardfaut"/>
    <w:link w:val="Corpsdetexte2"/>
    <w:rsid w:val="00786D88"/>
    <w:rPr>
      <w:rFonts w:ascii="Times New Roman" w:hAnsi="Times New Roman" w:cs="Times New Roman"/>
      <w:sz w:val="20"/>
      <w:szCs w:val="20"/>
      <w:lang w:val="en-GB" w:eastAsia="en-US"/>
    </w:rPr>
  </w:style>
  <w:style w:type="paragraph" w:styleId="NormalWeb">
    <w:name w:val="Normal (Web)"/>
    <w:basedOn w:val="Normal"/>
    <w:uiPriority w:val="99"/>
    <w:unhideWhenUsed/>
    <w:rsid w:val="00786D88"/>
    <w:pPr>
      <w:suppressAutoHyphens w:val="0"/>
      <w:kinsoku/>
      <w:overflowPunct/>
      <w:autoSpaceDE/>
      <w:autoSpaceDN/>
      <w:adjustRightInd/>
      <w:snapToGrid/>
      <w:spacing w:before="100" w:beforeAutospacing="1" w:after="100" w:afterAutospacing="1" w:line="240" w:lineRule="auto"/>
    </w:pPr>
    <w:rPr>
      <w:rFonts w:ascii="Verdana" w:eastAsia="Times New Roman" w:hAnsi="Verdana"/>
      <w:color w:val="555555"/>
      <w:sz w:val="17"/>
      <w:szCs w:val="17"/>
      <w:lang w:val="en-GB" w:eastAsia="en-GB"/>
    </w:rPr>
  </w:style>
  <w:style w:type="paragraph" w:styleId="Corpsdetexte">
    <w:name w:val="Body Text"/>
    <w:basedOn w:val="Normal"/>
    <w:link w:val="CorpsdetexteCar"/>
    <w:uiPriority w:val="99"/>
    <w:semiHidden/>
    <w:unhideWhenUsed/>
    <w:rsid w:val="00786D88"/>
    <w:pPr>
      <w:suppressAutoHyphens w:val="0"/>
      <w:kinsoku/>
      <w:overflowPunct/>
      <w:autoSpaceDE/>
      <w:autoSpaceDN/>
      <w:adjustRightInd/>
      <w:snapToGrid/>
      <w:spacing w:after="120" w:line="240" w:lineRule="auto"/>
    </w:pPr>
    <w:rPr>
      <w:rFonts w:eastAsia="Times New Roman"/>
      <w:sz w:val="24"/>
      <w:lang w:val="en-GB"/>
    </w:rPr>
  </w:style>
  <w:style w:type="character" w:customStyle="1" w:styleId="CorpsdetexteCar">
    <w:name w:val="Corps de texte Car"/>
    <w:basedOn w:val="Policepardfaut"/>
    <w:link w:val="Corpsdetexte"/>
    <w:uiPriority w:val="99"/>
    <w:semiHidden/>
    <w:rsid w:val="00786D88"/>
    <w:rPr>
      <w:rFonts w:ascii="Times New Roman" w:hAnsi="Times New Roman" w:cs="Times New Roman"/>
      <w:sz w:val="24"/>
      <w:szCs w:val="20"/>
      <w:lang w:val="en-GB" w:eastAsia="en-US"/>
    </w:rPr>
  </w:style>
  <w:style w:type="character" w:customStyle="1" w:styleId="fcimgh">
    <w:name w:val="fcimgh"/>
    <w:basedOn w:val="Policepardfaut"/>
    <w:rsid w:val="00786D88"/>
  </w:style>
  <w:style w:type="character" w:customStyle="1" w:styleId="sltnc">
    <w:name w:val="sltnc"/>
    <w:basedOn w:val="Policepardfaut"/>
    <w:rsid w:val="00786D88"/>
  </w:style>
  <w:style w:type="character" w:customStyle="1" w:styleId="slbnc">
    <w:name w:val="slbnc"/>
    <w:basedOn w:val="Policepardfaut"/>
    <w:rsid w:val="00786D88"/>
  </w:style>
  <w:style w:type="character" w:customStyle="1" w:styleId="sldl">
    <w:name w:val="sldl"/>
    <w:basedOn w:val="Policepardfaut"/>
    <w:rsid w:val="00786D88"/>
  </w:style>
  <w:style w:type="character" w:customStyle="1" w:styleId="pg">
    <w:name w:val="pg"/>
    <w:basedOn w:val="Policepardfaut"/>
    <w:rsid w:val="00786D88"/>
  </w:style>
  <w:style w:type="character" w:customStyle="1" w:styleId="hwc">
    <w:name w:val="hwc"/>
    <w:basedOn w:val="Policepardfaut"/>
    <w:rsid w:val="00786D88"/>
  </w:style>
  <w:style w:type="character" w:customStyle="1" w:styleId="definition">
    <w:name w:val="definition"/>
    <w:basedOn w:val="Policepardfaut"/>
    <w:rsid w:val="00786D88"/>
  </w:style>
  <w:style w:type="paragraph" w:styleId="Commentaire">
    <w:name w:val="annotation text"/>
    <w:basedOn w:val="Normal"/>
    <w:link w:val="CommentaireCar"/>
    <w:uiPriority w:val="99"/>
    <w:semiHidden/>
    <w:unhideWhenUsed/>
    <w:rsid w:val="00786D88"/>
    <w:pPr>
      <w:suppressAutoHyphens w:val="0"/>
      <w:kinsoku/>
      <w:overflowPunct/>
      <w:autoSpaceDE/>
      <w:autoSpaceDN/>
      <w:adjustRightInd/>
      <w:snapToGrid/>
      <w:spacing w:after="240" w:line="240" w:lineRule="auto"/>
    </w:pPr>
    <w:rPr>
      <w:rFonts w:eastAsia="Times New Roman"/>
      <w:lang w:val="en-GB"/>
    </w:rPr>
  </w:style>
  <w:style w:type="character" w:customStyle="1" w:styleId="CommentaireCar">
    <w:name w:val="Commentaire Car"/>
    <w:basedOn w:val="Policepardfaut"/>
    <w:link w:val="Commentaire"/>
    <w:uiPriority w:val="99"/>
    <w:semiHidden/>
    <w:rsid w:val="00786D88"/>
    <w:rPr>
      <w:rFonts w:ascii="Times New Roman" w:hAnsi="Times New Roman" w:cs="Times New Roman"/>
      <w:sz w:val="20"/>
      <w:szCs w:val="20"/>
      <w:lang w:val="en-GB" w:eastAsia="en-US"/>
    </w:rPr>
  </w:style>
  <w:style w:type="character" w:customStyle="1" w:styleId="ObjetducommentaireCar">
    <w:name w:val="Objet du commentaire Car"/>
    <w:basedOn w:val="CommentaireCar"/>
    <w:link w:val="Objetducommentaire"/>
    <w:uiPriority w:val="99"/>
    <w:semiHidden/>
    <w:rsid w:val="00786D88"/>
    <w:rPr>
      <w:rFonts w:ascii="Times New Roman" w:hAnsi="Times New Roman" w:cs="Times New Roman"/>
      <w:b/>
      <w:bCs/>
      <w:sz w:val="20"/>
      <w:szCs w:val="20"/>
      <w:lang w:val="en-GB" w:eastAsia="en-US"/>
    </w:rPr>
  </w:style>
  <w:style w:type="paragraph" w:styleId="Objetducommentaire">
    <w:name w:val="annotation subject"/>
    <w:basedOn w:val="Commentaire"/>
    <w:next w:val="Commentaire"/>
    <w:link w:val="ObjetducommentaireCar"/>
    <w:uiPriority w:val="99"/>
    <w:semiHidden/>
    <w:unhideWhenUsed/>
    <w:rsid w:val="00786D88"/>
    <w:rPr>
      <w:b/>
      <w:bCs/>
    </w:rPr>
  </w:style>
  <w:style w:type="character" w:customStyle="1" w:styleId="ObjetducommentaireCar1">
    <w:name w:val="Objet du commentaire Car1"/>
    <w:basedOn w:val="CommentaireCar"/>
    <w:uiPriority w:val="99"/>
    <w:semiHidden/>
    <w:rsid w:val="00786D88"/>
    <w:rPr>
      <w:rFonts w:ascii="Times New Roman" w:hAnsi="Times New Roman" w:cs="Times New Roman"/>
      <w:b/>
      <w:bCs/>
      <w:sz w:val="20"/>
      <w:szCs w:val="20"/>
      <w:lang w:val="en-GB" w:eastAsia="en-US"/>
    </w:rPr>
  </w:style>
  <w:style w:type="paragraph" w:customStyle="1" w:styleId="ParaNo">
    <w:name w:val="ParaNo."/>
    <w:basedOn w:val="Normal"/>
    <w:rsid w:val="00786D88"/>
    <w:pPr>
      <w:numPr>
        <w:numId w:val="4"/>
      </w:numPr>
      <w:tabs>
        <w:tab w:val="clear" w:pos="360"/>
        <w:tab w:val="left" w:pos="737"/>
      </w:tabs>
      <w:suppressAutoHyphens w:val="0"/>
      <w:kinsoku/>
      <w:overflowPunct/>
      <w:autoSpaceDE/>
      <w:autoSpaceDN/>
      <w:adjustRightInd/>
      <w:snapToGrid/>
      <w:spacing w:after="240" w:line="240" w:lineRule="auto"/>
    </w:pPr>
    <w:rPr>
      <w:rFonts w:eastAsia="Times New Roman"/>
      <w:sz w:val="24"/>
    </w:rPr>
  </w:style>
  <w:style w:type="character" w:customStyle="1" w:styleId="ExplorateurdedocumentsCar">
    <w:name w:val="Explorateur de documents Car"/>
    <w:basedOn w:val="Policepardfaut"/>
    <w:link w:val="Explorateurdedocuments"/>
    <w:uiPriority w:val="99"/>
    <w:semiHidden/>
    <w:rsid w:val="00786D88"/>
    <w:rPr>
      <w:sz w:val="24"/>
      <w:szCs w:val="24"/>
      <w:lang w:val="en-GB" w:eastAsia="en-US"/>
    </w:rPr>
  </w:style>
  <w:style w:type="paragraph" w:styleId="Explorateurdedocuments">
    <w:name w:val="Document Map"/>
    <w:basedOn w:val="Normal"/>
    <w:link w:val="ExplorateurdedocumentsCar"/>
    <w:uiPriority w:val="99"/>
    <w:semiHidden/>
    <w:unhideWhenUsed/>
    <w:rsid w:val="00786D88"/>
    <w:pPr>
      <w:suppressAutoHyphens w:val="0"/>
      <w:kinsoku/>
      <w:overflowPunct/>
      <w:autoSpaceDE/>
      <w:autoSpaceDN/>
      <w:adjustRightInd/>
      <w:snapToGrid/>
      <w:spacing w:after="240" w:line="240" w:lineRule="auto"/>
    </w:pPr>
    <w:rPr>
      <w:rFonts w:asciiTheme="minorHAnsi" w:eastAsia="Times New Roman" w:hAnsiTheme="minorHAnsi" w:cstheme="minorBidi"/>
      <w:sz w:val="24"/>
      <w:szCs w:val="24"/>
      <w:lang w:val="en-GB"/>
    </w:rPr>
  </w:style>
  <w:style w:type="character" w:customStyle="1" w:styleId="ExplorateurdedocumentsCar1">
    <w:name w:val="Explorateur de documents Car1"/>
    <w:basedOn w:val="Policepardfaut"/>
    <w:uiPriority w:val="99"/>
    <w:semiHidden/>
    <w:rsid w:val="00786D88"/>
    <w:rPr>
      <w:rFonts w:ascii="Segoe UI" w:eastAsiaTheme="minorHAnsi" w:hAnsi="Segoe UI" w:cs="Segoe UI"/>
      <w:sz w:val="16"/>
      <w:szCs w:val="16"/>
      <w:lang w:eastAsia="en-US"/>
    </w:rPr>
  </w:style>
  <w:style w:type="paragraph" w:styleId="Paragraphedeliste">
    <w:name w:val="List Paragraph"/>
    <w:basedOn w:val="Normal"/>
    <w:uiPriority w:val="34"/>
    <w:qFormat/>
    <w:rsid w:val="00786D88"/>
    <w:pPr>
      <w:suppressAutoHyphens w:val="0"/>
      <w:kinsoku/>
      <w:overflowPunct/>
      <w:autoSpaceDE/>
      <w:autoSpaceDN/>
      <w:adjustRightInd/>
      <w:snapToGrid/>
      <w:spacing w:after="240" w:line="240" w:lineRule="auto"/>
      <w:ind w:left="720"/>
    </w:pPr>
    <w:rPr>
      <w:rFonts w:eastAsia="Times New Roman"/>
      <w:sz w:val="24"/>
      <w:lang w:val="en-GB"/>
    </w:rPr>
  </w:style>
  <w:style w:type="character" w:customStyle="1" w:styleId="apple-converted-space">
    <w:name w:val="apple-converted-space"/>
    <w:basedOn w:val="Policepardfaut"/>
    <w:rsid w:val="00786D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E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CERD.dotm</Template>
  <TotalTime>0</TotalTime>
  <Pages>22</Pages>
  <Words>7721</Words>
  <Characters>54053</Characters>
  <Application>Microsoft Office Word</Application>
  <DocSecurity>0</DocSecurity>
  <Lines>3603</Lines>
  <Paragraphs>1314</Paragraphs>
  <ScaleCrop>false</ScaleCrop>
  <HeadingPairs>
    <vt:vector size="2" baseType="variant">
      <vt:variant>
        <vt:lpstr>Titre</vt:lpstr>
      </vt:variant>
      <vt:variant>
        <vt:i4>1</vt:i4>
      </vt:variant>
    </vt:vector>
  </HeadingPairs>
  <TitlesOfParts>
    <vt:vector size="1" baseType="lpstr">
      <vt:lpstr>CERD/C/ZMB/17-19</vt:lpstr>
    </vt:vector>
  </TitlesOfParts>
  <Company>DCM</Company>
  <LinksUpToDate>false</LinksUpToDate>
  <CharactersWithSpaces>60460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CERD/C/ZMB/17-19</dc:title>
  <dc:subject/>
  <dc:creator>Fabienne CRELIER</dc:creator>
  <cp:keywords/>
  <cp:lastModifiedBy>Fabienne Crelier</cp:lastModifiedBy>
  <cp:revision>3</cp:revision>
  <cp:lastPrinted>2018-12-11T16:34:00Z</cp:lastPrinted>
  <dcterms:created xsi:type="dcterms:W3CDTF">2018-12-11T16:34:00Z</dcterms:created>
  <dcterms:modified xsi:type="dcterms:W3CDTF">2018-12-11T16:34:00Z</dcterms:modified>
</cp:coreProperties>
</file>