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25pt;margin-top:115.7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nl-NL"/>
              </w:rPr>
            </w:pPr>
            <w:r>
              <w:rPr>
                <w:lang w:val="nl-NL"/>
              </w:rPr>
              <w:t>CRC/C/43/1</w:t>
            </w:r>
            <w:r>
              <w:rPr>
                <w:lang w:val="nl-NL"/>
              </w:rPr>
              <w:br/>
            </w:r>
            <w:bookmarkStart w:id="1" w:name="a3"/>
            <w:r>
              <w:rPr>
                <w:lang w:val="nl-NL"/>
              </w:rPr>
              <w:t>1</w:t>
            </w:r>
            <w:r>
              <w:rPr>
                <w:vertAlign w:val="superscript"/>
                <w:lang w:val="nl-NL"/>
              </w:rPr>
              <w:t>er</w:t>
            </w:r>
            <w:r>
              <w:rPr>
                <w:lang w:val="nl-NL"/>
              </w:rPr>
              <w:t> juillet 200</w:t>
            </w:r>
            <w:bookmarkEnd w:id="1"/>
            <w:r>
              <w:rPr>
                <w:lang w:val="nl-NL"/>
              </w:rPr>
              <w:t>6</w:t>
            </w:r>
          </w:p>
          <w:p w:rsidR="00000000" w:rsidRDefault="00000000">
            <w:pPr>
              <w:tabs>
                <w:tab w:val="right" w:pos="3195"/>
              </w:tabs>
              <w:spacing w:after="240"/>
              <w:ind w:left="618"/>
            </w:pPr>
            <w:r>
              <w:t>FRANÇAIS</w:t>
            </w:r>
            <w:r>
              <w:br/>
              <w:t>Original: ANGLAIS</w:t>
            </w:r>
          </w:p>
        </w:tc>
      </w:tr>
    </w:tbl>
    <w:p w:rsidR="00000000" w:rsidRDefault="00000000">
      <w:pPr>
        <w:spacing w:after="720"/>
        <w:rPr>
          <w:noProof/>
        </w:rPr>
      </w:pPr>
      <w:r>
        <w:br/>
      </w:r>
      <w:r>
        <w:rPr>
          <w:noProof/>
        </w:rPr>
        <w:t>COMITÉ DES DROITS DE L’ENFANT</w:t>
      </w:r>
      <w:r>
        <w:rPr>
          <w:noProof/>
        </w:rPr>
        <w:br/>
        <w:t>Quarante-troisième session</w:t>
      </w:r>
      <w:r>
        <w:rPr>
          <w:noProof/>
        </w:rPr>
        <w:br/>
        <w:t>Genève, 11</w:t>
      </w:r>
      <w:r>
        <w:rPr>
          <w:noProof/>
        </w:rPr>
        <w:noBreakHyphen/>
        <w:t>29 septembre 2006</w:t>
      </w:r>
    </w:p>
    <w:p w:rsidR="00000000" w:rsidRDefault="00000000">
      <w:pPr>
        <w:spacing w:after="240"/>
        <w:jc w:val="center"/>
        <w:rPr>
          <w:b/>
          <w:bCs/>
        </w:rPr>
      </w:pPr>
      <w:r>
        <w:rPr>
          <w:b/>
          <w:bCs/>
        </w:rPr>
        <w:t>ORDRE DU JOUR PROVISOIRE ET ORDRE DU JOUR</w:t>
      </w:r>
      <w:r>
        <w:rPr>
          <w:b/>
          <w:bCs/>
        </w:rPr>
        <w:br/>
        <w:t>PROVISOIRE ANNOTÉ</w:t>
      </w:r>
    </w:p>
    <w:p w:rsidR="00000000" w:rsidRDefault="00000000">
      <w:pPr>
        <w:spacing w:after="360"/>
        <w:jc w:val="center"/>
        <w:rPr>
          <w:b/>
          <w:bCs/>
        </w:rPr>
      </w:pPr>
      <w:r>
        <w:rPr>
          <w:b/>
          <w:bCs/>
        </w:rPr>
        <w:t>Note du Secrétaire général</w:t>
      </w:r>
    </w:p>
    <w:p w:rsidR="00000000" w:rsidRDefault="00000000">
      <w:pPr>
        <w:spacing w:after="240"/>
      </w:pPr>
      <w:r>
        <w:t>1.</w:t>
      </w:r>
      <w:r>
        <w:tab/>
        <w:t>La quarante</w:t>
      </w:r>
      <w:r>
        <w:noBreakHyphen/>
        <w:t xml:space="preserve">troisième session du Comité des droits de l’enfant se tiendra à l’Office des Nations Unies à Genève du </w:t>
      </w:r>
      <w:r>
        <w:rPr>
          <w:noProof/>
        </w:rPr>
        <w:t>11 au 29 septembre 2006</w:t>
      </w:r>
      <w:r>
        <w:t xml:space="preserve">. La session s’ouvrira le lundi </w:t>
      </w:r>
      <w:r>
        <w:rPr>
          <w:noProof/>
        </w:rPr>
        <w:t xml:space="preserve">11 septembre </w:t>
      </w:r>
      <w:r>
        <w:t>à 10 heures.</w:t>
      </w:r>
    </w:p>
    <w:p w:rsidR="00000000" w:rsidRDefault="00000000">
      <w:pPr>
        <w:spacing w:after="240"/>
      </w:pPr>
      <w:r>
        <w:t>2.</w:t>
      </w:r>
      <w:r>
        <w:tab/>
        <w:t>Conformément à l’article 6 du règlement intérieur provisoire, le Secrétaire général a établi, en concertation avec la présidence du Comité, l’ordre du jour provisoire de la quarante</w:t>
      </w:r>
      <w:r>
        <w:noBreakHyphen/>
        <w:t>troisième session que l’on trouvera ci</w:t>
      </w:r>
      <w:r>
        <w:noBreakHyphen/>
        <w:t>joint, de même que l’ordre du jour provisoire annoté.</w:t>
      </w:r>
    </w:p>
    <w:p w:rsidR="00000000" w:rsidRDefault="00000000">
      <w:pPr>
        <w:spacing w:after="240"/>
      </w:pPr>
      <w:r>
        <w:t>3.</w:t>
      </w:r>
      <w:r>
        <w:tab/>
        <w:t>Conformément à l’article 32 du règlement intérieur provisoire, les séances du Comité sont publiques, à moins que le Comité n’en décide autrement.</w:t>
      </w:r>
    </w:p>
    <w:p w:rsidR="00000000" w:rsidRDefault="00000000">
      <w:pPr>
        <w:spacing w:after="240"/>
      </w:pPr>
      <w:r>
        <w:t>4.</w:t>
      </w:r>
      <w:r>
        <w:tab/>
        <w:t>L’attention des États parties est appelée en particulier sur les annotations relatives au point 4, où figure la liste des rapports que le Comité examinera à sa quarante</w:t>
      </w:r>
      <w:r>
        <w:noBreakHyphen/>
        <w:t>troisième session.</w:t>
      </w:r>
    </w:p>
    <w:p w:rsidR="00000000" w:rsidRDefault="00000000">
      <w:pPr>
        <w:spacing w:after="240"/>
      </w:pPr>
      <w:r>
        <w:t>5.</w:t>
      </w:r>
      <w:r>
        <w:tab/>
        <w:t>Un groupe de travail de présession, établi conformément à l’article 63 du règlement intérieur provisoire, s’est réuni à l’Office des Nations Unies à Genève du 6 au 9 juin 2006.</w:t>
      </w:r>
    </w:p>
    <w:p w:rsidR="00000000" w:rsidRDefault="00000000">
      <w:pPr>
        <w:spacing w:after="240"/>
        <w:jc w:val="center"/>
        <w:rPr>
          <w:b/>
          <w:bCs/>
        </w:rPr>
      </w:pPr>
      <w:r>
        <w:br w:type="page"/>
      </w:r>
      <w:r>
        <w:rPr>
          <w:b/>
          <w:bCs/>
        </w:rPr>
        <w:t>Ordre du jour provisoire</w:t>
      </w:r>
    </w:p>
    <w:p w:rsidR="00000000" w:rsidRDefault="00000000">
      <w:pPr>
        <w:spacing w:after="240"/>
      </w:pPr>
      <w:r>
        <w:t>1.</w:t>
      </w:r>
      <w:r>
        <w:tab/>
        <w:t>Adoption de l’ordre du jour.</w:t>
      </w:r>
    </w:p>
    <w:p w:rsidR="00000000" w:rsidRDefault="00000000">
      <w:pPr>
        <w:spacing w:after="240"/>
      </w:pPr>
      <w:r>
        <w:t>2.</w:t>
      </w:r>
      <w:r>
        <w:tab/>
        <w:t>Questions d’organisation.</w:t>
      </w:r>
    </w:p>
    <w:p w:rsidR="00000000" w:rsidRDefault="00000000">
      <w:pPr>
        <w:spacing w:after="240"/>
      </w:pPr>
      <w:r>
        <w:t>3.</w:t>
      </w:r>
      <w:r>
        <w:tab/>
        <w:t>Présentation de rapports par les États parties.</w:t>
      </w:r>
    </w:p>
    <w:p w:rsidR="00000000" w:rsidRDefault="00000000">
      <w:pPr>
        <w:spacing w:after="240"/>
      </w:pPr>
      <w:r>
        <w:t>4.</w:t>
      </w:r>
      <w:r>
        <w:tab/>
        <w:t>Examen des rapports présentés par les États parties.</w:t>
      </w:r>
    </w:p>
    <w:p w:rsidR="00000000" w:rsidRDefault="00000000">
      <w:pPr>
        <w:spacing w:after="240"/>
        <w:ind w:left="567" w:hanging="567"/>
      </w:pPr>
      <w:r>
        <w:t>5.</w:t>
      </w:r>
      <w:r>
        <w:tab/>
        <w:t>Coopération avec d’autres organismes des Nations Unies, les institutions spécialisées et d’autres organismes compétents.</w:t>
      </w:r>
    </w:p>
    <w:p w:rsidR="00000000" w:rsidRDefault="00000000">
      <w:pPr>
        <w:spacing w:after="240"/>
      </w:pPr>
      <w:r>
        <w:t>6.</w:t>
      </w:r>
      <w:r>
        <w:tab/>
        <w:t>Méthodes de travail du Comité.</w:t>
      </w:r>
    </w:p>
    <w:p w:rsidR="00000000" w:rsidRDefault="00000000">
      <w:pPr>
        <w:spacing w:after="240"/>
      </w:pPr>
      <w:r>
        <w:t>7.</w:t>
      </w:r>
      <w:r>
        <w:tab/>
        <w:t>Journée de débat général.</w:t>
      </w:r>
    </w:p>
    <w:p w:rsidR="00000000" w:rsidRDefault="00000000">
      <w:pPr>
        <w:spacing w:after="240"/>
      </w:pPr>
      <w:r>
        <w:t>8.</w:t>
      </w:r>
      <w:r>
        <w:tab/>
        <w:t>Observations générales.</w:t>
      </w:r>
    </w:p>
    <w:p w:rsidR="00000000" w:rsidRDefault="00000000">
      <w:pPr>
        <w:spacing w:after="240"/>
      </w:pPr>
      <w:r>
        <w:t>9.</w:t>
      </w:r>
      <w:r>
        <w:tab/>
        <w:t>Réunions futures.</w:t>
      </w:r>
    </w:p>
    <w:p w:rsidR="00000000" w:rsidRDefault="00000000">
      <w:pPr>
        <w:spacing w:after="240"/>
      </w:pPr>
      <w:r>
        <w:t>10.</w:t>
      </w:r>
      <w:r>
        <w:tab/>
        <w:t>Questions diverses.</w:t>
      </w:r>
    </w:p>
    <w:p w:rsidR="00000000" w:rsidRDefault="00000000">
      <w:pPr>
        <w:spacing w:after="240"/>
        <w:jc w:val="center"/>
        <w:rPr>
          <w:b/>
          <w:bCs/>
        </w:rPr>
      </w:pPr>
      <w:r>
        <w:br w:type="page"/>
      </w:r>
      <w:r>
        <w:rPr>
          <w:b/>
          <w:bCs/>
        </w:rPr>
        <w:t>Ordre du jour provisoire annoté</w:t>
      </w:r>
    </w:p>
    <w:p w:rsidR="00000000" w:rsidRDefault="00000000">
      <w:pPr>
        <w:spacing w:after="240"/>
        <w:jc w:val="center"/>
        <w:rPr>
          <w:b/>
          <w:bCs/>
        </w:rPr>
      </w:pPr>
      <w:r>
        <w:rPr>
          <w:b/>
          <w:bCs/>
        </w:rPr>
        <w:t>Point 1.  Adoption de l’ordre du jour</w:t>
      </w:r>
    </w:p>
    <w:p w:rsidR="00000000" w:rsidRDefault="00000000">
      <w:pPr>
        <w:spacing w:after="240"/>
      </w:pPr>
      <w:r>
        <w:t>1.</w:t>
      </w:r>
      <w:r>
        <w:tab/>
        <w:t>Conformément à l’article 8 du règlement intérieur provisoire, l’adoption de l’ordre du jour constitue le premier point de l’ordre du jour provisoire de chaque session, sauf s’il y a lieu d’élire les membres du Bureau conformément à l’article 16. Conformément à l’article 9 du règlement intérieur provisoire, le Comité peut réviser l’ordre du jour et, s’il y a lieu, ajouter ou supprimer des points ou en reporter l’examen. Il ne peut être ajouté à l’ordre du jour que des points urgents ou importants.</w:t>
      </w:r>
    </w:p>
    <w:p w:rsidR="00000000" w:rsidRDefault="00000000">
      <w:pPr>
        <w:spacing w:after="240"/>
        <w:jc w:val="center"/>
        <w:rPr>
          <w:b/>
          <w:bCs/>
        </w:rPr>
      </w:pPr>
      <w:r>
        <w:rPr>
          <w:b/>
          <w:bCs/>
        </w:rPr>
        <w:t>Point 2.  Questions d’organisation</w:t>
      </w:r>
    </w:p>
    <w:p w:rsidR="00000000" w:rsidRDefault="00000000">
      <w:pPr>
        <w:spacing w:after="240"/>
      </w:pPr>
      <w:r>
        <w:t>2.</w:t>
      </w:r>
      <w:r>
        <w:tab/>
        <w:t>Au titre de ce point, le Comité voudra peut</w:t>
      </w:r>
      <w:r>
        <w:noBreakHyphen/>
        <w:t>être examiner le programme de travail de la</w:t>
      </w:r>
      <w:r>
        <w:rPr>
          <w:b/>
          <w:bCs/>
        </w:rPr>
        <w:t xml:space="preserve"> </w:t>
      </w:r>
      <w:r>
        <w:t>session et toute autre question concernant les modalités de l’accomplissement des fonctions qui</w:t>
      </w:r>
      <w:r>
        <w:rPr>
          <w:b/>
          <w:bCs/>
        </w:rPr>
        <w:t xml:space="preserve"> </w:t>
      </w:r>
      <w:r>
        <w:t>lui sont assignées en vertu de la</w:t>
      </w:r>
      <w:r>
        <w:rPr>
          <w:b/>
          <w:bCs/>
        </w:rPr>
        <w:t xml:space="preserve"> </w:t>
      </w:r>
      <w:r>
        <w:t>Convention.</w:t>
      </w:r>
    </w:p>
    <w:p w:rsidR="00000000" w:rsidRDefault="00000000">
      <w:pPr>
        <w:spacing w:after="240"/>
        <w:jc w:val="center"/>
        <w:rPr>
          <w:b/>
          <w:bCs/>
        </w:rPr>
      </w:pPr>
      <w:r>
        <w:rPr>
          <w:b/>
          <w:bCs/>
        </w:rPr>
        <w:t>Point 3.  Présentation de rapports par les États parties</w:t>
      </w:r>
    </w:p>
    <w:p w:rsidR="00000000" w:rsidRDefault="00000000">
      <w:pPr>
        <w:spacing w:after="240"/>
        <w:jc w:val="center"/>
        <w:rPr>
          <w:b/>
          <w:bCs/>
        </w:rPr>
      </w:pPr>
      <w:r>
        <w:rPr>
          <w:b/>
          <w:bCs/>
        </w:rPr>
        <w:t>Rapports reçus</w:t>
      </w:r>
    </w:p>
    <w:p w:rsidR="00000000" w:rsidRDefault="00000000">
      <w:pPr>
        <w:spacing w:after="240"/>
      </w:pPr>
      <w:r>
        <w:t>3.</w:t>
      </w:r>
      <w:r>
        <w:tab/>
        <w:t>Outre les rapports qu’il est prévu d’examiner à la quarante</w:t>
      </w:r>
      <w:r>
        <w:noBreakHyphen/>
        <w:t>troisième session du Comité (voir</w:t>
      </w:r>
      <w:r>
        <w:rPr>
          <w:b/>
          <w:bCs/>
        </w:rPr>
        <w:t xml:space="preserve"> </w:t>
      </w:r>
      <w:r>
        <w:t>plus loin le calendrier de l’examen des rapports au titre du point 4) et les rapports mentionnés dans l’ordre du jour provisoire de la quarante</w:t>
      </w:r>
      <w:r>
        <w:noBreakHyphen/>
        <w:t>deuxième session (CRC/C/42/1), le Secrétaire général a</w:t>
      </w:r>
      <w:r>
        <w:rPr>
          <w:b/>
          <w:bCs/>
        </w:rPr>
        <w:t xml:space="preserve"> </w:t>
      </w:r>
      <w:r>
        <w:t>reçu les rapports suivants au titre des Protocoles</w:t>
      </w:r>
      <w:r>
        <w:rPr>
          <w:b/>
          <w:bCs/>
        </w:rPr>
        <w:t xml:space="preserve"> </w:t>
      </w:r>
      <w:r>
        <w:t>facultatifs se rapportant à la Convention, en plus de ceux qui doivent être examinés à</w:t>
      </w:r>
      <w:r>
        <w:rPr>
          <w:b/>
          <w:bCs/>
        </w:rPr>
        <w:t xml:space="preserve"> </w:t>
      </w:r>
      <w:r>
        <w:t>la</w:t>
      </w:r>
      <w:r>
        <w:rPr>
          <w:b/>
          <w:bCs/>
        </w:rPr>
        <w:t xml:space="preserve"> </w:t>
      </w:r>
      <w:r>
        <w:t>quarante</w:t>
      </w:r>
      <w:r>
        <w:noBreakHyphen/>
        <w:t>troisième session:</w:t>
      </w:r>
    </w:p>
    <w:p w:rsidR="00000000" w:rsidRDefault="00000000">
      <w:pPr>
        <w:keepNext/>
        <w:spacing w:after="240"/>
        <w:jc w:val="center"/>
        <w:rPr>
          <w:b/>
          <w:bCs/>
        </w:rPr>
      </w:pPr>
      <w:r>
        <w:rPr>
          <w:b/>
          <w:bCs/>
        </w:rPr>
        <w:t>Protocole facultatif concernant l’implication d’enfants dans les conflits armés</w:t>
      </w:r>
    </w:p>
    <w:tbl>
      <w:tblPr>
        <w:tblW w:w="0" w:type="auto"/>
        <w:tblCellMar>
          <w:left w:w="70" w:type="dxa"/>
          <w:right w:w="70" w:type="dxa"/>
        </w:tblCellMar>
        <w:tblLook w:val="0000" w:firstRow="0" w:lastRow="0" w:firstColumn="0" w:lastColumn="0" w:noHBand="0" w:noVBand="0"/>
      </w:tblPr>
      <w:tblGrid>
        <w:gridCol w:w="3165"/>
        <w:gridCol w:w="3165"/>
        <w:gridCol w:w="3166"/>
      </w:tblGrid>
      <w:tr w:rsidR="00000000">
        <w:tblPrEx>
          <w:tblCellMar>
            <w:top w:w="0" w:type="dxa"/>
            <w:bottom w:w="0" w:type="dxa"/>
          </w:tblCellMar>
        </w:tblPrEx>
        <w:tc>
          <w:tcPr>
            <w:tcW w:w="3165" w:type="dxa"/>
          </w:tcPr>
          <w:p w:rsidR="00000000" w:rsidRDefault="00000000">
            <w:pPr>
              <w:spacing w:after="240"/>
              <w:rPr>
                <w:u w:val="single"/>
              </w:rPr>
            </w:pPr>
            <w:r>
              <w:rPr>
                <w:u w:val="single"/>
              </w:rPr>
              <w:t>État partie</w:t>
            </w:r>
          </w:p>
        </w:tc>
        <w:tc>
          <w:tcPr>
            <w:tcW w:w="3165" w:type="dxa"/>
          </w:tcPr>
          <w:p w:rsidR="00000000" w:rsidRDefault="00000000">
            <w:pPr>
              <w:spacing w:after="240"/>
              <w:rPr>
                <w:u w:val="single"/>
              </w:rPr>
            </w:pPr>
            <w:r>
              <w:rPr>
                <w:u w:val="single"/>
              </w:rPr>
              <w:t>Attendu en</w:t>
            </w:r>
          </w:p>
        </w:tc>
        <w:tc>
          <w:tcPr>
            <w:tcW w:w="3166" w:type="dxa"/>
          </w:tcPr>
          <w:p w:rsidR="00000000" w:rsidRDefault="00000000">
            <w:pPr>
              <w:spacing w:after="240"/>
              <w:rPr>
                <w:u w:val="single"/>
              </w:rPr>
            </w:pPr>
            <w:r>
              <w:rPr>
                <w:u w:val="single"/>
              </w:rPr>
              <w:t>Cote</w:t>
            </w:r>
          </w:p>
        </w:tc>
      </w:tr>
      <w:tr w:rsidR="00000000">
        <w:tblPrEx>
          <w:tblCellMar>
            <w:top w:w="0" w:type="dxa"/>
            <w:bottom w:w="0" w:type="dxa"/>
          </w:tblCellMar>
        </w:tblPrEx>
        <w:tc>
          <w:tcPr>
            <w:tcW w:w="3165" w:type="dxa"/>
          </w:tcPr>
          <w:p w:rsidR="00000000" w:rsidRDefault="00000000">
            <w:r>
              <w:t>Qatar</w:t>
            </w:r>
          </w:p>
        </w:tc>
        <w:tc>
          <w:tcPr>
            <w:tcW w:w="3165" w:type="dxa"/>
          </w:tcPr>
          <w:p w:rsidR="00000000" w:rsidRDefault="00000000">
            <w:r>
              <w:t>août 2004</w:t>
            </w:r>
          </w:p>
        </w:tc>
        <w:tc>
          <w:tcPr>
            <w:tcW w:w="3166" w:type="dxa"/>
          </w:tcPr>
          <w:p w:rsidR="00000000" w:rsidRDefault="00000000">
            <w:pPr>
              <w:rPr>
                <w:lang w:val="en-GB"/>
              </w:rPr>
            </w:pPr>
            <w:r>
              <w:rPr>
                <w:lang w:val="en-GB"/>
              </w:rPr>
              <w:t>CRC/C/OPAC/QAT/1</w:t>
            </w:r>
          </w:p>
        </w:tc>
      </w:tr>
      <w:tr w:rsidR="00000000">
        <w:tblPrEx>
          <w:tblCellMar>
            <w:top w:w="0" w:type="dxa"/>
            <w:bottom w:w="0" w:type="dxa"/>
          </w:tblCellMar>
        </w:tblPrEx>
        <w:tc>
          <w:tcPr>
            <w:tcW w:w="3165" w:type="dxa"/>
          </w:tcPr>
          <w:p w:rsidR="00000000" w:rsidRDefault="00000000">
            <w:pPr>
              <w:rPr>
                <w:lang w:val="en-GB"/>
              </w:rPr>
            </w:pPr>
            <w:r>
              <w:rPr>
                <w:lang w:val="en-GB"/>
              </w:rPr>
              <w:t>Guatemala</w:t>
            </w:r>
          </w:p>
        </w:tc>
        <w:tc>
          <w:tcPr>
            <w:tcW w:w="3165" w:type="dxa"/>
          </w:tcPr>
          <w:p w:rsidR="00000000" w:rsidRDefault="00000000">
            <w:r>
              <w:t>juin 2004</w:t>
            </w:r>
          </w:p>
        </w:tc>
        <w:tc>
          <w:tcPr>
            <w:tcW w:w="3166" w:type="dxa"/>
          </w:tcPr>
          <w:p w:rsidR="00000000" w:rsidRDefault="00000000">
            <w:r>
              <w:t>CRC/C/OPAC/GTM/1</w:t>
            </w:r>
          </w:p>
        </w:tc>
      </w:tr>
      <w:tr w:rsidR="00000000">
        <w:tblPrEx>
          <w:tblCellMar>
            <w:top w:w="0" w:type="dxa"/>
            <w:bottom w:w="0" w:type="dxa"/>
          </w:tblCellMar>
        </w:tblPrEx>
        <w:tc>
          <w:tcPr>
            <w:tcW w:w="3165" w:type="dxa"/>
          </w:tcPr>
          <w:p w:rsidR="00000000" w:rsidRDefault="00000000">
            <w:pPr>
              <w:spacing w:after="360"/>
            </w:pPr>
            <w:r>
              <w:t>Lituanie</w:t>
            </w:r>
          </w:p>
        </w:tc>
        <w:tc>
          <w:tcPr>
            <w:tcW w:w="3165" w:type="dxa"/>
          </w:tcPr>
          <w:p w:rsidR="00000000" w:rsidRDefault="00000000">
            <w:pPr>
              <w:spacing w:after="360"/>
            </w:pPr>
            <w:r>
              <w:t>mars 2005</w:t>
            </w:r>
          </w:p>
        </w:tc>
        <w:tc>
          <w:tcPr>
            <w:tcW w:w="3166" w:type="dxa"/>
          </w:tcPr>
          <w:p w:rsidR="00000000" w:rsidRDefault="00000000">
            <w:pPr>
              <w:spacing w:after="360"/>
            </w:pPr>
            <w:r>
              <w:t>CRC/C/OPAC/LTU/1</w:t>
            </w:r>
          </w:p>
        </w:tc>
      </w:tr>
    </w:tbl>
    <w:p w:rsidR="00000000" w:rsidRDefault="00000000">
      <w:pPr>
        <w:keepNext/>
        <w:spacing w:after="240"/>
        <w:jc w:val="center"/>
        <w:rPr>
          <w:b/>
          <w:bCs/>
        </w:rPr>
      </w:pPr>
      <w:r>
        <w:rPr>
          <w:b/>
          <w:bCs/>
        </w:rPr>
        <w:t>Protocole facultatif concernant la vente d’enfants, la prostitution des enfants</w:t>
      </w:r>
      <w:r>
        <w:rPr>
          <w:b/>
          <w:bCs/>
        </w:rPr>
        <w:br/>
        <w:t>et la pornographie mettant en scène des enfants</w:t>
      </w:r>
    </w:p>
    <w:tbl>
      <w:tblPr>
        <w:tblW w:w="9499" w:type="dxa"/>
        <w:tblCellMar>
          <w:left w:w="70" w:type="dxa"/>
          <w:right w:w="70" w:type="dxa"/>
        </w:tblCellMar>
        <w:tblLook w:val="0000" w:firstRow="0" w:lastRow="0" w:firstColumn="0" w:lastColumn="0" w:noHBand="0" w:noVBand="0"/>
      </w:tblPr>
      <w:tblGrid>
        <w:gridCol w:w="3166"/>
        <w:gridCol w:w="3165"/>
        <w:gridCol w:w="3168"/>
      </w:tblGrid>
      <w:tr w:rsidR="00000000">
        <w:tblPrEx>
          <w:tblCellMar>
            <w:top w:w="0" w:type="dxa"/>
            <w:bottom w:w="0" w:type="dxa"/>
          </w:tblCellMar>
        </w:tblPrEx>
        <w:tc>
          <w:tcPr>
            <w:tcW w:w="3166" w:type="dxa"/>
          </w:tcPr>
          <w:p w:rsidR="00000000" w:rsidRDefault="00000000">
            <w:pPr>
              <w:spacing w:after="240"/>
              <w:rPr>
                <w:u w:val="single"/>
              </w:rPr>
            </w:pPr>
            <w:r>
              <w:rPr>
                <w:u w:val="single"/>
              </w:rPr>
              <w:t>État partie</w:t>
            </w:r>
          </w:p>
        </w:tc>
        <w:tc>
          <w:tcPr>
            <w:tcW w:w="3165" w:type="dxa"/>
          </w:tcPr>
          <w:p w:rsidR="00000000" w:rsidRDefault="00000000">
            <w:pPr>
              <w:spacing w:after="240"/>
              <w:rPr>
                <w:u w:val="single"/>
              </w:rPr>
            </w:pPr>
            <w:r>
              <w:rPr>
                <w:u w:val="single"/>
              </w:rPr>
              <w:t>Attendu en</w:t>
            </w:r>
          </w:p>
        </w:tc>
        <w:tc>
          <w:tcPr>
            <w:tcW w:w="3168" w:type="dxa"/>
          </w:tcPr>
          <w:p w:rsidR="00000000" w:rsidRDefault="00000000">
            <w:pPr>
              <w:spacing w:after="240"/>
              <w:rPr>
                <w:u w:val="single"/>
              </w:rPr>
            </w:pPr>
            <w:r>
              <w:rPr>
                <w:u w:val="single"/>
              </w:rPr>
              <w:t>Cote</w:t>
            </w:r>
          </w:p>
        </w:tc>
      </w:tr>
      <w:tr w:rsidR="00000000">
        <w:tblPrEx>
          <w:tblCellMar>
            <w:top w:w="0" w:type="dxa"/>
            <w:bottom w:w="0" w:type="dxa"/>
          </w:tblCellMar>
        </w:tblPrEx>
        <w:tc>
          <w:tcPr>
            <w:tcW w:w="3166" w:type="dxa"/>
          </w:tcPr>
          <w:p w:rsidR="00000000" w:rsidRDefault="00000000">
            <w:r>
              <w:t>Ukraine</w:t>
            </w:r>
          </w:p>
        </w:tc>
        <w:tc>
          <w:tcPr>
            <w:tcW w:w="3165" w:type="dxa"/>
          </w:tcPr>
          <w:p w:rsidR="00000000" w:rsidRDefault="00000000">
            <w:r>
              <w:t>août 2005</w:t>
            </w:r>
          </w:p>
        </w:tc>
        <w:tc>
          <w:tcPr>
            <w:tcW w:w="3168" w:type="dxa"/>
          </w:tcPr>
          <w:p w:rsidR="00000000" w:rsidRDefault="00000000">
            <w:pPr>
              <w:rPr>
                <w:lang w:val="nl-NL"/>
              </w:rPr>
            </w:pPr>
            <w:r>
              <w:rPr>
                <w:lang w:val="nl-NL"/>
              </w:rPr>
              <w:t>CRC/C/OPSC/UKR/1</w:t>
            </w:r>
          </w:p>
        </w:tc>
      </w:tr>
      <w:tr w:rsidR="00000000">
        <w:tblPrEx>
          <w:tblCellMar>
            <w:top w:w="0" w:type="dxa"/>
            <w:bottom w:w="0" w:type="dxa"/>
          </w:tblCellMar>
        </w:tblPrEx>
        <w:tc>
          <w:tcPr>
            <w:tcW w:w="3166" w:type="dxa"/>
          </w:tcPr>
          <w:p w:rsidR="00000000" w:rsidRDefault="00000000">
            <w:pPr>
              <w:spacing w:after="360"/>
            </w:pPr>
            <w:r>
              <w:t>Guatemala</w:t>
            </w:r>
          </w:p>
        </w:tc>
        <w:tc>
          <w:tcPr>
            <w:tcW w:w="3165" w:type="dxa"/>
          </w:tcPr>
          <w:p w:rsidR="00000000" w:rsidRDefault="00000000">
            <w:pPr>
              <w:spacing w:after="360"/>
            </w:pPr>
            <w:r>
              <w:t>juin 2004</w:t>
            </w:r>
          </w:p>
        </w:tc>
        <w:tc>
          <w:tcPr>
            <w:tcW w:w="3168" w:type="dxa"/>
          </w:tcPr>
          <w:p w:rsidR="00000000" w:rsidRDefault="00000000">
            <w:pPr>
              <w:spacing w:after="360"/>
            </w:pPr>
            <w:r>
              <w:t>CRC/C/OPSC/GTM/1</w:t>
            </w:r>
          </w:p>
        </w:tc>
      </w:tr>
    </w:tbl>
    <w:p w:rsidR="00000000" w:rsidRDefault="00000000">
      <w:pPr>
        <w:keepNext/>
        <w:spacing w:after="240"/>
        <w:jc w:val="center"/>
        <w:rPr>
          <w:b/>
          <w:bCs/>
        </w:rPr>
      </w:pPr>
      <w:r>
        <w:rPr>
          <w:b/>
          <w:bCs/>
        </w:rPr>
        <w:t>Rapports en retard</w:t>
      </w:r>
    </w:p>
    <w:p w:rsidR="00000000" w:rsidRDefault="00000000">
      <w:pPr>
        <w:spacing w:after="240"/>
      </w:pPr>
      <w:r>
        <w:t>4.</w:t>
      </w:r>
      <w:r>
        <w:tab/>
        <w:t>Conformément à l’article 67 du règlement intérieur provisoire, le</w:t>
      </w:r>
      <w:r>
        <w:rPr>
          <w:b/>
          <w:bCs/>
        </w:rPr>
        <w:t xml:space="preserve"> </w:t>
      </w:r>
      <w:r>
        <w:t>Secrétaire général est tenu de faire part au Comité, à chaque session, de tous les cas de non</w:t>
      </w:r>
      <w:r>
        <w:noBreakHyphen/>
        <w:t>présentation de rapport. La liste complète des rapports initiaux et périodiques à présenter au titre de la Convention et des</w:t>
      </w:r>
      <w:r>
        <w:rPr>
          <w:b/>
          <w:bCs/>
        </w:rPr>
        <w:t xml:space="preserve"> </w:t>
      </w:r>
      <w:r>
        <w:t>rapports initiaux à présenter au titre des deux Protocoles facultatifs figure dans le document sur la situation en matière de présentation des rapports (CRC/C/43/2), dans lequel sont également indiquées les mesures exceptionnelles dont le Comité a fait bénéficier les États parties qui éprouvent des difficultés à respecter le calendrier rigoureux de soumission des rapports fixé au paragraphe 1 de l’article 44 de la Convention ou pour lesquels l’examen a été reporté. Ces</w:t>
      </w:r>
      <w:r>
        <w:rPr>
          <w:b/>
          <w:bCs/>
        </w:rPr>
        <w:t> </w:t>
      </w:r>
      <w:r>
        <w:t>recommandations ne s’appliquent qu’à titre de mesure exceptionnelle ne pouvant être prise</w:t>
      </w:r>
      <w:r>
        <w:rPr>
          <w:b/>
          <w:bCs/>
        </w:rPr>
        <w:t xml:space="preserve"> </w:t>
      </w:r>
      <w:r>
        <w:t>qu’une seule fois.</w:t>
      </w:r>
    </w:p>
    <w:p w:rsidR="00000000" w:rsidRDefault="00000000">
      <w:pPr>
        <w:keepNext/>
        <w:spacing w:after="240"/>
        <w:jc w:val="center"/>
        <w:rPr>
          <w:b/>
          <w:bCs/>
        </w:rPr>
      </w:pPr>
      <w:r>
        <w:rPr>
          <w:b/>
          <w:bCs/>
        </w:rPr>
        <w:t>Point 4.  Examen des rapports présentés par les États parties</w:t>
      </w:r>
    </w:p>
    <w:p w:rsidR="00000000" w:rsidRDefault="00000000">
      <w:pPr>
        <w:spacing w:after="240"/>
      </w:pPr>
      <w:r>
        <w:t>5.</w:t>
      </w:r>
      <w:r>
        <w:tab/>
        <w:t>On trouvera ci</w:t>
      </w:r>
      <w:r>
        <w:noBreakHyphen/>
        <w:t>après le calendrier provisoire de l’examen des rapports à la quarante</w:t>
      </w:r>
      <w:r>
        <w:noBreakHyphen/>
        <w:t>troisième</w:t>
      </w:r>
      <w:r>
        <w:rPr>
          <w:b/>
          <w:bCs/>
        </w:rPr>
        <w:t xml:space="preserve"> </w:t>
      </w:r>
      <w:r>
        <w:t>session, établi par le Secrétaire général en concertation avec la présidence et</w:t>
      </w:r>
      <w:r>
        <w:rPr>
          <w:b/>
          <w:bCs/>
        </w:rPr>
        <w:t> </w:t>
      </w:r>
      <w:r>
        <w:t>soumis</w:t>
      </w:r>
      <w:r>
        <w:rPr>
          <w:b/>
          <w:bCs/>
        </w:rPr>
        <w:t xml:space="preserve"> </w:t>
      </w:r>
      <w:r>
        <w:t>à l’approbation du Comité.</w:t>
      </w:r>
    </w:p>
    <w:p w:rsidR="00000000" w:rsidRDefault="00000000">
      <w:pPr>
        <w:keepNext/>
        <w:spacing w:after="240"/>
        <w:jc w:val="center"/>
        <w:rPr>
          <w:b/>
          <w:bCs/>
        </w:rPr>
      </w:pPr>
      <w:r>
        <w:rPr>
          <w:b/>
          <w:bCs/>
        </w:rPr>
        <w:t>Calendrier provisoire pour l’examen des rapports présentés par les États parties</w:t>
      </w:r>
    </w:p>
    <w:tbl>
      <w:tblPr>
        <w:tblW w:w="9546" w:type="dxa"/>
        <w:tblLayout w:type="fixed"/>
        <w:tblCellMar>
          <w:left w:w="70" w:type="dxa"/>
          <w:right w:w="70" w:type="dxa"/>
        </w:tblCellMar>
        <w:tblLook w:val="0000" w:firstRow="0" w:lastRow="0" w:firstColumn="0" w:lastColumn="0" w:noHBand="0" w:noVBand="0"/>
      </w:tblPr>
      <w:tblGrid>
        <w:gridCol w:w="2830"/>
        <w:gridCol w:w="840"/>
        <w:gridCol w:w="960"/>
        <w:gridCol w:w="2400"/>
        <w:gridCol w:w="2516"/>
      </w:tblGrid>
      <w:tr w:rsidR="00000000">
        <w:tblPrEx>
          <w:tblCellMar>
            <w:top w:w="0" w:type="dxa"/>
            <w:bottom w:w="0" w:type="dxa"/>
          </w:tblCellMar>
        </w:tblPrEx>
        <w:tc>
          <w:tcPr>
            <w:tcW w:w="2830" w:type="dxa"/>
          </w:tcPr>
          <w:p w:rsidR="00000000" w:rsidRDefault="00000000">
            <w:pPr>
              <w:keepNext/>
              <w:spacing w:after="220"/>
              <w:rPr>
                <w:sz w:val="22"/>
                <w:u w:val="single"/>
              </w:rPr>
            </w:pPr>
            <w:r>
              <w:rPr>
                <w:sz w:val="22"/>
                <w:u w:val="single"/>
              </w:rPr>
              <w:t>Date</w:t>
            </w:r>
          </w:p>
        </w:tc>
        <w:tc>
          <w:tcPr>
            <w:tcW w:w="840" w:type="dxa"/>
          </w:tcPr>
          <w:p w:rsidR="00000000" w:rsidRDefault="00000000">
            <w:pPr>
              <w:spacing w:after="220"/>
              <w:jc w:val="center"/>
              <w:rPr>
                <w:sz w:val="22"/>
                <w:u w:val="single"/>
              </w:rPr>
            </w:pPr>
            <w:r>
              <w:rPr>
                <w:sz w:val="22"/>
                <w:u w:val="single"/>
              </w:rPr>
              <w:t>Heure</w:t>
            </w:r>
          </w:p>
        </w:tc>
        <w:tc>
          <w:tcPr>
            <w:tcW w:w="960" w:type="dxa"/>
          </w:tcPr>
          <w:p w:rsidR="00000000" w:rsidRDefault="00000000">
            <w:pPr>
              <w:spacing w:after="220"/>
              <w:jc w:val="center"/>
              <w:rPr>
                <w:sz w:val="22"/>
                <w:u w:val="single"/>
              </w:rPr>
            </w:pPr>
            <w:r>
              <w:rPr>
                <w:sz w:val="22"/>
                <w:u w:val="single"/>
              </w:rPr>
              <w:t>Point de l’ordre du jour</w:t>
            </w:r>
          </w:p>
        </w:tc>
        <w:tc>
          <w:tcPr>
            <w:tcW w:w="2400" w:type="dxa"/>
          </w:tcPr>
          <w:p w:rsidR="00000000" w:rsidRDefault="00000000">
            <w:pPr>
              <w:spacing w:after="220"/>
              <w:jc w:val="center"/>
              <w:rPr>
                <w:sz w:val="22"/>
                <w:u w:val="single"/>
              </w:rPr>
            </w:pPr>
            <w:r>
              <w:rPr>
                <w:sz w:val="22"/>
                <w:u w:val="single"/>
              </w:rPr>
              <w:t>Chambre A</w:t>
            </w:r>
          </w:p>
        </w:tc>
        <w:tc>
          <w:tcPr>
            <w:tcW w:w="2516" w:type="dxa"/>
          </w:tcPr>
          <w:p w:rsidR="00000000" w:rsidRDefault="00000000">
            <w:pPr>
              <w:spacing w:after="220"/>
              <w:jc w:val="center"/>
              <w:rPr>
                <w:sz w:val="22"/>
                <w:u w:val="single"/>
              </w:rPr>
            </w:pPr>
            <w:r>
              <w:rPr>
                <w:sz w:val="22"/>
                <w:u w:val="single"/>
              </w:rPr>
              <w:t>Chambre B</w:t>
            </w:r>
          </w:p>
        </w:tc>
      </w:tr>
      <w:tr w:rsidR="00000000">
        <w:tblPrEx>
          <w:tblCellMar>
            <w:top w:w="0" w:type="dxa"/>
            <w:bottom w:w="0" w:type="dxa"/>
          </w:tblCellMar>
        </w:tblPrEx>
        <w:tc>
          <w:tcPr>
            <w:tcW w:w="2830" w:type="dxa"/>
          </w:tcPr>
          <w:p w:rsidR="00000000" w:rsidRDefault="00000000">
            <w:pPr>
              <w:keepNext/>
              <w:spacing w:after="220"/>
              <w:rPr>
                <w:sz w:val="22"/>
              </w:rPr>
            </w:pPr>
            <w:r>
              <w:rPr>
                <w:sz w:val="22"/>
              </w:rPr>
              <w:t>Lundi 11 septembre 2006</w:t>
            </w:r>
          </w:p>
        </w:tc>
        <w:tc>
          <w:tcPr>
            <w:tcW w:w="840" w:type="dxa"/>
          </w:tcPr>
          <w:p w:rsidR="00000000" w:rsidRDefault="00000000">
            <w:pPr>
              <w:spacing w:after="220"/>
              <w:jc w:val="center"/>
              <w:rPr>
                <w:sz w:val="22"/>
              </w:rPr>
            </w:pPr>
            <w:r>
              <w:rPr>
                <w:sz w:val="22"/>
              </w:rPr>
              <w:t>15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Kazakhstan OPAC</w:t>
            </w:r>
          </w:p>
        </w:tc>
        <w:tc>
          <w:tcPr>
            <w:tcW w:w="2516" w:type="dxa"/>
          </w:tcPr>
          <w:p w:rsidR="00000000" w:rsidRDefault="00000000">
            <w:pPr>
              <w:spacing w:after="220"/>
              <w:rPr>
                <w:sz w:val="22"/>
              </w:rPr>
            </w:pPr>
            <w:r>
              <w:rPr>
                <w:sz w:val="22"/>
              </w:rPr>
              <w:t>Malte OPAC</w:t>
            </w:r>
          </w:p>
        </w:tc>
      </w:tr>
      <w:tr w:rsidR="00000000">
        <w:tblPrEx>
          <w:tblCellMar>
            <w:top w:w="0" w:type="dxa"/>
            <w:bottom w:w="0" w:type="dxa"/>
          </w:tblCellMar>
        </w:tblPrEx>
        <w:tc>
          <w:tcPr>
            <w:tcW w:w="2830" w:type="dxa"/>
          </w:tcPr>
          <w:p w:rsidR="00000000" w:rsidRDefault="00000000">
            <w:pPr>
              <w:keepNext/>
              <w:spacing w:after="220"/>
              <w:rPr>
                <w:sz w:val="22"/>
              </w:rPr>
            </w:pPr>
            <w:r>
              <w:rPr>
                <w:sz w:val="22"/>
              </w:rPr>
              <w:t>Mardi 12 septembre 2006</w:t>
            </w:r>
          </w:p>
        </w:tc>
        <w:tc>
          <w:tcPr>
            <w:tcW w:w="840" w:type="dxa"/>
          </w:tcPr>
          <w:p w:rsidR="00000000" w:rsidRDefault="00000000">
            <w:pPr>
              <w:spacing w:after="220"/>
              <w:jc w:val="center"/>
              <w:rPr>
                <w:sz w:val="22"/>
              </w:rPr>
            </w:pPr>
            <w:r>
              <w:rPr>
                <w:sz w:val="22"/>
              </w:rPr>
              <w:t>10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Samoa</w:t>
            </w:r>
          </w:p>
        </w:tc>
        <w:tc>
          <w:tcPr>
            <w:tcW w:w="2516" w:type="dxa"/>
          </w:tcPr>
          <w:p w:rsidR="00000000" w:rsidRDefault="00000000">
            <w:pPr>
              <w:spacing w:after="220"/>
              <w:rPr>
                <w:sz w:val="22"/>
              </w:rPr>
            </w:pPr>
            <w:r>
              <w:rPr>
                <w:sz w:val="22"/>
              </w:rPr>
              <w:t>Éthiopie troisième</w:t>
            </w:r>
          </w:p>
        </w:tc>
      </w:tr>
      <w:tr w:rsidR="00000000">
        <w:tblPrEx>
          <w:tblCellMar>
            <w:top w:w="0" w:type="dxa"/>
            <w:bottom w:w="0" w:type="dxa"/>
          </w:tblCellMar>
        </w:tblPrEx>
        <w:tc>
          <w:tcPr>
            <w:tcW w:w="2830" w:type="dxa"/>
          </w:tcPr>
          <w:p w:rsidR="00000000" w:rsidRDefault="00000000">
            <w:pPr>
              <w:keepNext/>
              <w:spacing w:after="220"/>
              <w:rPr>
                <w:sz w:val="22"/>
              </w:rPr>
            </w:pPr>
          </w:p>
        </w:tc>
        <w:tc>
          <w:tcPr>
            <w:tcW w:w="840" w:type="dxa"/>
          </w:tcPr>
          <w:p w:rsidR="00000000" w:rsidRDefault="00000000">
            <w:pPr>
              <w:spacing w:after="220"/>
              <w:jc w:val="center"/>
              <w:rPr>
                <w:sz w:val="22"/>
              </w:rPr>
            </w:pPr>
            <w:r>
              <w:rPr>
                <w:sz w:val="22"/>
              </w:rPr>
              <w:t>15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Samoa</w:t>
            </w:r>
          </w:p>
        </w:tc>
        <w:tc>
          <w:tcPr>
            <w:tcW w:w="2516" w:type="dxa"/>
          </w:tcPr>
          <w:p w:rsidR="00000000" w:rsidRDefault="00000000">
            <w:pPr>
              <w:spacing w:after="220"/>
              <w:rPr>
                <w:sz w:val="22"/>
              </w:rPr>
            </w:pPr>
            <w:r>
              <w:rPr>
                <w:sz w:val="22"/>
              </w:rPr>
              <w:t>Éthiopie troisième</w:t>
            </w:r>
          </w:p>
        </w:tc>
      </w:tr>
      <w:tr w:rsidR="00000000">
        <w:tblPrEx>
          <w:tblCellMar>
            <w:top w:w="0" w:type="dxa"/>
            <w:bottom w:w="0" w:type="dxa"/>
          </w:tblCellMar>
        </w:tblPrEx>
        <w:tc>
          <w:tcPr>
            <w:tcW w:w="2830" w:type="dxa"/>
          </w:tcPr>
          <w:p w:rsidR="00000000" w:rsidRDefault="00000000">
            <w:pPr>
              <w:spacing w:after="220"/>
              <w:rPr>
                <w:sz w:val="22"/>
              </w:rPr>
            </w:pPr>
            <w:r>
              <w:rPr>
                <w:sz w:val="22"/>
              </w:rPr>
              <w:t>Mercredi 13 septembre 2006</w:t>
            </w:r>
          </w:p>
        </w:tc>
        <w:tc>
          <w:tcPr>
            <w:tcW w:w="840" w:type="dxa"/>
          </w:tcPr>
          <w:p w:rsidR="00000000" w:rsidRDefault="00000000">
            <w:pPr>
              <w:spacing w:after="220"/>
              <w:jc w:val="center"/>
              <w:rPr>
                <w:sz w:val="22"/>
              </w:rPr>
            </w:pPr>
            <w:r>
              <w:rPr>
                <w:sz w:val="22"/>
              </w:rPr>
              <w:t>10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Oman deuxième</w:t>
            </w:r>
          </w:p>
        </w:tc>
        <w:tc>
          <w:tcPr>
            <w:tcW w:w="2516" w:type="dxa"/>
          </w:tcPr>
          <w:p w:rsidR="00000000" w:rsidRDefault="00000000">
            <w:pPr>
              <w:spacing w:after="220"/>
              <w:rPr>
                <w:sz w:val="22"/>
              </w:rPr>
            </w:pPr>
            <w:r>
              <w:rPr>
                <w:sz w:val="22"/>
              </w:rPr>
              <w:t>Kiribati</w:t>
            </w:r>
          </w:p>
        </w:tc>
      </w:tr>
      <w:tr w:rsidR="00000000">
        <w:tblPrEx>
          <w:tblCellMar>
            <w:top w:w="0" w:type="dxa"/>
            <w:bottom w:w="0" w:type="dxa"/>
          </w:tblCellMar>
        </w:tblPrEx>
        <w:tc>
          <w:tcPr>
            <w:tcW w:w="2830" w:type="dxa"/>
          </w:tcPr>
          <w:p w:rsidR="00000000" w:rsidRDefault="00000000">
            <w:pPr>
              <w:spacing w:after="220"/>
              <w:rPr>
                <w:sz w:val="22"/>
              </w:rPr>
            </w:pPr>
          </w:p>
        </w:tc>
        <w:tc>
          <w:tcPr>
            <w:tcW w:w="840" w:type="dxa"/>
          </w:tcPr>
          <w:p w:rsidR="00000000" w:rsidRDefault="00000000">
            <w:pPr>
              <w:spacing w:after="220"/>
              <w:jc w:val="center"/>
              <w:rPr>
                <w:sz w:val="22"/>
              </w:rPr>
            </w:pPr>
            <w:r>
              <w:rPr>
                <w:sz w:val="22"/>
              </w:rPr>
              <w:t>15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 xml:space="preserve">Oman deuxième </w:t>
            </w:r>
          </w:p>
        </w:tc>
        <w:tc>
          <w:tcPr>
            <w:tcW w:w="2516" w:type="dxa"/>
          </w:tcPr>
          <w:p w:rsidR="00000000" w:rsidRDefault="00000000">
            <w:pPr>
              <w:spacing w:after="220"/>
              <w:rPr>
                <w:sz w:val="22"/>
              </w:rPr>
            </w:pPr>
            <w:r>
              <w:rPr>
                <w:sz w:val="22"/>
              </w:rPr>
              <w:t xml:space="preserve">Kiribati </w:t>
            </w:r>
          </w:p>
        </w:tc>
      </w:tr>
      <w:tr w:rsidR="00000000">
        <w:tblPrEx>
          <w:tblCellMar>
            <w:top w:w="0" w:type="dxa"/>
            <w:bottom w:w="0" w:type="dxa"/>
          </w:tblCellMar>
        </w:tblPrEx>
        <w:tc>
          <w:tcPr>
            <w:tcW w:w="2830" w:type="dxa"/>
          </w:tcPr>
          <w:p w:rsidR="00000000" w:rsidRDefault="00000000">
            <w:pPr>
              <w:spacing w:after="220"/>
              <w:rPr>
                <w:sz w:val="22"/>
              </w:rPr>
            </w:pPr>
            <w:r>
              <w:rPr>
                <w:sz w:val="22"/>
              </w:rPr>
              <w:t>Vendredi 15 septembre 2006</w:t>
            </w:r>
          </w:p>
        </w:tc>
        <w:tc>
          <w:tcPr>
            <w:tcW w:w="840" w:type="dxa"/>
          </w:tcPr>
          <w:p w:rsidR="00000000" w:rsidRDefault="00000000">
            <w:pPr>
              <w:spacing w:after="220"/>
              <w:jc w:val="center"/>
              <w:rPr>
                <w:sz w:val="22"/>
              </w:rPr>
            </w:pPr>
            <w:r>
              <w:rPr>
                <w:sz w:val="22"/>
              </w:rPr>
              <w:t>10 h 00</w:t>
            </w:r>
          </w:p>
        </w:tc>
        <w:tc>
          <w:tcPr>
            <w:tcW w:w="960" w:type="dxa"/>
          </w:tcPr>
          <w:p w:rsidR="00000000" w:rsidRDefault="00000000">
            <w:pPr>
              <w:spacing w:after="220"/>
              <w:jc w:val="center"/>
              <w:rPr>
                <w:sz w:val="22"/>
              </w:rPr>
            </w:pPr>
            <w:r>
              <w:rPr>
                <w:sz w:val="22"/>
              </w:rPr>
              <w:t>7</w:t>
            </w:r>
          </w:p>
        </w:tc>
        <w:tc>
          <w:tcPr>
            <w:tcW w:w="2400" w:type="dxa"/>
          </w:tcPr>
          <w:p w:rsidR="00000000" w:rsidRDefault="00000000">
            <w:pPr>
              <w:spacing w:after="220"/>
              <w:rPr>
                <w:sz w:val="22"/>
              </w:rPr>
            </w:pPr>
            <w:r>
              <w:rPr>
                <w:sz w:val="22"/>
              </w:rPr>
              <w:t>Journée de débat général</w:t>
            </w:r>
          </w:p>
        </w:tc>
        <w:tc>
          <w:tcPr>
            <w:tcW w:w="2516" w:type="dxa"/>
          </w:tcPr>
          <w:p w:rsidR="00000000" w:rsidRDefault="00000000">
            <w:pPr>
              <w:spacing w:after="220"/>
              <w:rPr>
                <w:sz w:val="22"/>
              </w:rPr>
            </w:pPr>
            <w:r>
              <w:rPr>
                <w:sz w:val="22"/>
              </w:rPr>
              <w:t>Journée de débat général</w:t>
            </w:r>
          </w:p>
        </w:tc>
      </w:tr>
      <w:tr w:rsidR="00000000">
        <w:tblPrEx>
          <w:tblCellMar>
            <w:top w:w="0" w:type="dxa"/>
            <w:bottom w:w="0" w:type="dxa"/>
          </w:tblCellMar>
        </w:tblPrEx>
        <w:tc>
          <w:tcPr>
            <w:tcW w:w="2830" w:type="dxa"/>
          </w:tcPr>
          <w:p w:rsidR="00000000" w:rsidRDefault="00000000">
            <w:pPr>
              <w:spacing w:after="220"/>
              <w:rPr>
                <w:sz w:val="22"/>
              </w:rPr>
            </w:pPr>
          </w:p>
        </w:tc>
        <w:tc>
          <w:tcPr>
            <w:tcW w:w="840" w:type="dxa"/>
          </w:tcPr>
          <w:p w:rsidR="00000000" w:rsidRDefault="00000000">
            <w:pPr>
              <w:spacing w:after="220"/>
              <w:jc w:val="center"/>
              <w:rPr>
                <w:sz w:val="22"/>
              </w:rPr>
            </w:pPr>
            <w:r>
              <w:rPr>
                <w:sz w:val="22"/>
              </w:rPr>
              <w:t>15 h 00</w:t>
            </w:r>
          </w:p>
        </w:tc>
        <w:tc>
          <w:tcPr>
            <w:tcW w:w="960" w:type="dxa"/>
          </w:tcPr>
          <w:p w:rsidR="00000000" w:rsidRDefault="00000000">
            <w:pPr>
              <w:spacing w:after="220"/>
              <w:jc w:val="center"/>
              <w:rPr>
                <w:sz w:val="22"/>
              </w:rPr>
            </w:pPr>
            <w:r>
              <w:rPr>
                <w:sz w:val="22"/>
              </w:rPr>
              <w:t>7</w:t>
            </w:r>
          </w:p>
        </w:tc>
        <w:tc>
          <w:tcPr>
            <w:tcW w:w="2400" w:type="dxa"/>
          </w:tcPr>
          <w:p w:rsidR="00000000" w:rsidRDefault="00000000">
            <w:pPr>
              <w:spacing w:after="220"/>
              <w:rPr>
                <w:sz w:val="22"/>
              </w:rPr>
            </w:pPr>
            <w:r>
              <w:rPr>
                <w:sz w:val="22"/>
              </w:rPr>
              <w:t>Journée de débat général</w:t>
            </w:r>
          </w:p>
        </w:tc>
        <w:tc>
          <w:tcPr>
            <w:tcW w:w="2516" w:type="dxa"/>
          </w:tcPr>
          <w:p w:rsidR="00000000" w:rsidRDefault="00000000">
            <w:pPr>
              <w:spacing w:after="220"/>
              <w:rPr>
                <w:sz w:val="22"/>
              </w:rPr>
            </w:pPr>
            <w:r>
              <w:rPr>
                <w:sz w:val="22"/>
              </w:rPr>
              <w:t>Journée de débat général</w:t>
            </w:r>
          </w:p>
        </w:tc>
      </w:tr>
      <w:tr w:rsidR="00000000">
        <w:tblPrEx>
          <w:tblCellMar>
            <w:top w:w="0" w:type="dxa"/>
            <w:bottom w:w="0" w:type="dxa"/>
          </w:tblCellMar>
        </w:tblPrEx>
        <w:tc>
          <w:tcPr>
            <w:tcW w:w="2830" w:type="dxa"/>
          </w:tcPr>
          <w:p w:rsidR="00000000" w:rsidRDefault="00000000">
            <w:pPr>
              <w:spacing w:after="220"/>
              <w:rPr>
                <w:sz w:val="22"/>
              </w:rPr>
            </w:pPr>
            <w:r>
              <w:rPr>
                <w:sz w:val="22"/>
              </w:rPr>
              <w:t>Lundi 18 septembre 2006</w:t>
            </w:r>
          </w:p>
        </w:tc>
        <w:tc>
          <w:tcPr>
            <w:tcW w:w="840" w:type="dxa"/>
          </w:tcPr>
          <w:p w:rsidR="00000000" w:rsidRDefault="00000000">
            <w:pPr>
              <w:spacing w:after="220"/>
              <w:jc w:val="center"/>
              <w:rPr>
                <w:sz w:val="22"/>
              </w:rPr>
            </w:pPr>
            <w:r>
              <w:rPr>
                <w:sz w:val="22"/>
              </w:rPr>
              <w:t>10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Swaziland</w:t>
            </w:r>
          </w:p>
        </w:tc>
        <w:tc>
          <w:tcPr>
            <w:tcW w:w="2516" w:type="dxa"/>
          </w:tcPr>
          <w:p w:rsidR="00000000" w:rsidRDefault="00000000">
            <w:pPr>
              <w:spacing w:after="220"/>
              <w:rPr>
                <w:sz w:val="22"/>
              </w:rPr>
            </w:pPr>
            <w:r>
              <w:rPr>
                <w:sz w:val="22"/>
              </w:rPr>
              <w:t>Sénégal deuxième</w:t>
            </w:r>
          </w:p>
        </w:tc>
      </w:tr>
      <w:tr w:rsidR="00000000">
        <w:tblPrEx>
          <w:tblCellMar>
            <w:top w:w="0" w:type="dxa"/>
            <w:bottom w:w="0" w:type="dxa"/>
          </w:tblCellMar>
        </w:tblPrEx>
        <w:tc>
          <w:tcPr>
            <w:tcW w:w="2830" w:type="dxa"/>
          </w:tcPr>
          <w:p w:rsidR="00000000" w:rsidRDefault="00000000">
            <w:pPr>
              <w:spacing w:after="220"/>
              <w:rPr>
                <w:sz w:val="22"/>
              </w:rPr>
            </w:pPr>
          </w:p>
        </w:tc>
        <w:tc>
          <w:tcPr>
            <w:tcW w:w="840" w:type="dxa"/>
          </w:tcPr>
          <w:p w:rsidR="00000000" w:rsidRDefault="00000000">
            <w:pPr>
              <w:spacing w:after="220"/>
              <w:jc w:val="center"/>
              <w:rPr>
                <w:sz w:val="22"/>
              </w:rPr>
            </w:pPr>
            <w:r>
              <w:rPr>
                <w:sz w:val="22"/>
              </w:rPr>
              <w:t>15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 xml:space="preserve">Swaziland </w:t>
            </w:r>
          </w:p>
        </w:tc>
        <w:tc>
          <w:tcPr>
            <w:tcW w:w="2516" w:type="dxa"/>
          </w:tcPr>
          <w:p w:rsidR="00000000" w:rsidRDefault="00000000">
            <w:pPr>
              <w:spacing w:after="220"/>
              <w:rPr>
                <w:sz w:val="22"/>
              </w:rPr>
            </w:pPr>
            <w:r>
              <w:rPr>
                <w:sz w:val="22"/>
              </w:rPr>
              <w:t>Sénégal deuxième</w:t>
            </w:r>
          </w:p>
        </w:tc>
      </w:tr>
      <w:tr w:rsidR="00000000">
        <w:tblPrEx>
          <w:tblCellMar>
            <w:top w:w="0" w:type="dxa"/>
            <w:bottom w:w="0" w:type="dxa"/>
          </w:tblCellMar>
        </w:tblPrEx>
        <w:tc>
          <w:tcPr>
            <w:tcW w:w="2830" w:type="dxa"/>
          </w:tcPr>
          <w:p w:rsidR="00000000" w:rsidRDefault="00000000">
            <w:pPr>
              <w:spacing w:after="220"/>
              <w:rPr>
                <w:sz w:val="22"/>
              </w:rPr>
            </w:pPr>
            <w:r>
              <w:rPr>
                <w:sz w:val="22"/>
              </w:rPr>
              <w:t>Mardi 19 septembre 2006</w:t>
            </w:r>
          </w:p>
        </w:tc>
        <w:tc>
          <w:tcPr>
            <w:tcW w:w="840" w:type="dxa"/>
          </w:tcPr>
          <w:p w:rsidR="00000000" w:rsidRDefault="00000000">
            <w:pPr>
              <w:spacing w:after="220"/>
              <w:jc w:val="center"/>
              <w:rPr>
                <w:sz w:val="22"/>
              </w:rPr>
            </w:pPr>
            <w:r>
              <w:rPr>
                <w:sz w:val="22"/>
              </w:rPr>
              <w:t>10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République du Congo</w:t>
            </w:r>
          </w:p>
        </w:tc>
        <w:tc>
          <w:tcPr>
            <w:tcW w:w="2516" w:type="dxa"/>
          </w:tcPr>
          <w:p w:rsidR="00000000" w:rsidRDefault="00000000">
            <w:pPr>
              <w:spacing w:after="220"/>
              <w:rPr>
                <w:sz w:val="22"/>
              </w:rPr>
            </w:pPr>
            <w:r>
              <w:rPr>
                <w:sz w:val="22"/>
              </w:rPr>
              <w:t>République arabe syrienne OPSC</w:t>
            </w:r>
          </w:p>
        </w:tc>
      </w:tr>
      <w:tr w:rsidR="00000000">
        <w:tblPrEx>
          <w:tblCellMar>
            <w:top w:w="0" w:type="dxa"/>
            <w:bottom w:w="0" w:type="dxa"/>
          </w:tblCellMar>
        </w:tblPrEx>
        <w:tc>
          <w:tcPr>
            <w:tcW w:w="2830" w:type="dxa"/>
          </w:tcPr>
          <w:p w:rsidR="00000000" w:rsidRDefault="00000000">
            <w:pPr>
              <w:spacing w:after="220"/>
              <w:rPr>
                <w:sz w:val="22"/>
              </w:rPr>
            </w:pPr>
          </w:p>
        </w:tc>
        <w:tc>
          <w:tcPr>
            <w:tcW w:w="840" w:type="dxa"/>
          </w:tcPr>
          <w:p w:rsidR="00000000" w:rsidRDefault="00000000">
            <w:pPr>
              <w:spacing w:after="220"/>
              <w:jc w:val="center"/>
              <w:rPr>
                <w:sz w:val="22"/>
              </w:rPr>
            </w:pPr>
            <w:r>
              <w:rPr>
                <w:sz w:val="22"/>
              </w:rPr>
              <w:t>15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République du Congo</w:t>
            </w:r>
          </w:p>
        </w:tc>
        <w:tc>
          <w:tcPr>
            <w:tcW w:w="2516" w:type="dxa"/>
          </w:tcPr>
          <w:p w:rsidR="00000000" w:rsidRDefault="00000000">
            <w:pPr>
              <w:spacing w:after="220"/>
              <w:rPr>
                <w:sz w:val="22"/>
              </w:rPr>
            </w:pPr>
            <w:r>
              <w:rPr>
                <w:sz w:val="22"/>
              </w:rPr>
              <w:t xml:space="preserve">Danemark OPSC </w:t>
            </w:r>
          </w:p>
        </w:tc>
      </w:tr>
      <w:tr w:rsidR="00000000">
        <w:tblPrEx>
          <w:tblCellMar>
            <w:top w:w="0" w:type="dxa"/>
            <w:bottom w:w="0" w:type="dxa"/>
          </w:tblCellMar>
        </w:tblPrEx>
        <w:tc>
          <w:tcPr>
            <w:tcW w:w="2830" w:type="dxa"/>
          </w:tcPr>
          <w:p w:rsidR="00000000" w:rsidRDefault="00000000">
            <w:pPr>
              <w:spacing w:after="220"/>
              <w:rPr>
                <w:sz w:val="22"/>
              </w:rPr>
            </w:pPr>
            <w:r>
              <w:rPr>
                <w:sz w:val="22"/>
              </w:rPr>
              <w:t>Mercredi 20 septembre 2006</w:t>
            </w:r>
          </w:p>
        </w:tc>
        <w:tc>
          <w:tcPr>
            <w:tcW w:w="840" w:type="dxa"/>
          </w:tcPr>
          <w:p w:rsidR="00000000" w:rsidRDefault="00000000">
            <w:pPr>
              <w:spacing w:after="220"/>
              <w:jc w:val="center"/>
              <w:rPr>
                <w:sz w:val="22"/>
              </w:rPr>
            </w:pPr>
            <w:r>
              <w:rPr>
                <w:sz w:val="22"/>
              </w:rPr>
              <w:t>10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Bénin deuxième</w:t>
            </w:r>
          </w:p>
        </w:tc>
        <w:tc>
          <w:tcPr>
            <w:tcW w:w="2516" w:type="dxa"/>
          </w:tcPr>
          <w:p w:rsidR="00000000" w:rsidRDefault="00000000">
            <w:pPr>
              <w:spacing w:after="220"/>
              <w:rPr>
                <w:sz w:val="22"/>
              </w:rPr>
            </w:pPr>
            <w:r>
              <w:rPr>
                <w:sz w:val="22"/>
              </w:rPr>
              <w:t>Irlande deuxième</w:t>
            </w:r>
          </w:p>
        </w:tc>
      </w:tr>
      <w:tr w:rsidR="00000000">
        <w:tblPrEx>
          <w:tblCellMar>
            <w:top w:w="0" w:type="dxa"/>
            <w:bottom w:w="0" w:type="dxa"/>
          </w:tblCellMar>
        </w:tblPrEx>
        <w:tc>
          <w:tcPr>
            <w:tcW w:w="2830" w:type="dxa"/>
          </w:tcPr>
          <w:p w:rsidR="00000000" w:rsidRDefault="00000000">
            <w:pPr>
              <w:spacing w:after="220"/>
              <w:rPr>
                <w:sz w:val="22"/>
              </w:rPr>
            </w:pPr>
          </w:p>
        </w:tc>
        <w:tc>
          <w:tcPr>
            <w:tcW w:w="840" w:type="dxa"/>
          </w:tcPr>
          <w:p w:rsidR="00000000" w:rsidRDefault="00000000">
            <w:pPr>
              <w:spacing w:after="220"/>
              <w:jc w:val="center"/>
              <w:rPr>
                <w:sz w:val="22"/>
              </w:rPr>
            </w:pPr>
            <w:r>
              <w:rPr>
                <w:sz w:val="22"/>
              </w:rPr>
              <w:t>15 h 00</w:t>
            </w:r>
          </w:p>
        </w:tc>
        <w:tc>
          <w:tcPr>
            <w:tcW w:w="960" w:type="dxa"/>
          </w:tcPr>
          <w:p w:rsidR="00000000" w:rsidRDefault="00000000">
            <w:pPr>
              <w:spacing w:after="220"/>
              <w:jc w:val="center"/>
              <w:rPr>
                <w:sz w:val="22"/>
              </w:rPr>
            </w:pPr>
            <w:r>
              <w:rPr>
                <w:sz w:val="22"/>
              </w:rPr>
              <w:t>4</w:t>
            </w:r>
          </w:p>
        </w:tc>
        <w:tc>
          <w:tcPr>
            <w:tcW w:w="2400" w:type="dxa"/>
          </w:tcPr>
          <w:p w:rsidR="00000000" w:rsidRDefault="00000000">
            <w:pPr>
              <w:spacing w:after="220"/>
              <w:rPr>
                <w:sz w:val="22"/>
              </w:rPr>
            </w:pPr>
            <w:r>
              <w:rPr>
                <w:sz w:val="22"/>
              </w:rPr>
              <w:t>Bénin deuxième</w:t>
            </w:r>
          </w:p>
        </w:tc>
        <w:tc>
          <w:tcPr>
            <w:tcW w:w="2516" w:type="dxa"/>
          </w:tcPr>
          <w:p w:rsidR="00000000" w:rsidRDefault="00000000">
            <w:pPr>
              <w:spacing w:after="220"/>
              <w:rPr>
                <w:sz w:val="22"/>
              </w:rPr>
            </w:pPr>
            <w:r>
              <w:rPr>
                <w:sz w:val="22"/>
              </w:rPr>
              <w:t>Irlande deuxième</w:t>
            </w:r>
          </w:p>
        </w:tc>
      </w:tr>
      <w:tr w:rsidR="00000000">
        <w:tblPrEx>
          <w:tblCellMar>
            <w:top w:w="0" w:type="dxa"/>
            <w:bottom w:w="0" w:type="dxa"/>
          </w:tblCellMar>
        </w:tblPrEx>
        <w:tc>
          <w:tcPr>
            <w:tcW w:w="2830" w:type="dxa"/>
          </w:tcPr>
          <w:p w:rsidR="00000000" w:rsidRDefault="00000000">
            <w:pPr>
              <w:spacing w:after="220"/>
              <w:rPr>
                <w:sz w:val="22"/>
              </w:rPr>
            </w:pPr>
            <w:r>
              <w:rPr>
                <w:sz w:val="22"/>
              </w:rPr>
              <w:t>Vendredi 22 septembre 2006</w:t>
            </w:r>
          </w:p>
        </w:tc>
        <w:tc>
          <w:tcPr>
            <w:tcW w:w="840" w:type="dxa"/>
          </w:tcPr>
          <w:p w:rsidR="00000000" w:rsidRDefault="00000000">
            <w:pPr>
              <w:spacing w:after="220"/>
              <w:jc w:val="center"/>
              <w:rPr>
                <w:sz w:val="22"/>
              </w:rPr>
            </w:pPr>
            <w:r>
              <w:rPr>
                <w:sz w:val="22"/>
              </w:rPr>
              <w:t>10 h 00</w:t>
            </w:r>
          </w:p>
        </w:tc>
        <w:tc>
          <w:tcPr>
            <w:tcW w:w="960" w:type="dxa"/>
          </w:tcPr>
          <w:p w:rsidR="00000000" w:rsidRDefault="00000000">
            <w:pPr>
              <w:spacing w:after="220"/>
              <w:jc w:val="center"/>
              <w:rPr>
                <w:sz w:val="22"/>
                <w:lang w:val="nl-NL"/>
              </w:rPr>
            </w:pPr>
            <w:r>
              <w:rPr>
                <w:sz w:val="22"/>
                <w:lang w:val="nl-NL"/>
              </w:rPr>
              <w:t>4</w:t>
            </w:r>
          </w:p>
        </w:tc>
        <w:tc>
          <w:tcPr>
            <w:tcW w:w="2400" w:type="dxa"/>
          </w:tcPr>
          <w:p w:rsidR="00000000" w:rsidRDefault="00000000">
            <w:pPr>
              <w:spacing w:after="220"/>
              <w:rPr>
                <w:sz w:val="22"/>
                <w:lang w:val="nl-NL"/>
              </w:rPr>
            </w:pPr>
            <w:r>
              <w:rPr>
                <w:sz w:val="22"/>
                <w:lang w:val="nl-NL"/>
              </w:rPr>
              <w:t>Viet Nam OPAC et OPSC</w:t>
            </w:r>
          </w:p>
        </w:tc>
        <w:tc>
          <w:tcPr>
            <w:tcW w:w="2516" w:type="dxa"/>
          </w:tcPr>
          <w:p w:rsidR="00000000" w:rsidRDefault="00000000">
            <w:pPr>
              <w:spacing w:after="220"/>
              <w:rPr>
                <w:sz w:val="22"/>
              </w:rPr>
            </w:pPr>
            <w:r>
              <w:rPr>
                <w:sz w:val="22"/>
              </w:rPr>
              <w:t>Jordanie troisième</w:t>
            </w:r>
          </w:p>
        </w:tc>
      </w:tr>
      <w:tr w:rsidR="00000000">
        <w:tblPrEx>
          <w:tblCellMar>
            <w:top w:w="0" w:type="dxa"/>
            <w:bottom w:w="0" w:type="dxa"/>
          </w:tblCellMar>
        </w:tblPrEx>
        <w:tc>
          <w:tcPr>
            <w:tcW w:w="2830" w:type="dxa"/>
          </w:tcPr>
          <w:p w:rsidR="00000000" w:rsidRDefault="00000000">
            <w:pPr>
              <w:spacing w:after="220"/>
              <w:rPr>
                <w:sz w:val="22"/>
              </w:rPr>
            </w:pPr>
          </w:p>
        </w:tc>
        <w:tc>
          <w:tcPr>
            <w:tcW w:w="840" w:type="dxa"/>
          </w:tcPr>
          <w:p w:rsidR="00000000" w:rsidRDefault="00000000">
            <w:pPr>
              <w:spacing w:after="220"/>
              <w:jc w:val="center"/>
              <w:rPr>
                <w:sz w:val="22"/>
              </w:rPr>
            </w:pPr>
            <w:r>
              <w:rPr>
                <w:sz w:val="22"/>
              </w:rPr>
              <w:t>15 h 00</w:t>
            </w:r>
          </w:p>
        </w:tc>
        <w:tc>
          <w:tcPr>
            <w:tcW w:w="960" w:type="dxa"/>
          </w:tcPr>
          <w:p w:rsidR="00000000" w:rsidRDefault="00000000">
            <w:pPr>
              <w:spacing w:after="220"/>
              <w:jc w:val="center"/>
              <w:rPr>
                <w:sz w:val="22"/>
                <w:lang w:val="nl-NL"/>
              </w:rPr>
            </w:pPr>
            <w:r>
              <w:rPr>
                <w:sz w:val="22"/>
                <w:lang w:val="nl-NL"/>
              </w:rPr>
              <w:t>4</w:t>
            </w:r>
          </w:p>
        </w:tc>
        <w:tc>
          <w:tcPr>
            <w:tcW w:w="2400" w:type="dxa"/>
          </w:tcPr>
          <w:p w:rsidR="00000000" w:rsidRDefault="00000000">
            <w:pPr>
              <w:spacing w:after="220"/>
              <w:rPr>
                <w:sz w:val="22"/>
                <w:lang w:val="nl-NL"/>
              </w:rPr>
            </w:pPr>
            <w:r>
              <w:rPr>
                <w:sz w:val="22"/>
                <w:lang w:val="nl-NL"/>
              </w:rPr>
              <w:t>Viet Nam OPAC et OPSC</w:t>
            </w:r>
          </w:p>
        </w:tc>
        <w:tc>
          <w:tcPr>
            <w:tcW w:w="2516" w:type="dxa"/>
          </w:tcPr>
          <w:p w:rsidR="00000000" w:rsidRDefault="00000000">
            <w:pPr>
              <w:spacing w:after="220"/>
              <w:rPr>
                <w:sz w:val="22"/>
              </w:rPr>
            </w:pPr>
            <w:r>
              <w:rPr>
                <w:sz w:val="22"/>
              </w:rPr>
              <w:t>Jordanie troisième</w:t>
            </w:r>
          </w:p>
        </w:tc>
      </w:tr>
    </w:tbl>
    <w:p w:rsidR="00000000" w:rsidRDefault="00000000">
      <w:pPr>
        <w:spacing w:after="240"/>
      </w:pPr>
      <w:r>
        <w:t>6.</w:t>
      </w:r>
      <w:r>
        <w:tab/>
        <w:t>Conformément à l’article 68 du règlement intérieur provisoire du Comité, des représentants des États parties seront invités à assister aux séances du Comité au cours desquelles le rapport de</w:t>
      </w:r>
      <w:r>
        <w:rPr>
          <w:b/>
          <w:bCs/>
        </w:rPr>
        <w:t> </w:t>
      </w:r>
      <w:r>
        <w:t xml:space="preserve">leur pays sera examiné. Ils devront être en mesure de répondre aux questions qui leur seront posées par le Comité et de fournir des indications sur les rapports déjà présentés par le gouvernement de leur pays; ils pourront également fournir des renseignements complémentaires. En application de la décision </w:t>
      </w:r>
      <w:r>
        <w:rPr>
          <w:rFonts w:eastAsia="MS Mincho"/>
        </w:rPr>
        <w:t>n</w:t>
      </w:r>
      <w:r>
        <w:rPr>
          <w:rFonts w:eastAsia="MS Mincho"/>
          <w:vertAlign w:val="superscript"/>
        </w:rPr>
        <w:t>o</w:t>
      </w:r>
      <w:r>
        <w:t> 8 que le Comité a adoptée à sa trente</w:t>
      </w:r>
      <w:r>
        <w:noBreakHyphen/>
        <w:t>neuvième session, en juin 2005, les États parties qui n’éprouvent pas de graves difficultés à respecter et à mettre en œuvre les dispositions du Protocole facultatif concernant l’implication d’enfants dans les conflits armés pourront choisir entre un examen technique (procédure écrite) ou un examen ordinaire dans le cadre d’un dialogue avec le Comité.</w:t>
      </w:r>
    </w:p>
    <w:p w:rsidR="00000000" w:rsidRDefault="00000000">
      <w:pPr>
        <w:spacing w:after="240"/>
      </w:pPr>
      <w:r>
        <w:t>7.</w:t>
      </w:r>
      <w:r>
        <w:tab/>
        <w:t>Conformément à l’article 68 du règlement intérieur provisoire, le Secrétaire général a notifié aux États parties concernés la date d’ouverture, la durée et le lieu de la quarante</w:t>
      </w:r>
      <w:r>
        <w:noBreakHyphen/>
        <w:t>troisième session du Comité, au</w:t>
      </w:r>
      <w:r>
        <w:rPr>
          <w:b/>
          <w:bCs/>
        </w:rPr>
        <w:t xml:space="preserve"> </w:t>
      </w:r>
      <w:r>
        <w:t>cours de laquelle leur rapport sera examiné, et les a invités à envoyer des représentants qui assisteront aux séances du Comité consacrées à l’examen du rapport de leur</w:t>
      </w:r>
      <w:r>
        <w:rPr>
          <w:b/>
          <w:bCs/>
        </w:rPr>
        <w:t> </w:t>
      </w:r>
      <w:r>
        <w:t>pays.</w:t>
      </w:r>
    </w:p>
    <w:p w:rsidR="00000000" w:rsidRDefault="00000000">
      <w:pPr>
        <w:keepNext/>
        <w:spacing w:after="240"/>
        <w:jc w:val="center"/>
        <w:rPr>
          <w:b/>
          <w:bCs/>
        </w:rPr>
      </w:pPr>
      <w:r>
        <w:rPr>
          <w:b/>
          <w:bCs/>
          <w:noProof/>
        </w:rPr>
        <w:t xml:space="preserve">Point 5.  </w:t>
      </w:r>
      <w:r>
        <w:rPr>
          <w:b/>
          <w:bCs/>
        </w:rPr>
        <w:t>Coopération avec d’autres organismes des Nations Unies, les institutions spécialisées et d’autres organismes compétents</w:t>
      </w:r>
    </w:p>
    <w:p w:rsidR="00000000" w:rsidRDefault="00000000">
      <w:pPr>
        <w:spacing w:after="240"/>
      </w:pPr>
      <w:r>
        <w:t>8.</w:t>
      </w:r>
      <w:r>
        <w:tab/>
        <w:t>Au titre de ce point, le Comité continuera à examiner de quelle manière et dans quels domaines il pourrait renforcer encore sa coopération avec divers organismes compétents en vue de développer la promotion et la protection des droits de l’enfant.</w:t>
      </w:r>
    </w:p>
    <w:p w:rsidR="00000000" w:rsidRDefault="00000000">
      <w:pPr>
        <w:keepNext/>
        <w:spacing w:after="240"/>
        <w:jc w:val="center"/>
        <w:rPr>
          <w:b/>
          <w:bCs/>
        </w:rPr>
      </w:pPr>
      <w:r>
        <w:rPr>
          <w:b/>
          <w:bCs/>
        </w:rPr>
        <w:t>Point 6.  Méthodes de travail du Comité</w:t>
      </w:r>
    </w:p>
    <w:p w:rsidR="00000000" w:rsidRDefault="00000000">
      <w:pPr>
        <w:spacing w:after="240"/>
      </w:pPr>
      <w:r>
        <w:t>9.</w:t>
      </w:r>
      <w:r>
        <w:tab/>
        <w:t>Au titre de ce point, le Comité poursuivra les débats sur l’organisation de</w:t>
      </w:r>
      <w:r>
        <w:rPr>
          <w:b/>
          <w:bCs/>
        </w:rPr>
        <w:t xml:space="preserve"> </w:t>
      </w:r>
      <w:r>
        <w:t>ses travaux futurs, ainsi que sur la procédure à suivre pour l’examen et le suivi des rapports des États parties, y</w:t>
      </w:r>
      <w:r>
        <w:rPr>
          <w:b/>
          <w:bCs/>
        </w:rPr>
        <w:t xml:space="preserve"> </w:t>
      </w:r>
      <w:r>
        <w:t>compris, le cas échéant, les domaines dans lesquels une assistance technique se révèle nécessaire.</w:t>
      </w:r>
    </w:p>
    <w:p w:rsidR="00000000" w:rsidRDefault="00000000">
      <w:pPr>
        <w:keepNext/>
        <w:spacing w:after="240"/>
        <w:jc w:val="center"/>
        <w:rPr>
          <w:b/>
          <w:bCs/>
        </w:rPr>
      </w:pPr>
      <w:r>
        <w:rPr>
          <w:b/>
          <w:bCs/>
        </w:rPr>
        <w:t>Point 7.  Journée de débat général</w:t>
      </w:r>
    </w:p>
    <w:p w:rsidR="00000000" w:rsidRDefault="00000000">
      <w:pPr>
        <w:spacing w:after="240"/>
      </w:pPr>
      <w:r>
        <w:t>10.</w:t>
      </w:r>
      <w:r>
        <w:tab/>
        <w:t>Conformément à l’article 75 du règlement intérieur provisoire, le Comité a décidé à sa </w:t>
      </w:r>
      <w:r>
        <w:rPr>
          <w:lang w:eastAsia="en-GB" w:bidi="he-IL"/>
        </w:rPr>
        <w:t>quarantième</w:t>
      </w:r>
      <w:r>
        <w:t xml:space="preserve"> session qu’une journée de débat général se tiendrait au cours de sa quarante</w:t>
      </w:r>
      <w:r>
        <w:noBreakHyphen/>
        <w:t xml:space="preserve">troisième session sur le thème «Le droit pour l’enfant d’être entendu» et aurait lieu le vendredi 15 septembre 2006. À sa </w:t>
      </w:r>
      <w:r>
        <w:rPr>
          <w:lang w:eastAsia="en-GB" w:bidi="he-IL"/>
        </w:rPr>
        <w:t xml:space="preserve">quarante et unième </w:t>
      </w:r>
      <w:r>
        <w:t>session, le Comité a adopté le plan d’ensemble de la journée de débat général (voir CRC/C/41/3, annexe II). Des documents et des informations concernant cette journée de débat général sont affichés sur la page Web du Comité des droits de l’enfant (</w:t>
      </w:r>
      <w:hyperlink r:id="rId8" w:history="1">
        <w:r>
          <w:rPr>
            <w:rStyle w:val="Hyperlink"/>
          </w:rPr>
          <w:t>www.ohchr.org</w:t>
        </w:r>
      </w:hyperlink>
      <w:r>
        <w:t>).</w:t>
      </w:r>
    </w:p>
    <w:p w:rsidR="00000000" w:rsidRDefault="00000000">
      <w:pPr>
        <w:keepNext/>
        <w:spacing w:after="240"/>
        <w:jc w:val="center"/>
        <w:rPr>
          <w:b/>
          <w:bCs/>
        </w:rPr>
      </w:pPr>
      <w:r>
        <w:rPr>
          <w:b/>
          <w:bCs/>
        </w:rPr>
        <w:t>Point 8.  Observations générales</w:t>
      </w:r>
    </w:p>
    <w:p w:rsidR="00000000" w:rsidRDefault="00000000">
      <w:pPr>
        <w:spacing w:after="240"/>
      </w:pPr>
      <w:r>
        <w:t>11.</w:t>
      </w:r>
      <w:r>
        <w:tab/>
        <w:t>Au titre de ce point, le Comité poursuivra l’élaboration d’observations générales fondées sur les principes et dispositions de la</w:t>
      </w:r>
      <w:r>
        <w:rPr>
          <w:b/>
          <w:bCs/>
        </w:rPr>
        <w:t xml:space="preserve"> </w:t>
      </w:r>
      <w:r>
        <w:t>Convention.</w:t>
      </w:r>
    </w:p>
    <w:p w:rsidR="00000000" w:rsidRDefault="00000000">
      <w:pPr>
        <w:keepNext/>
        <w:spacing w:after="240"/>
        <w:jc w:val="center"/>
        <w:rPr>
          <w:b/>
          <w:bCs/>
        </w:rPr>
      </w:pPr>
      <w:r>
        <w:rPr>
          <w:b/>
          <w:bCs/>
        </w:rPr>
        <w:t>Point 9.  Réunions futures</w:t>
      </w:r>
    </w:p>
    <w:p w:rsidR="00000000" w:rsidRDefault="00000000">
      <w:pPr>
        <w:spacing w:after="240"/>
      </w:pPr>
      <w:r>
        <w:t>12.</w:t>
      </w:r>
      <w:r>
        <w:tab/>
        <w:t>Au titre de ce point, le Comité sera informé de tous faits récents ayant une incidence sur le</w:t>
      </w:r>
      <w:r>
        <w:rPr>
          <w:b/>
          <w:bCs/>
        </w:rPr>
        <w:t> </w:t>
      </w:r>
      <w:r>
        <w:t>calendrier de ses réunions à venir.</w:t>
      </w:r>
    </w:p>
    <w:p w:rsidR="00000000" w:rsidRDefault="00000000">
      <w:pPr>
        <w:keepNext/>
        <w:spacing w:after="240"/>
        <w:jc w:val="center"/>
        <w:rPr>
          <w:b/>
          <w:bCs/>
        </w:rPr>
      </w:pPr>
      <w:r>
        <w:rPr>
          <w:b/>
          <w:bCs/>
        </w:rPr>
        <w:t>Point 10.  Questions diverses</w:t>
      </w:r>
    </w:p>
    <w:p w:rsidR="00000000" w:rsidRDefault="00000000">
      <w:pPr>
        <w:spacing w:after="240"/>
      </w:pPr>
      <w:r>
        <w:t>13.</w:t>
      </w:r>
      <w:r>
        <w:tab/>
        <w:t>Au titre de ce point, les membres examineront, si</w:t>
      </w:r>
      <w:r>
        <w:rPr>
          <w:b/>
          <w:bCs/>
        </w:rPr>
        <w:t xml:space="preserve"> </w:t>
      </w:r>
      <w:r>
        <w:t>nécessaire, toute autre question intéressant les travaux du Comité.</w:t>
      </w:r>
    </w:p>
    <w:p w:rsidR="00000000" w:rsidRDefault="00000000">
      <w:pPr>
        <w:tabs>
          <w:tab w:val="right" w:pos="3195"/>
        </w:tabs>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43048  (F)    240706    240706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CRC/C/43/1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920"/>
      </w:tabs>
    </w:pPr>
    <w:r>
      <w:tab/>
      <w:t>CRC/C/43/1</w:t>
    </w:r>
  </w:p>
  <w:p w:rsidR="00000000" w:rsidRDefault="00000000">
    <w:pPr>
      <w:pStyle w:val="Header"/>
      <w:tabs>
        <w:tab w:val="clear" w:pos="4320"/>
        <w:tab w:val="clear" w:pos="8640"/>
        <w:tab w:val="left" w:pos="7920"/>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nl-NL"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6</Pages>
  <Words>1294</Words>
  <Characters>7377</Characters>
  <Application>Microsoft Office Word</Application>
  <DocSecurity>4</DocSecurity>
  <Lines>61</Lines>
  <Paragraphs>14</Paragraphs>
  <ScaleCrop>false</ScaleCrop>
  <HeadingPairs>
    <vt:vector size="2" baseType="variant">
      <vt:variant>
        <vt:lpstr>Titre</vt:lpstr>
      </vt:variant>
      <vt:variant>
        <vt:i4>1</vt:i4>
      </vt:variant>
    </vt:vector>
  </HeadingPairs>
  <TitlesOfParts>
    <vt:vector size="1" baseType="lpstr">
      <vt:lpstr>CRC/C/43/1</vt:lpstr>
    </vt:vector>
  </TitlesOfParts>
  <Company/>
  <LinksUpToDate>false</LinksUpToDate>
  <CharactersWithSpaces>9059</CharactersWithSpaces>
  <SharedDoc>false</SharedDoc>
  <HLinks>
    <vt:vector size="6" baseType="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CRC/C/43/1</dc:title>
  <dc:subject>Final (Bourdé/Challali)</dc:subject>
  <dc:creator>Moret-Var</dc:creator>
  <cp:keywords/>
  <dc:description/>
  <cp:lastModifiedBy>MICHEL Brigitte</cp:lastModifiedBy>
  <cp:revision>2</cp:revision>
  <cp:lastPrinted>2006-07-24T16:38:00Z</cp:lastPrinted>
  <dcterms:created xsi:type="dcterms:W3CDTF">2006-07-24T16:41:00Z</dcterms:created>
  <dcterms:modified xsi:type="dcterms:W3CDTF">2006-07-24T16:41:00Z</dcterms:modified>
</cp:coreProperties>
</file>