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792338" w:rsidRPr="00792338">
        <w:trPr>
          <w:trHeight w:hRule="exact" w:val="851"/>
        </w:trPr>
        <w:tc>
          <w:tcPr>
            <w:tcW w:w="1276" w:type="dxa"/>
            <w:tcBorders>
              <w:bottom w:val="single" w:sz="4" w:space="0" w:color="auto"/>
            </w:tcBorders>
            <w:vAlign w:val="bottom"/>
          </w:tcPr>
          <w:p w:rsidR="00B56E9C" w:rsidRPr="00792338" w:rsidRDefault="00806691" w:rsidP="00B6553F">
            <w:pPr>
              <w:spacing w:after="80"/>
            </w:pPr>
            <w:r>
              <w:t xml:space="preserve"> </w:t>
            </w:r>
          </w:p>
        </w:tc>
        <w:tc>
          <w:tcPr>
            <w:tcW w:w="1985" w:type="dxa"/>
            <w:tcBorders>
              <w:bottom w:val="single" w:sz="4" w:space="0" w:color="auto"/>
            </w:tcBorders>
            <w:vAlign w:val="bottom"/>
          </w:tcPr>
          <w:p w:rsidR="00B56E9C" w:rsidRPr="00792338" w:rsidRDefault="005D5AC7" w:rsidP="00B6553F">
            <w:pPr>
              <w:spacing w:after="80" w:line="300" w:lineRule="exact"/>
              <w:rPr>
                <w:b/>
                <w:sz w:val="24"/>
                <w:szCs w:val="24"/>
              </w:rPr>
            </w:pPr>
            <w:r w:rsidRPr="00792338">
              <w:rPr>
                <w:sz w:val="28"/>
                <w:szCs w:val="28"/>
              </w:rPr>
              <w:t>United Nations</w:t>
            </w:r>
          </w:p>
        </w:tc>
        <w:tc>
          <w:tcPr>
            <w:tcW w:w="6378" w:type="dxa"/>
            <w:gridSpan w:val="2"/>
            <w:tcBorders>
              <w:bottom w:val="single" w:sz="4" w:space="0" w:color="auto"/>
            </w:tcBorders>
            <w:vAlign w:val="bottom"/>
          </w:tcPr>
          <w:p w:rsidR="00B56E9C" w:rsidRPr="00792338" w:rsidRDefault="00785A61" w:rsidP="00A90815">
            <w:pPr>
              <w:jc w:val="right"/>
              <w:rPr>
                <w:lang w:val="en-US"/>
              </w:rPr>
            </w:pPr>
            <w:r w:rsidRPr="00792338">
              <w:rPr>
                <w:sz w:val="40"/>
                <w:lang w:val="en-US"/>
              </w:rPr>
              <w:t>CAT</w:t>
            </w:r>
            <w:r w:rsidRPr="00792338">
              <w:rPr>
                <w:lang w:val="en-US"/>
              </w:rPr>
              <w:t>/C/</w:t>
            </w:r>
            <w:r w:rsidR="000360C6" w:rsidRPr="00792338">
              <w:rPr>
                <w:lang w:val="en-US"/>
              </w:rPr>
              <w:t>5</w:t>
            </w:r>
            <w:r w:rsidR="00244D95" w:rsidRPr="00792338">
              <w:rPr>
                <w:lang w:val="en-US"/>
              </w:rPr>
              <w:t>8</w:t>
            </w:r>
            <w:r w:rsidRPr="00792338">
              <w:rPr>
                <w:lang w:val="en-US"/>
              </w:rPr>
              <w:t>/</w:t>
            </w:r>
            <w:r w:rsidR="00A90815">
              <w:rPr>
                <w:lang w:val="en-US"/>
              </w:rPr>
              <w:t>D</w:t>
            </w:r>
            <w:r w:rsidR="000077B8" w:rsidRPr="00792338">
              <w:rPr>
                <w:lang w:val="en-US"/>
              </w:rPr>
              <w:t>/</w:t>
            </w:r>
            <w:r w:rsidR="00244D95" w:rsidRPr="00792338">
              <w:rPr>
                <w:lang w:val="en-US"/>
              </w:rPr>
              <w:t>609</w:t>
            </w:r>
            <w:r w:rsidRPr="00792338">
              <w:rPr>
                <w:lang w:val="en-US"/>
              </w:rPr>
              <w:t>/</w:t>
            </w:r>
            <w:r w:rsidR="00244D95" w:rsidRPr="00792338">
              <w:rPr>
                <w:lang w:val="en-US"/>
              </w:rPr>
              <w:t>2014</w:t>
            </w:r>
          </w:p>
        </w:tc>
      </w:tr>
      <w:tr w:rsidR="00792338" w:rsidRPr="00792338">
        <w:trPr>
          <w:cantSplit/>
          <w:trHeight w:hRule="exact" w:val="2835"/>
        </w:trPr>
        <w:tc>
          <w:tcPr>
            <w:tcW w:w="1276" w:type="dxa"/>
            <w:tcBorders>
              <w:top w:val="single" w:sz="4" w:space="0" w:color="auto"/>
              <w:bottom w:val="single" w:sz="12" w:space="0" w:color="auto"/>
            </w:tcBorders>
          </w:tcPr>
          <w:p w:rsidR="00B56E9C" w:rsidRPr="00792338" w:rsidRDefault="00466BCB" w:rsidP="00B6553F">
            <w:pPr>
              <w:spacing w:before="120"/>
            </w:pPr>
            <w:r>
              <w:rPr>
                <w:noProof/>
                <w:lang w:eastAsia="zh-CN"/>
              </w:rPr>
              <w:drawing>
                <wp:inline distT="0" distB="0" distL="0" distR="0" wp14:anchorId="5C40385F" wp14:editId="26BF7446">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5D5AC7" w:rsidP="00267F5F">
            <w:pPr>
              <w:spacing w:before="120" w:line="380" w:lineRule="exact"/>
              <w:rPr>
                <w:b/>
                <w:sz w:val="34"/>
                <w:szCs w:val="34"/>
              </w:rPr>
            </w:pPr>
            <w:r w:rsidRPr="00792338">
              <w:rPr>
                <w:b/>
                <w:sz w:val="34"/>
                <w:szCs w:val="34"/>
              </w:rPr>
              <w:t>Convention against Torture</w:t>
            </w:r>
            <w:r w:rsidRPr="00792338">
              <w:rPr>
                <w:b/>
                <w:sz w:val="34"/>
                <w:szCs w:val="34"/>
              </w:rPr>
              <w:br/>
              <w:t>and Other Cruel, Inhuman or Degrading Treatment</w:t>
            </w:r>
            <w:r w:rsidRPr="00792338">
              <w:rPr>
                <w:b/>
                <w:sz w:val="34"/>
                <w:szCs w:val="34"/>
              </w:rPr>
              <w:br/>
              <w:t>or Punishment</w:t>
            </w:r>
          </w:p>
          <w:p w:rsidR="002D01E0" w:rsidRPr="00E008F8" w:rsidRDefault="002D01E0" w:rsidP="00267F5F">
            <w:pPr>
              <w:spacing w:before="120" w:line="380" w:lineRule="exact"/>
              <w:rPr>
                <w:sz w:val="24"/>
                <w:szCs w:val="24"/>
              </w:rPr>
            </w:pPr>
          </w:p>
        </w:tc>
        <w:tc>
          <w:tcPr>
            <w:tcW w:w="2835" w:type="dxa"/>
            <w:tcBorders>
              <w:top w:val="single" w:sz="4" w:space="0" w:color="auto"/>
              <w:bottom w:val="single" w:sz="12" w:space="0" w:color="auto"/>
            </w:tcBorders>
          </w:tcPr>
          <w:p w:rsidR="00AD2038" w:rsidRPr="00792338" w:rsidRDefault="00785A61" w:rsidP="00B02F55">
            <w:pPr>
              <w:suppressAutoHyphens w:val="0"/>
              <w:spacing w:before="240" w:line="240" w:lineRule="exact"/>
            </w:pPr>
            <w:r w:rsidRPr="00792338">
              <w:t xml:space="preserve">Distr.: </w:t>
            </w:r>
            <w:r w:rsidR="00AC1811">
              <w:t>General</w:t>
            </w:r>
          </w:p>
          <w:p w:rsidR="00785A61" w:rsidRPr="00792338" w:rsidRDefault="002667AE" w:rsidP="00E008F8">
            <w:pPr>
              <w:spacing w:line="240" w:lineRule="exact"/>
            </w:pPr>
            <w:r>
              <w:t>20</w:t>
            </w:r>
            <w:r w:rsidR="00466BCB">
              <w:t xml:space="preserve"> September</w:t>
            </w:r>
            <w:r w:rsidR="00DA2B51">
              <w:t xml:space="preserve"> </w:t>
            </w:r>
            <w:r w:rsidR="00792338" w:rsidRPr="000A284D">
              <w:t>2016</w:t>
            </w:r>
          </w:p>
          <w:p w:rsidR="00785A61" w:rsidRPr="00792338" w:rsidRDefault="00785A61" w:rsidP="00785A61">
            <w:pPr>
              <w:spacing w:line="240" w:lineRule="exact"/>
            </w:pPr>
          </w:p>
          <w:p w:rsidR="00DA2B51" w:rsidRDefault="00DA2B51" w:rsidP="00DA2B51">
            <w:pPr>
              <w:spacing w:line="240" w:lineRule="exact"/>
            </w:pPr>
            <w:r>
              <w:t>Original: English</w:t>
            </w:r>
          </w:p>
          <w:p w:rsidR="00991F66" w:rsidRPr="00792338" w:rsidRDefault="00991F66" w:rsidP="00BC2820">
            <w:pPr>
              <w:spacing w:line="240" w:lineRule="exact"/>
            </w:pPr>
          </w:p>
        </w:tc>
      </w:tr>
    </w:tbl>
    <w:p w:rsidR="007107CD" w:rsidRPr="00792338" w:rsidRDefault="007107CD" w:rsidP="007107CD">
      <w:pPr>
        <w:spacing w:before="120"/>
        <w:rPr>
          <w:b/>
          <w:sz w:val="24"/>
          <w:szCs w:val="24"/>
        </w:rPr>
      </w:pPr>
      <w:r w:rsidRPr="00792338">
        <w:rPr>
          <w:b/>
          <w:sz w:val="24"/>
          <w:szCs w:val="24"/>
        </w:rPr>
        <w:t>Committee against Torture</w:t>
      </w:r>
    </w:p>
    <w:p w:rsidR="007107CD" w:rsidRPr="00792338" w:rsidRDefault="007107CD" w:rsidP="002D01E0">
      <w:pPr>
        <w:pStyle w:val="HChG"/>
      </w:pPr>
      <w:r w:rsidRPr="00792338">
        <w:rPr>
          <w:snapToGrid w:val="0"/>
        </w:rPr>
        <w:tab/>
      </w:r>
      <w:r w:rsidRPr="00792338">
        <w:rPr>
          <w:snapToGrid w:val="0"/>
        </w:rPr>
        <w:tab/>
      </w:r>
      <w:r w:rsidR="00885249" w:rsidRPr="00E008F8">
        <w:t xml:space="preserve">Decision adopted by the Committee </w:t>
      </w:r>
      <w:r w:rsidR="00885249" w:rsidRPr="00E008F8">
        <w:rPr>
          <w:rFonts w:eastAsia="Calibri"/>
        </w:rPr>
        <w:t xml:space="preserve">under article 22 of the Convention, concerning </w:t>
      </w:r>
      <w:r w:rsidR="00885249" w:rsidRPr="00E008F8">
        <w:t xml:space="preserve">communication </w:t>
      </w:r>
      <w:r w:rsidRPr="00E008F8">
        <w:t>No. 609/2014</w:t>
      </w:r>
      <w:r w:rsidR="002D01E0" w:rsidRPr="00E008F8">
        <w:rPr>
          <w:rStyle w:val="FootnoteReference"/>
          <w:b w:val="0"/>
          <w:bCs/>
          <w:snapToGrid w:val="0"/>
          <w:sz w:val="20"/>
          <w:vertAlign w:val="baseline"/>
        </w:rPr>
        <w:footnoteReference w:customMarkFollows="1" w:id="2"/>
        <w:t>*</w:t>
      </w:r>
      <w:r w:rsidR="002D01E0" w:rsidRPr="00E008F8">
        <w:rPr>
          <w:rStyle w:val="FootnoteReference"/>
          <w:rFonts w:eastAsia="Calibri"/>
          <w:b w:val="0"/>
          <w:position w:val="4"/>
          <w:sz w:val="20"/>
          <w:vertAlign w:val="baseline"/>
        </w:rPr>
        <w:t>,</w:t>
      </w:r>
      <w:r w:rsidR="002D01E0" w:rsidRPr="00E008F8">
        <w:rPr>
          <w:rStyle w:val="FootnoteReference"/>
          <w:rFonts w:eastAsia="Calibri"/>
          <w:b w:val="0"/>
          <w:sz w:val="20"/>
          <w:vertAlign w:val="baseline"/>
        </w:rPr>
        <w:t xml:space="preserve"> </w:t>
      </w:r>
      <w:r w:rsidR="002D01E0" w:rsidRPr="00E008F8">
        <w:rPr>
          <w:rStyle w:val="FootnoteReference"/>
          <w:rFonts w:eastAsia="Calibri"/>
          <w:b w:val="0"/>
          <w:sz w:val="20"/>
          <w:vertAlign w:val="baseline"/>
        </w:rPr>
        <w:footnoteReference w:customMarkFollows="1" w:id="3"/>
        <w:t>**</w:t>
      </w:r>
      <w:r w:rsidR="002667AE">
        <w:rPr>
          <w:rFonts w:eastAsia="Calibri"/>
          <w:b w:val="0"/>
          <w:sz w:val="20"/>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792338" w:rsidRPr="00792338" w:rsidTr="00E008F8">
        <w:tc>
          <w:tcPr>
            <w:tcW w:w="3402" w:type="dxa"/>
          </w:tcPr>
          <w:p w:rsidR="00AD2038" w:rsidRPr="00792338" w:rsidRDefault="00DB7144" w:rsidP="00117576">
            <w:pPr>
              <w:pStyle w:val="SingleTxtG"/>
              <w:ind w:left="0" w:right="0"/>
              <w:jc w:val="left"/>
              <w:rPr>
                <w:i/>
              </w:rPr>
            </w:pPr>
            <w:r w:rsidRPr="00792338">
              <w:rPr>
                <w:i/>
              </w:rPr>
              <w:t>Communication s</w:t>
            </w:r>
            <w:r w:rsidR="00AD2038" w:rsidRPr="00792338">
              <w:rPr>
                <w:i/>
              </w:rPr>
              <w:t>ubmitted by:</w:t>
            </w:r>
          </w:p>
        </w:tc>
        <w:tc>
          <w:tcPr>
            <w:tcW w:w="3969" w:type="dxa"/>
          </w:tcPr>
          <w:p w:rsidR="00AD2038" w:rsidRPr="00792338" w:rsidRDefault="007107CD" w:rsidP="00B64B23">
            <w:pPr>
              <w:pStyle w:val="SingleTxtG"/>
              <w:ind w:left="0" w:right="0"/>
              <w:jc w:val="left"/>
            </w:pPr>
            <w:r w:rsidRPr="00792338">
              <w:t>R</w:t>
            </w:r>
            <w:r w:rsidR="00792338">
              <w:t>.</w:t>
            </w:r>
            <w:r w:rsidRPr="00792338">
              <w:t xml:space="preserve"> K</w:t>
            </w:r>
            <w:r w:rsidR="00792338">
              <w:t>.</w:t>
            </w:r>
            <w:r w:rsidR="00FF118F" w:rsidRPr="00792338">
              <w:t xml:space="preserve"> (represented by counsel, </w:t>
            </w:r>
            <w:r w:rsidRPr="00792338">
              <w:rPr>
                <w:rStyle w:val="SingleTxtGChar"/>
              </w:rPr>
              <w:t>John Phillip Sweeney</w:t>
            </w:r>
            <w:r w:rsidRPr="00792338">
              <w:t>)</w:t>
            </w:r>
          </w:p>
        </w:tc>
      </w:tr>
      <w:tr w:rsidR="00792338" w:rsidRPr="00792338" w:rsidTr="00E008F8">
        <w:tc>
          <w:tcPr>
            <w:tcW w:w="3402" w:type="dxa"/>
          </w:tcPr>
          <w:p w:rsidR="00AD2038" w:rsidRPr="00792338" w:rsidRDefault="00AD2038" w:rsidP="00E008F8">
            <w:pPr>
              <w:pStyle w:val="SingleTxtG"/>
              <w:ind w:left="0" w:right="0"/>
              <w:jc w:val="left"/>
              <w:rPr>
                <w:i/>
              </w:rPr>
            </w:pPr>
            <w:r w:rsidRPr="00792338">
              <w:rPr>
                <w:i/>
              </w:rPr>
              <w:t>Alleged victim:</w:t>
            </w:r>
          </w:p>
        </w:tc>
        <w:tc>
          <w:tcPr>
            <w:tcW w:w="3969" w:type="dxa"/>
          </w:tcPr>
          <w:p w:rsidR="00AD2038" w:rsidRPr="00792338" w:rsidRDefault="008B419E" w:rsidP="00117576">
            <w:pPr>
              <w:pStyle w:val="SingleTxtG"/>
              <w:ind w:left="0" w:right="0"/>
              <w:jc w:val="left"/>
            </w:pPr>
            <w:r w:rsidRPr="00792338">
              <w:rPr>
                <w:snapToGrid w:val="0"/>
              </w:rPr>
              <w:t>T</w:t>
            </w:r>
            <w:r w:rsidR="00FF118F" w:rsidRPr="00792338">
              <w:rPr>
                <w:snapToGrid w:val="0"/>
              </w:rPr>
              <w:t>he complainant</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rPr>
              <w:t>State party:</w:t>
            </w:r>
          </w:p>
        </w:tc>
        <w:tc>
          <w:tcPr>
            <w:tcW w:w="3969" w:type="dxa"/>
          </w:tcPr>
          <w:p w:rsidR="00AD2038" w:rsidRPr="00792338" w:rsidRDefault="007107CD" w:rsidP="00117576">
            <w:pPr>
              <w:pStyle w:val="SingleTxtG"/>
              <w:ind w:left="0" w:right="0"/>
              <w:jc w:val="left"/>
            </w:pPr>
            <w:r w:rsidRPr="00792338">
              <w:rPr>
                <w:rStyle w:val="SingleTxtGChar"/>
              </w:rPr>
              <w:t>Australia</w:t>
            </w:r>
            <w:r w:rsidR="002B6BD4">
              <w:rPr>
                <w:rStyle w:val="SingleTxtGChar"/>
              </w:rPr>
              <w:t xml:space="preserve"> </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rPr>
              <w:t>Date of complaint:</w:t>
            </w:r>
          </w:p>
        </w:tc>
        <w:tc>
          <w:tcPr>
            <w:tcW w:w="3969" w:type="dxa"/>
          </w:tcPr>
          <w:p w:rsidR="00AD2038" w:rsidRPr="00792338" w:rsidRDefault="007107CD" w:rsidP="00764D3F">
            <w:pPr>
              <w:pStyle w:val="SingleTxtG"/>
              <w:ind w:left="0" w:right="0"/>
              <w:jc w:val="left"/>
            </w:pPr>
            <w:r w:rsidRPr="00792338">
              <w:t>6 May 2014</w:t>
            </w:r>
            <w:r w:rsidR="00AD2038" w:rsidRPr="00792338">
              <w:t xml:space="preserve"> (initial submission)</w:t>
            </w:r>
          </w:p>
        </w:tc>
      </w:tr>
      <w:tr w:rsidR="00792338" w:rsidRPr="00792338" w:rsidTr="00E008F8">
        <w:tc>
          <w:tcPr>
            <w:tcW w:w="3402" w:type="dxa"/>
          </w:tcPr>
          <w:p w:rsidR="00AD2038" w:rsidRPr="00792338" w:rsidRDefault="00AD2038" w:rsidP="00DB7144">
            <w:pPr>
              <w:pStyle w:val="SingleTxtG"/>
              <w:ind w:left="0" w:right="0"/>
              <w:jc w:val="left"/>
              <w:rPr>
                <w:i/>
              </w:rPr>
            </w:pPr>
            <w:r w:rsidRPr="00792338">
              <w:rPr>
                <w:i/>
              </w:rPr>
              <w:t xml:space="preserve">Date of </w:t>
            </w:r>
            <w:r w:rsidR="00DB7144" w:rsidRPr="00792338">
              <w:rPr>
                <w:i/>
              </w:rPr>
              <w:t>adoption of</w:t>
            </w:r>
            <w:r w:rsidRPr="00792338">
              <w:rPr>
                <w:i/>
              </w:rPr>
              <w:t xml:space="preserve"> decision:</w:t>
            </w:r>
          </w:p>
        </w:tc>
        <w:tc>
          <w:tcPr>
            <w:tcW w:w="3969" w:type="dxa"/>
            <w:vAlign w:val="bottom"/>
          </w:tcPr>
          <w:p w:rsidR="00AD2038" w:rsidRPr="00792338" w:rsidRDefault="00057926" w:rsidP="001978A6">
            <w:pPr>
              <w:pStyle w:val="SingleTxtG"/>
              <w:ind w:left="0" w:right="0"/>
              <w:jc w:val="left"/>
            </w:pPr>
            <w:r>
              <w:t>11 August</w:t>
            </w:r>
            <w:r w:rsidRPr="00DA2B51">
              <w:t xml:space="preserve"> </w:t>
            </w:r>
            <w:r w:rsidR="007107CD" w:rsidRPr="00DA2B51">
              <w:t>2016</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iCs/>
              </w:rPr>
              <w:t>Subject matter:</w:t>
            </w:r>
          </w:p>
        </w:tc>
        <w:tc>
          <w:tcPr>
            <w:tcW w:w="3969" w:type="dxa"/>
          </w:tcPr>
          <w:p w:rsidR="00AD2038" w:rsidRPr="00792338" w:rsidRDefault="002D01E0" w:rsidP="00E525C2">
            <w:pPr>
              <w:pStyle w:val="SingleTxtG"/>
              <w:ind w:left="0" w:right="0"/>
              <w:jc w:val="left"/>
            </w:pPr>
            <w:proofErr w:type="spellStart"/>
            <w:r w:rsidRPr="00342F2F">
              <w:rPr>
                <w:lang w:val="fr-CH"/>
              </w:rPr>
              <w:t>Deportation</w:t>
            </w:r>
            <w:proofErr w:type="spellEnd"/>
            <w:r w:rsidRPr="00342F2F">
              <w:rPr>
                <w:lang w:val="fr-CH"/>
              </w:rPr>
              <w:t xml:space="preserve"> to Sri Lanka</w:t>
            </w:r>
          </w:p>
        </w:tc>
      </w:tr>
      <w:tr w:rsidR="00792338" w:rsidRPr="002D01E0" w:rsidTr="00E008F8">
        <w:tc>
          <w:tcPr>
            <w:tcW w:w="3402" w:type="dxa"/>
          </w:tcPr>
          <w:p w:rsidR="00AD2038" w:rsidRPr="00792338" w:rsidRDefault="00AD2038" w:rsidP="001553CE">
            <w:pPr>
              <w:pStyle w:val="SingleTxtG"/>
              <w:ind w:left="0" w:right="0"/>
              <w:jc w:val="left"/>
              <w:rPr>
                <w:i/>
                <w:iCs/>
              </w:rPr>
            </w:pPr>
            <w:r w:rsidRPr="00792338">
              <w:rPr>
                <w:i/>
                <w:iCs/>
              </w:rPr>
              <w:t>Substantive issue:</w:t>
            </w:r>
          </w:p>
        </w:tc>
        <w:tc>
          <w:tcPr>
            <w:tcW w:w="3969" w:type="dxa"/>
          </w:tcPr>
          <w:p w:rsidR="00AD2038" w:rsidRPr="002D01E0" w:rsidRDefault="002D01E0" w:rsidP="00E008F8">
            <w:pPr>
              <w:pStyle w:val="SingleTxtG"/>
              <w:ind w:left="0" w:right="0"/>
              <w:jc w:val="left"/>
            </w:pPr>
            <w:r w:rsidRPr="002D01E0">
              <w:t>Non-</w:t>
            </w:r>
            <w:proofErr w:type="spellStart"/>
            <w:r w:rsidRPr="002D01E0">
              <w:t>refoulement</w:t>
            </w:r>
            <w:proofErr w:type="spellEnd"/>
            <w:r w:rsidRPr="002D01E0">
              <w:t xml:space="preserve">; </w:t>
            </w:r>
            <w:r>
              <w:t xml:space="preserve">risk of </w:t>
            </w:r>
            <w:r w:rsidRPr="002D01E0">
              <w:t xml:space="preserve">torture </w:t>
            </w:r>
            <w:r>
              <w:t>upon return to</w:t>
            </w:r>
            <w:r w:rsidR="00466DC6">
              <w:t> </w:t>
            </w:r>
            <w:r>
              <w:t>country of origin</w:t>
            </w:r>
          </w:p>
        </w:tc>
      </w:tr>
      <w:tr w:rsidR="00792338" w:rsidRPr="00792338" w:rsidTr="00E008F8">
        <w:tc>
          <w:tcPr>
            <w:tcW w:w="3402" w:type="dxa"/>
          </w:tcPr>
          <w:p w:rsidR="00AD2038" w:rsidRPr="00792338" w:rsidRDefault="00AD2038" w:rsidP="00117576">
            <w:pPr>
              <w:pStyle w:val="SingleTxtG"/>
              <w:ind w:left="0" w:right="0"/>
              <w:jc w:val="left"/>
              <w:rPr>
                <w:i/>
                <w:iCs/>
              </w:rPr>
            </w:pPr>
            <w:r w:rsidRPr="00792338">
              <w:rPr>
                <w:i/>
                <w:iCs/>
              </w:rPr>
              <w:t>Procedural issue</w:t>
            </w:r>
            <w:r w:rsidR="00C669CC" w:rsidRPr="00792338">
              <w:rPr>
                <w:i/>
                <w:iCs/>
              </w:rPr>
              <w:t>s</w:t>
            </w:r>
            <w:r w:rsidRPr="00792338">
              <w:rPr>
                <w:i/>
              </w:rPr>
              <w:t>:</w:t>
            </w:r>
          </w:p>
        </w:tc>
        <w:tc>
          <w:tcPr>
            <w:tcW w:w="3969" w:type="dxa"/>
          </w:tcPr>
          <w:p w:rsidR="003C002F" w:rsidRPr="00792338" w:rsidRDefault="00B64B23" w:rsidP="00B64B23">
            <w:pPr>
              <w:pStyle w:val="SingleTxtG"/>
              <w:ind w:left="0" w:right="0"/>
              <w:jc w:val="left"/>
            </w:pPr>
            <w:r>
              <w:rPr>
                <w:rStyle w:val="SingleTxtGChar"/>
              </w:rPr>
              <w:t>Non-</w:t>
            </w:r>
            <w:r w:rsidR="00561759" w:rsidRPr="00792338">
              <w:rPr>
                <w:rStyle w:val="SingleTxtGChar"/>
              </w:rPr>
              <w:t>substantiation</w:t>
            </w:r>
            <w:r>
              <w:rPr>
                <w:rStyle w:val="SingleTxtGChar"/>
              </w:rPr>
              <w:t xml:space="preserve"> of claims</w:t>
            </w:r>
            <w:r w:rsidR="00561759" w:rsidRPr="00792338">
              <w:rPr>
                <w:rStyle w:val="SingleTxtGChar"/>
              </w:rPr>
              <w:t>; incompatibility with the Convention</w:t>
            </w:r>
            <w:r w:rsidR="002B6BD4">
              <w:rPr>
                <w:rStyle w:val="SingleTxtGChar"/>
              </w:rPr>
              <w:t xml:space="preserve">  </w:t>
            </w:r>
          </w:p>
        </w:tc>
      </w:tr>
      <w:tr w:rsidR="00792338" w:rsidRPr="00792338" w:rsidTr="00E008F8">
        <w:tc>
          <w:tcPr>
            <w:tcW w:w="3402" w:type="dxa"/>
          </w:tcPr>
          <w:p w:rsidR="00AD2038" w:rsidRPr="00792338" w:rsidRDefault="00AD2038" w:rsidP="00117576">
            <w:pPr>
              <w:pStyle w:val="SingleTxtG"/>
              <w:spacing w:after="240"/>
              <w:ind w:left="0" w:right="0"/>
              <w:jc w:val="left"/>
              <w:rPr>
                <w:i/>
                <w:iCs/>
              </w:rPr>
            </w:pPr>
            <w:r w:rsidRPr="00792338">
              <w:rPr>
                <w:i/>
                <w:iCs/>
              </w:rPr>
              <w:t>Article</w:t>
            </w:r>
            <w:r w:rsidR="00790862" w:rsidRPr="00792338">
              <w:rPr>
                <w:i/>
                <w:iCs/>
              </w:rPr>
              <w:t>s</w:t>
            </w:r>
            <w:r w:rsidRPr="00792338">
              <w:rPr>
                <w:i/>
                <w:iCs/>
              </w:rPr>
              <w:t xml:space="preserve"> of the Convention</w:t>
            </w:r>
            <w:r w:rsidRPr="00792338">
              <w:rPr>
                <w:i/>
              </w:rPr>
              <w:t>:</w:t>
            </w:r>
          </w:p>
        </w:tc>
        <w:tc>
          <w:tcPr>
            <w:tcW w:w="3969" w:type="dxa"/>
          </w:tcPr>
          <w:p w:rsidR="00AD2038" w:rsidRPr="00792338" w:rsidRDefault="00792338" w:rsidP="00B64B23">
            <w:pPr>
              <w:pStyle w:val="SingleTxtG"/>
              <w:spacing w:after="240"/>
              <w:ind w:left="0" w:right="0"/>
              <w:jc w:val="left"/>
            </w:pPr>
            <w:r w:rsidRPr="00792338">
              <w:rPr>
                <w:snapToGrid w:val="0"/>
              </w:rPr>
              <w:t>3 and 22</w:t>
            </w:r>
          </w:p>
        </w:tc>
      </w:tr>
    </w:tbl>
    <w:p w:rsidR="007821E7" w:rsidRPr="00DF23DE" w:rsidRDefault="007821E7" w:rsidP="00B64B23">
      <w:pPr>
        <w:pStyle w:val="H23G"/>
        <w:rPr>
          <w:snapToGrid w:val="0"/>
        </w:rPr>
      </w:pPr>
    </w:p>
    <w:p w:rsidR="007821E7" w:rsidRPr="00DF23DE" w:rsidRDefault="00D5558F" w:rsidP="00B64B23">
      <w:pPr>
        <w:pStyle w:val="SingleTxtG"/>
        <w:rPr>
          <w:snapToGrid w:val="0"/>
        </w:rPr>
      </w:pPr>
      <w:r w:rsidRPr="00DF23DE">
        <w:rPr>
          <w:snapToGrid w:val="0"/>
        </w:rPr>
        <w:t>1.1</w:t>
      </w:r>
      <w:r w:rsidRPr="00DF23DE">
        <w:rPr>
          <w:snapToGrid w:val="0"/>
        </w:rPr>
        <w:tab/>
        <w:t>The complainant</w:t>
      </w:r>
      <w:r w:rsidR="00522E7C" w:rsidRPr="00DF23DE">
        <w:rPr>
          <w:snapToGrid w:val="0"/>
        </w:rPr>
        <w:t xml:space="preserve"> is</w:t>
      </w:r>
      <w:r w:rsidR="00DB189D" w:rsidRPr="00DF23DE">
        <w:rPr>
          <w:snapToGrid w:val="0"/>
        </w:rPr>
        <w:t xml:space="preserve"> </w:t>
      </w:r>
      <w:r w:rsidR="008814D2">
        <w:t>R.K.</w:t>
      </w:r>
      <w:r w:rsidRPr="00792338">
        <w:t>,</w:t>
      </w:r>
      <w:r w:rsidRPr="00792338">
        <w:rPr>
          <w:snapToGrid w:val="0"/>
        </w:rPr>
        <w:t xml:space="preserve"> a </w:t>
      </w:r>
      <w:r w:rsidR="00792338" w:rsidRPr="00792338">
        <w:rPr>
          <w:snapToGrid w:val="0"/>
        </w:rPr>
        <w:t>Sri Lanka</w:t>
      </w:r>
      <w:r w:rsidR="00792338">
        <w:rPr>
          <w:snapToGrid w:val="0"/>
        </w:rPr>
        <w:t>n</w:t>
      </w:r>
      <w:r w:rsidR="00792338" w:rsidRPr="00792338">
        <w:rPr>
          <w:snapToGrid w:val="0"/>
        </w:rPr>
        <w:t xml:space="preserve"> </w:t>
      </w:r>
      <w:r w:rsidR="00597408" w:rsidRPr="00792338">
        <w:rPr>
          <w:snapToGrid w:val="0"/>
        </w:rPr>
        <w:t xml:space="preserve">national </w:t>
      </w:r>
      <w:r w:rsidRPr="00792338">
        <w:rPr>
          <w:snapToGrid w:val="0"/>
        </w:rPr>
        <w:t>of</w:t>
      </w:r>
      <w:r w:rsidR="00792338" w:rsidRPr="00792338">
        <w:rPr>
          <w:snapToGrid w:val="0"/>
        </w:rPr>
        <w:t xml:space="preserve"> </w:t>
      </w:r>
      <w:r w:rsidR="00792338">
        <w:rPr>
          <w:snapToGrid w:val="0"/>
        </w:rPr>
        <w:t>Tamil origin</w:t>
      </w:r>
      <w:r w:rsidRPr="00792338">
        <w:rPr>
          <w:snapToGrid w:val="0"/>
        </w:rPr>
        <w:t xml:space="preserve"> born </w:t>
      </w:r>
      <w:r w:rsidR="00DB189D" w:rsidRPr="00792338">
        <w:rPr>
          <w:snapToGrid w:val="0"/>
        </w:rPr>
        <w:t xml:space="preserve">in </w:t>
      </w:r>
      <w:r w:rsidR="00792338" w:rsidRPr="00792338">
        <w:rPr>
          <w:snapToGrid w:val="0"/>
        </w:rPr>
        <w:t>1982</w:t>
      </w:r>
      <w:r w:rsidR="007821E7" w:rsidRPr="00792338">
        <w:rPr>
          <w:snapToGrid w:val="0"/>
        </w:rPr>
        <w:t>.</w:t>
      </w:r>
      <w:r w:rsidR="0005248B" w:rsidRPr="00792338">
        <w:rPr>
          <w:snapToGrid w:val="0"/>
        </w:rPr>
        <w:t xml:space="preserve"> </w:t>
      </w:r>
      <w:r w:rsidR="002E38E2" w:rsidRPr="00792338">
        <w:rPr>
          <w:snapToGrid w:val="0"/>
        </w:rPr>
        <w:t xml:space="preserve">He </w:t>
      </w:r>
      <w:r w:rsidR="007821E7" w:rsidRPr="00792338">
        <w:rPr>
          <w:snapToGrid w:val="0"/>
        </w:rPr>
        <w:t>claim</w:t>
      </w:r>
      <w:r w:rsidR="00B02F55" w:rsidRPr="00792338">
        <w:rPr>
          <w:snapToGrid w:val="0"/>
        </w:rPr>
        <w:t>s</w:t>
      </w:r>
      <w:r w:rsidR="007821E7" w:rsidRPr="00792338">
        <w:rPr>
          <w:snapToGrid w:val="0"/>
        </w:rPr>
        <w:t xml:space="preserve"> that </w:t>
      </w:r>
      <w:r w:rsidR="00792338" w:rsidRPr="00792338">
        <w:rPr>
          <w:snapToGrid w:val="0"/>
        </w:rPr>
        <w:t xml:space="preserve">his removal to Sri Lanka </w:t>
      </w:r>
      <w:r w:rsidR="00792338" w:rsidRPr="00DA2B51">
        <w:rPr>
          <w:snapToGrid w:val="0"/>
        </w:rPr>
        <w:t>would</w:t>
      </w:r>
      <w:r w:rsidR="007821E7" w:rsidRPr="00DA2B51">
        <w:rPr>
          <w:snapToGrid w:val="0"/>
        </w:rPr>
        <w:t xml:space="preserve"> </w:t>
      </w:r>
      <w:r w:rsidR="007821E7" w:rsidRPr="00792338">
        <w:rPr>
          <w:snapToGrid w:val="0"/>
        </w:rPr>
        <w:t xml:space="preserve">constitute a violation by </w:t>
      </w:r>
      <w:r w:rsidR="00E03CAA">
        <w:rPr>
          <w:snapToGrid w:val="0"/>
        </w:rPr>
        <w:t xml:space="preserve">Australia </w:t>
      </w:r>
      <w:r w:rsidR="00233D4D" w:rsidRPr="00792338">
        <w:rPr>
          <w:snapToGrid w:val="0"/>
        </w:rPr>
        <w:t>of</w:t>
      </w:r>
      <w:r w:rsidR="007821E7" w:rsidRPr="00792338">
        <w:rPr>
          <w:snapToGrid w:val="0"/>
        </w:rPr>
        <w:t xml:space="preserve"> </w:t>
      </w:r>
      <w:r w:rsidR="00B64B23">
        <w:rPr>
          <w:snapToGrid w:val="0"/>
        </w:rPr>
        <w:t xml:space="preserve">his rights under </w:t>
      </w:r>
      <w:r w:rsidR="00BC6261">
        <w:rPr>
          <w:snapToGrid w:val="0"/>
        </w:rPr>
        <w:t>article</w:t>
      </w:r>
      <w:r w:rsidR="00233D4D" w:rsidRPr="00792338">
        <w:rPr>
          <w:snapToGrid w:val="0"/>
        </w:rPr>
        <w:t xml:space="preserve"> 3 </w:t>
      </w:r>
      <w:r w:rsidR="007821E7" w:rsidRPr="00792338">
        <w:rPr>
          <w:snapToGrid w:val="0"/>
        </w:rPr>
        <w:t>of the Convention.</w:t>
      </w:r>
      <w:r w:rsidR="00B64B23">
        <w:rPr>
          <w:snapToGrid w:val="0"/>
        </w:rPr>
        <w:t xml:space="preserve"> The complainant is represented by counsel, John Phillip Sweeney.</w:t>
      </w:r>
    </w:p>
    <w:p w:rsidR="00597408" w:rsidRPr="00DF23DE" w:rsidRDefault="007821E7" w:rsidP="00B64B23">
      <w:pPr>
        <w:pStyle w:val="SingleTxtG"/>
        <w:rPr>
          <w:snapToGrid w:val="0"/>
        </w:rPr>
      </w:pPr>
      <w:r w:rsidRPr="00DF23DE">
        <w:rPr>
          <w:snapToGrid w:val="0"/>
        </w:rPr>
        <w:t>1.2</w:t>
      </w:r>
      <w:r w:rsidRPr="00DF23DE">
        <w:rPr>
          <w:snapToGrid w:val="0"/>
        </w:rPr>
        <w:tab/>
      </w:r>
      <w:r w:rsidR="00597408" w:rsidRPr="006A2CF9">
        <w:t xml:space="preserve">On </w:t>
      </w:r>
      <w:r w:rsidR="006A2CF9" w:rsidRPr="006A2CF9">
        <w:t>6 June 2014</w:t>
      </w:r>
      <w:r w:rsidR="00597408" w:rsidRPr="006A2CF9">
        <w:t>,</w:t>
      </w:r>
      <w:r w:rsidR="006A2CF9" w:rsidRPr="006A2CF9">
        <w:t xml:space="preserve"> </w:t>
      </w:r>
      <w:r w:rsidR="00597408" w:rsidRPr="006A2CF9">
        <w:t xml:space="preserve">the Committee, acting through its Rapporteur on new complaints and interim measures, </w:t>
      </w:r>
      <w:r w:rsidR="00E03CAA">
        <w:t xml:space="preserve">requested </w:t>
      </w:r>
      <w:r w:rsidR="00597408" w:rsidRPr="006A2CF9">
        <w:t xml:space="preserve">the State party not to expel the </w:t>
      </w:r>
      <w:r w:rsidR="00E03CAA">
        <w:t xml:space="preserve">complainant </w:t>
      </w:r>
      <w:r w:rsidR="00597408" w:rsidRPr="006A2CF9">
        <w:t xml:space="preserve">while the complaint was being considered. On </w:t>
      </w:r>
      <w:r w:rsidR="006A2CF9" w:rsidRPr="006A2CF9">
        <w:t>16 July 2015</w:t>
      </w:r>
      <w:r w:rsidR="00597408" w:rsidRPr="006A2CF9">
        <w:t xml:space="preserve">, the Committee, acting through the </w:t>
      </w:r>
      <w:r w:rsidR="00E03CAA">
        <w:t>sa</w:t>
      </w:r>
      <w:r w:rsidR="00B64B23">
        <w:t>me</w:t>
      </w:r>
      <w:r w:rsidR="00597408" w:rsidRPr="006A2CF9">
        <w:t xml:space="preserve"> Rapporteur, denied the request of the State party to lift interim measures.</w:t>
      </w:r>
    </w:p>
    <w:p w:rsidR="007821E7" w:rsidRPr="00DF23DE" w:rsidRDefault="007821E7" w:rsidP="00B64B23">
      <w:pPr>
        <w:pStyle w:val="H23G"/>
        <w:rPr>
          <w:snapToGrid w:val="0"/>
        </w:rPr>
      </w:pPr>
      <w:r w:rsidRPr="00DF23DE">
        <w:rPr>
          <w:snapToGrid w:val="0"/>
        </w:rPr>
        <w:lastRenderedPageBreak/>
        <w:tab/>
      </w:r>
      <w:r w:rsidRPr="00DF23DE">
        <w:rPr>
          <w:snapToGrid w:val="0"/>
        </w:rPr>
        <w:tab/>
      </w:r>
      <w:r w:rsidR="00B64B23">
        <w:rPr>
          <w:snapToGrid w:val="0"/>
        </w:rPr>
        <w:t>F</w:t>
      </w:r>
      <w:r w:rsidRPr="00DF23DE">
        <w:rPr>
          <w:snapToGrid w:val="0"/>
        </w:rPr>
        <w:t xml:space="preserve">acts </w:t>
      </w:r>
      <w:r w:rsidRPr="00597408">
        <w:rPr>
          <w:snapToGrid w:val="0"/>
        </w:rPr>
        <w:t>as pre</w:t>
      </w:r>
      <w:r w:rsidR="003A48CB" w:rsidRPr="00597408">
        <w:rPr>
          <w:snapToGrid w:val="0"/>
        </w:rPr>
        <w:t>sented by the complainant</w:t>
      </w:r>
    </w:p>
    <w:p w:rsidR="007B7291" w:rsidRPr="00DF23DE" w:rsidRDefault="007821E7" w:rsidP="00977D4A">
      <w:pPr>
        <w:pStyle w:val="SingleTxtG"/>
        <w:rPr>
          <w:snapToGrid w:val="0"/>
        </w:rPr>
      </w:pPr>
      <w:r w:rsidRPr="00DF23DE">
        <w:rPr>
          <w:snapToGrid w:val="0"/>
        </w:rPr>
        <w:t>2.1</w:t>
      </w:r>
      <w:r w:rsidRPr="00DF23DE">
        <w:rPr>
          <w:snapToGrid w:val="0"/>
        </w:rPr>
        <w:tab/>
      </w:r>
      <w:r w:rsidR="00DE27B8">
        <w:rPr>
          <w:snapToGrid w:val="0"/>
        </w:rPr>
        <w:t>The complainant comes from a farm</w:t>
      </w:r>
      <w:r w:rsidR="00B64B23">
        <w:rPr>
          <w:snapToGrid w:val="0"/>
        </w:rPr>
        <w:t>ing</w:t>
      </w:r>
      <w:r w:rsidR="00DE27B8">
        <w:rPr>
          <w:snapToGrid w:val="0"/>
        </w:rPr>
        <w:t xml:space="preserve"> family in </w:t>
      </w:r>
      <w:proofErr w:type="spellStart"/>
      <w:r w:rsidR="00DE27B8">
        <w:rPr>
          <w:snapToGrid w:val="0"/>
        </w:rPr>
        <w:t>Trincomalee</w:t>
      </w:r>
      <w:proofErr w:type="spellEnd"/>
      <w:r w:rsidR="00B64B23">
        <w:rPr>
          <w:snapToGrid w:val="0"/>
        </w:rPr>
        <w:t xml:space="preserve"> District</w:t>
      </w:r>
      <w:r w:rsidR="00DE27B8">
        <w:rPr>
          <w:snapToGrid w:val="0"/>
        </w:rPr>
        <w:t xml:space="preserve">. </w:t>
      </w:r>
      <w:r w:rsidR="00482F11">
        <w:rPr>
          <w:snapToGrid w:val="0"/>
        </w:rPr>
        <w:t>P</w:t>
      </w:r>
      <w:r w:rsidR="00DE27B8">
        <w:rPr>
          <w:snapToGrid w:val="0"/>
        </w:rPr>
        <w:t>art of his family</w:t>
      </w:r>
      <w:r w:rsidR="009671F1">
        <w:rPr>
          <w:snapToGrid w:val="0"/>
        </w:rPr>
        <w:t>’s</w:t>
      </w:r>
      <w:r w:rsidR="00DE27B8">
        <w:rPr>
          <w:snapToGrid w:val="0"/>
        </w:rPr>
        <w:t xml:space="preserve"> land was occupied by the Sri Lanka Army </w:t>
      </w:r>
      <w:r w:rsidR="00E03CAA">
        <w:rPr>
          <w:snapToGrid w:val="0"/>
        </w:rPr>
        <w:t>at</w:t>
      </w:r>
      <w:r w:rsidR="00DE27B8">
        <w:rPr>
          <w:snapToGrid w:val="0"/>
        </w:rPr>
        <w:t xml:space="preserve"> the beginning of the </w:t>
      </w:r>
      <w:r w:rsidR="001D3852">
        <w:rPr>
          <w:snapToGrid w:val="0"/>
        </w:rPr>
        <w:t xml:space="preserve">civil </w:t>
      </w:r>
      <w:r w:rsidR="00DE27B8">
        <w:rPr>
          <w:snapToGrid w:val="0"/>
        </w:rPr>
        <w:t xml:space="preserve">war, </w:t>
      </w:r>
      <w:r w:rsidR="00482F11">
        <w:rPr>
          <w:snapToGrid w:val="0"/>
        </w:rPr>
        <w:t xml:space="preserve">but </w:t>
      </w:r>
      <w:r w:rsidR="00DE27B8">
        <w:rPr>
          <w:snapToGrid w:val="0"/>
        </w:rPr>
        <w:t>the family continue</w:t>
      </w:r>
      <w:r w:rsidR="00E03CAA">
        <w:rPr>
          <w:snapToGrid w:val="0"/>
        </w:rPr>
        <w:t>d</w:t>
      </w:r>
      <w:r w:rsidR="00DE27B8">
        <w:rPr>
          <w:snapToGrid w:val="0"/>
        </w:rPr>
        <w:t xml:space="preserve"> to live in their house. In 2001,</w:t>
      </w:r>
      <w:r w:rsidR="00CF0457">
        <w:rPr>
          <w:snapToGrid w:val="0"/>
        </w:rPr>
        <w:t xml:space="preserve"> one of the complainant’s brothers was killed</w:t>
      </w:r>
      <w:r w:rsidR="001D3852">
        <w:rPr>
          <w:snapToGrid w:val="0"/>
        </w:rPr>
        <w:t>. T</w:t>
      </w:r>
      <w:r w:rsidR="00CF0457">
        <w:rPr>
          <w:snapToGrid w:val="0"/>
        </w:rPr>
        <w:t>he complainant believes</w:t>
      </w:r>
      <w:r w:rsidR="001D3852">
        <w:rPr>
          <w:snapToGrid w:val="0"/>
        </w:rPr>
        <w:t xml:space="preserve"> that he</w:t>
      </w:r>
      <w:r w:rsidR="00CF0457">
        <w:rPr>
          <w:snapToGrid w:val="0"/>
        </w:rPr>
        <w:t xml:space="preserve"> was </w:t>
      </w:r>
      <w:r w:rsidR="001D3852">
        <w:rPr>
          <w:snapToGrid w:val="0"/>
        </w:rPr>
        <w:t xml:space="preserve">killed by </w:t>
      </w:r>
      <w:r w:rsidR="00CF0457">
        <w:rPr>
          <w:snapToGrid w:val="0"/>
        </w:rPr>
        <w:t xml:space="preserve">the </w:t>
      </w:r>
      <w:r w:rsidR="00DE27B8">
        <w:rPr>
          <w:snapToGrid w:val="0"/>
        </w:rPr>
        <w:t>Army</w:t>
      </w:r>
      <w:r w:rsidR="00F521B4">
        <w:rPr>
          <w:snapToGrid w:val="0"/>
        </w:rPr>
        <w:t xml:space="preserve"> on suspicion of supporting the </w:t>
      </w:r>
      <w:r w:rsidR="00787C8E">
        <w:rPr>
          <w:snapToGrid w:val="0"/>
        </w:rPr>
        <w:t>L</w:t>
      </w:r>
      <w:r w:rsidR="001D3852">
        <w:rPr>
          <w:snapToGrid w:val="0"/>
        </w:rPr>
        <w:t xml:space="preserve">iberation </w:t>
      </w:r>
      <w:r w:rsidR="00787C8E">
        <w:rPr>
          <w:snapToGrid w:val="0"/>
        </w:rPr>
        <w:t>T</w:t>
      </w:r>
      <w:r w:rsidR="001D3852">
        <w:rPr>
          <w:snapToGrid w:val="0"/>
        </w:rPr>
        <w:t xml:space="preserve">igers of </w:t>
      </w:r>
      <w:r w:rsidR="00787C8E">
        <w:rPr>
          <w:snapToGrid w:val="0"/>
        </w:rPr>
        <w:t>T</w:t>
      </w:r>
      <w:r w:rsidR="001D3852">
        <w:rPr>
          <w:snapToGrid w:val="0"/>
        </w:rPr>
        <w:t xml:space="preserve">amil </w:t>
      </w:r>
      <w:r w:rsidR="00787C8E">
        <w:rPr>
          <w:snapToGrid w:val="0"/>
        </w:rPr>
        <w:t>E</w:t>
      </w:r>
      <w:r w:rsidR="001D3852">
        <w:rPr>
          <w:snapToGrid w:val="0"/>
        </w:rPr>
        <w:t>elam (LTTE)</w:t>
      </w:r>
      <w:r w:rsidR="00CF0457">
        <w:rPr>
          <w:snapToGrid w:val="0"/>
        </w:rPr>
        <w:t xml:space="preserve">. </w:t>
      </w:r>
      <w:r w:rsidR="00F521B4">
        <w:rPr>
          <w:snapToGrid w:val="0"/>
        </w:rPr>
        <w:t xml:space="preserve">After the death of his brother, </w:t>
      </w:r>
      <w:r w:rsidR="008814D2">
        <w:rPr>
          <w:snapToGrid w:val="0"/>
        </w:rPr>
        <w:t>the complainant</w:t>
      </w:r>
      <w:r w:rsidR="00F521B4">
        <w:rPr>
          <w:snapToGrid w:val="0"/>
        </w:rPr>
        <w:t xml:space="preserve"> was interrogated and beaten by the Army who question</w:t>
      </w:r>
      <w:r w:rsidR="00482F11">
        <w:rPr>
          <w:snapToGrid w:val="0"/>
        </w:rPr>
        <w:t>ed</w:t>
      </w:r>
      <w:r w:rsidR="00F521B4">
        <w:rPr>
          <w:snapToGrid w:val="0"/>
        </w:rPr>
        <w:t xml:space="preserve"> him about </w:t>
      </w:r>
      <w:r w:rsidR="001D3852">
        <w:rPr>
          <w:snapToGrid w:val="0"/>
        </w:rPr>
        <w:t xml:space="preserve">his </w:t>
      </w:r>
      <w:r w:rsidR="00F521B4">
        <w:rPr>
          <w:snapToGrid w:val="0"/>
        </w:rPr>
        <w:t xml:space="preserve">involvement with LTTE. </w:t>
      </w:r>
      <w:r w:rsidR="00CF0457">
        <w:rPr>
          <w:snapToGrid w:val="0"/>
        </w:rPr>
        <w:t xml:space="preserve">Two months after, </w:t>
      </w:r>
      <w:r w:rsidR="00F521B4">
        <w:rPr>
          <w:snapToGrid w:val="0"/>
        </w:rPr>
        <w:t xml:space="preserve">he </w:t>
      </w:r>
      <w:r w:rsidR="00CF0457">
        <w:rPr>
          <w:snapToGrid w:val="0"/>
        </w:rPr>
        <w:t xml:space="preserve">moved to </w:t>
      </w:r>
      <w:r w:rsidR="001D3852">
        <w:rPr>
          <w:snapToGrid w:val="0"/>
        </w:rPr>
        <w:t xml:space="preserve">the city of </w:t>
      </w:r>
      <w:proofErr w:type="spellStart"/>
      <w:r w:rsidR="00CF0457">
        <w:rPr>
          <w:snapToGrid w:val="0"/>
        </w:rPr>
        <w:t>Trincomalee</w:t>
      </w:r>
      <w:proofErr w:type="spellEnd"/>
      <w:r w:rsidR="00CF0457">
        <w:rPr>
          <w:snapToGrid w:val="0"/>
        </w:rPr>
        <w:t xml:space="preserve"> to work as a tailor. </w:t>
      </w:r>
      <w:r w:rsidR="00DE27B8">
        <w:rPr>
          <w:snapToGrid w:val="0"/>
        </w:rPr>
        <w:t xml:space="preserve">In 2005, he moved to </w:t>
      </w:r>
      <w:proofErr w:type="spellStart"/>
      <w:r w:rsidR="00DE27B8">
        <w:rPr>
          <w:snapToGrid w:val="0"/>
        </w:rPr>
        <w:t>Vanni</w:t>
      </w:r>
      <w:proofErr w:type="spellEnd"/>
      <w:r w:rsidR="001D3852">
        <w:rPr>
          <w:snapToGrid w:val="0"/>
        </w:rPr>
        <w:t xml:space="preserve"> in the Northern Province, where he</w:t>
      </w:r>
      <w:r w:rsidR="00374108">
        <w:rPr>
          <w:snapToGrid w:val="0"/>
        </w:rPr>
        <w:t xml:space="preserve"> opened </w:t>
      </w:r>
      <w:r w:rsidR="00F7162C">
        <w:rPr>
          <w:snapToGrid w:val="0"/>
        </w:rPr>
        <w:t>a</w:t>
      </w:r>
      <w:r w:rsidR="00374108">
        <w:rPr>
          <w:snapToGrid w:val="0"/>
        </w:rPr>
        <w:t xml:space="preserve"> tailor shop in 2006</w:t>
      </w:r>
      <w:r w:rsidR="00DE27B8">
        <w:rPr>
          <w:snapToGrid w:val="0"/>
        </w:rPr>
        <w:t xml:space="preserve">. </w:t>
      </w:r>
      <w:r w:rsidR="001D3852">
        <w:rPr>
          <w:snapToGrid w:val="0"/>
        </w:rPr>
        <w:t xml:space="preserve">For about six months in </w:t>
      </w:r>
      <w:r w:rsidR="00DE27B8">
        <w:rPr>
          <w:snapToGrid w:val="0"/>
        </w:rPr>
        <w:t>200</w:t>
      </w:r>
      <w:r w:rsidR="007C2D7A">
        <w:rPr>
          <w:snapToGrid w:val="0"/>
        </w:rPr>
        <w:t>8</w:t>
      </w:r>
      <w:r w:rsidR="00DE27B8">
        <w:rPr>
          <w:snapToGrid w:val="0"/>
        </w:rPr>
        <w:t xml:space="preserve">, he was forced to </w:t>
      </w:r>
      <w:r w:rsidR="00CE720C">
        <w:rPr>
          <w:snapToGrid w:val="0"/>
        </w:rPr>
        <w:t>s</w:t>
      </w:r>
      <w:r w:rsidR="00A67A71">
        <w:rPr>
          <w:snapToGrid w:val="0"/>
        </w:rPr>
        <w:t>e</w:t>
      </w:r>
      <w:r w:rsidR="00CE720C">
        <w:rPr>
          <w:snapToGrid w:val="0"/>
        </w:rPr>
        <w:t xml:space="preserve">w uniforms </w:t>
      </w:r>
      <w:r w:rsidR="00DE27B8">
        <w:rPr>
          <w:snapToGrid w:val="0"/>
        </w:rPr>
        <w:t xml:space="preserve">for </w:t>
      </w:r>
      <w:r w:rsidR="00F521B4" w:rsidRPr="00F521B4">
        <w:rPr>
          <w:snapToGrid w:val="0"/>
        </w:rPr>
        <w:t>LTTE</w:t>
      </w:r>
      <w:r w:rsidR="001D3852">
        <w:rPr>
          <w:snapToGrid w:val="0"/>
        </w:rPr>
        <w:t xml:space="preserve"> </w:t>
      </w:r>
      <w:r w:rsidR="00374108">
        <w:rPr>
          <w:snapToGrid w:val="0"/>
        </w:rPr>
        <w:t>without pa</w:t>
      </w:r>
      <w:r w:rsidR="001D3852">
        <w:rPr>
          <w:snapToGrid w:val="0"/>
        </w:rPr>
        <w:t>y</w:t>
      </w:r>
      <w:r w:rsidR="00DE27B8">
        <w:rPr>
          <w:snapToGrid w:val="0"/>
        </w:rPr>
        <w:t xml:space="preserve">. </w:t>
      </w:r>
      <w:r w:rsidR="001D3852">
        <w:rPr>
          <w:snapToGrid w:val="0"/>
        </w:rPr>
        <w:t>During</w:t>
      </w:r>
      <w:r w:rsidR="00DE27B8">
        <w:rPr>
          <w:snapToGrid w:val="0"/>
        </w:rPr>
        <w:t xml:space="preserve"> the final stages of the war, the complainant escaped and hid in </w:t>
      </w:r>
      <w:r w:rsidR="001D3852">
        <w:rPr>
          <w:snapToGrid w:val="0"/>
        </w:rPr>
        <w:t xml:space="preserve">a bunker in the </w:t>
      </w:r>
      <w:proofErr w:type="spellStart"/>
      <w:r w:rsidR="00DE27B8">
        <w:rPr>
          <w:snapToGrid w:val="0"/>
        </w:rPr>
        <w:t>Vanni</w:t>
      </w:r>
      <w:proofErr w:type="spellEnd"/>
      <w:r w:rsidR="00DE27B8">
        <w:rPr>
          <w:snapToGrid w:val="0"/>
        </w:rPr>
        <w:t xml:space="preserve"> </w:t>
      </w:r>
      <w:r w:rsidR="007C2D7A">
        <w:rPr>
          <w:snapToGrid w:val="0"/>
        </w:rPr>
        <w:t xml:space="preserve">area </w:t>
      </w:r>
      <w:r w:rsidR="00DE27B8">
        <w:rPr>
          <w:snapToGrid w:val="0"/>
        </w:rPr>
        <w:t xml:space="preserve">for a few months. </w:t>
      </w:r>
      <w:r w:rsidR="001D3852">
        <w:rPr>
          <w:snapToGrid w:val="0"/>
        </w:rPr>
        <w:t>H</w:t>
      </w:r>
      <w:r w:rsidR="00DE27B8">
        <w:rPr>
          <w:snapToGrid w:val="0"/>
        </w:rPr>
        <w:t>e sustained a</w:t>
      </w:r>
      <w:r w:rsidR="00374108">
        <w:rPr>
          <w:snapToGrid w:val="0"/>
        </w:rPr>
        <w:t>n</w:t>
      </w:r>
      <w:r w:rsidR="00DE27B8">
        <w:rPr>
          <w:snapToGrid w:val="0"/>
        </w:rPr>
        <w:t xml:space="preserve"> injury in the head</w:t>
      </w:r>
      <w:r w:rsidR="00374108">
        <w:rPr>
          <w:snapToGrid w:val="0"/>
        </w:rPr>
        <w:t xml:space="preserve"> </w:t>
      </w:r>
      <w:r w:rsidR="001D3852">
        <w:rPr>
          <w:snapToGrid w:val="0"/>
        </w:rPr>
        <w:t>owing</w:t>
      </w:r>
      <w:r w:rsidR="00374108">
        <w:rPr>
          <w:snapToGrid w:val="0"/>
        </w:rPr>
        <w:t xml:space="preserve"> to heavy shelling in the area</w:t>
      </w:r>
      <w:r w:rsidR="00DE27B8">
        <w:rPr>
          <w:snapToGrid w:val="0"/>
        </w:rPr>
        <w:t xml:space="preserve"> </w:t>
      </w:r>
      <w:r w:rsidR="00374108">
        <w:rPr>
          <w:snapToGrid w:val="0"/>
        </w:rPr>
        <w:t xml:space="preserve">and was taken to the </w:t>
      </w:r>
      <w:proofErr w:type="spellStart"/>
      <w:r w:rsidR="00374108">
        <w:rPr>
          <w:snapToGrid w:val="0"/>
        </w:rPr>
        <w:t>Kuru</w:t>
      </w:r>
      <w:r w:rsidR="001D3852">
        <w:rPr>
          <w:snapToGrid w:val="0"/>
        </w:rPr>
        <w:t>n</w:t>
      </w:r>
      <w:r w:rsidR="00374108">
        <w:rPr>
          <w:snapToGrid w:val="0"/>
        </w:rPr>
        <w:t>egala</w:t>
      </w:r>
      <w:proofErr w:type="spellEnd"/>
      <w:r w:rsidR="00374108">
        <w:rPr>
          <w:snapToGrid w:val="0"/>
        </w:rPr>
        <w:t xml:space="preserve"> hospital by Army officers. He was </w:t>
      </w:r>
      <w:r w:rsidR="001D3852">
        <w:rPr>
          <w:snapToGrid w:val="0"/>
        </w:rPr>
        <w:t>later</w:t>
      </w:r>
      <w:r w:rsidR="00374108">
        <w:rPr>
          <w:snapToGrid w:val="0"/>
        </w:rPr>
        <w:t xml:space="preserve"> transferred to the </w:t>
      </w:r>
      <w:proofErr w:type="spellStart"/>
      <w:r w:rsidR="00374108">
        <w:rPr>
          <w:snapToGrid w:val="0"/>
        </w:rPr>
        <w:t>Vavuniya</w:t>
      </w:r>
      <w:proofErr w:type="spellEnd"/>
      <w:r w:rsidR="00374108">
        <w:rPr>
          <w:snapToGrid w:val="0"/>
        </w:rPr>
        <w:t xml:space="preserve"> hospital. Warned by the hospital staff that the Army was taking young Tamils to their camps</w:t>
      </w:r>
      <w:r w:rsidR="00977D4A">
        <w:rPr>
          <w:snapToGrid w:val="0"/>
        </w:rPr>
        <w:t xml:space="preserve"> upon discharge</w:t>
      </w:r>
      <w:r w:rsidR="00374108">
        <w:rPr>
          <w:snapToGrid w:val="0"/>
        </w:rPr>
        <w:t xml:space="preserve">, he escaped to Colombo. In June 2009, </w:t>
      </w:r>
      <w:r w:rsidR="00977D4A">
        <w:rPr>
          <w:snapToGrid w:val="0"/>
        </w:rPr>
        <w:t xml:space="preserve">he went to India </w:t>
      </w:r>
      <w:r w:rsidR="00374108">
        <w:rPr>
          <w:snapToGrid w:val="0"/>
        </w:rPr>
        <w:t xml:space="preserve">with a valid passport and a </w:t>
      </w:r>
      <w:r w:rsidR="00972314">
        <w:rPr>
          <w:snapToGrid w:val="0"/>
        </w:rPr>
        <w:t>three-month</w:t>
      </w:r>
      <w:r w:rsidR="00374108">
        <w:rPr>
          <w:snapToGrid w:val="0"/>
        </w:rPr>
        <w:t xml:space="preserve"> visa</w:t>
      </w:r>
      <w:r w:rsidR="00977D4A">
        <w:rPr>
          <w:snapToGrid w:val="0"/>
        </w:rPr>
        <w:t>. H</w:t>
      </w:r>
      <w:r w:rsidR="00374108">
        <w:rPr>
          <w:snapToGrid w:val="0"/>
        </w:rPr>
        <w:t xml:space="preserve">is other brother </w:t>
      </w:r>
      <w:r w:rsidR="00977D4A">
        <w:rPr>
          <w:snapToGrid w:val="0"/>
        </w:rPr>
        <w:t xml:space="preserve">had been </w:t>
      </w:r>
      <w:r w:rsidR="00374108">
        <w:rPr>
          <w:snapToGrid w:val="0"/>
        </w:rPr>
        <w:t xml:space="preserve">living </w:t>
      </w:r>
      <w:r w:rsidR="00977D4A">
        <w:rPr>
          <w:snapToGrid w:val="0"/>
        </w:rPr>
        <w:t xml:space="preserve">in India </w:t>
      </w:r>
      <w:r w:rsidR="00374108">
        <w:rPr>
          <w:snapToGrid w:val="0"/>
        </w:rPr>
        <w:t>since 2007.</w:t>
      </w:r>
      <w:r w:rsidR="002B6BD4">
        <w:rPr>
          <w:snapToGrid w:val="0"/>
        </w:rPr>
        <w:t xml:space="preserve"> </w:t>
      </w:r>
    </w:p>
    <w:p w:rsidR="00EE4AF8" w:rsidRDefault="007821E7">
      <w:pPr>
        <w:pStyle w:val="SingleTxtG"/>
        <w:rPr>
          <w:snapToGrid w:val="0"/>
        </w:rPr>
      </w:pPr>
      <w:r w:rsidRPr="00DF23DE">
        <w:rPr>
          <w:snapToGrid w:val="0"/>
        </w:rPr>
        <w:t>2.2</w:t>
      </w:r>
      <w:r w:rsidRPr="00DF23DE">
        <w:rPr>
          <w:snapToGrid w:val="0"/>
        </w:rPr>
        <w:tab/>
      </w:r>
      <w:r w:rsidR="001B2046">
        <w:rPr>
          <w:snapToGrid w:val="0"/>
        </w:rPr>
        <w:t xml:space="preserve">On 4 November 2010, the complainant arrived </w:t>
      </w:r>
      <w:r w:rsidR="00977D4A">
        <w:rPr>
          <w:snapToGrid w:val="0"/>
        </w:rPr>
        <w:t xml:space="preserve">in Australia </w:t>
      </w:r>
      <w:r w:rsidR="001B2046">
        <w:rPr>
          <w:snapToGrid w:val="0"/>
        </w:rPr>
        <w:t>by boat</w:t>
      </w:r>
      <w:r w:rsidR="00977D4A">
        <w:rPr>
          <w:snapToGrid w:val="0"/>
        </w:rPr>
        <w:t xml:space="preserve"> and o</w:t>
      </w:r>
      <w:r w:rsidR="000E47F0">
        <w:rPr>
          <w:snapToGrid w:val="0"/>
        </w:rPr>
        <w:t>n 1</w:t>
      </w:r>
      <w:r w:rsidR="00EE4AF8">
        <w:rPr>
          <w:snapToGrid w:val="0"/>
        </w:rPr>
        <w:t>4</w:t>
      </w:r>
      <w:r w:rsidR="00466DC6">
        <w:rPr>
          <w:snapToGrid w:val="0"/>
        </w:rPr>
        <w:t> </w:t>
      </w:r>
      <w:r w:rsidR="000E47F0">
        <w:rPr>
          <w:snapToGrid w:val="0"/>
        </w:rPr>
        <w:t xml:space="preserve">January 2011, he </w:t>
      </w:r>
      <w:r w:rsidR="00CF7301">
        <w:rPr>
          <w:snapToGrid w:val="0"/>
        </w:rPr>
        <w:t>sought asylum</w:t>
      </w:r>
      <w:r w:rsidR="000E47F0">
        <w:rPr>
          <w:snapToGrid w:val="0"/>
        </w:rPr>
        <w:t xml:space="preserve">. </w:t>
      </w:r>
      <w:r w:rsidR="00CF7301">
        <w:rPr>
          <w:snapToGrid w:val="0"/>
        </w:rPr>
        <w:t>He</w:t>
      </w:r>
      <w:r w:rsidR="00A5297F">
        <w:rPr>
          <w:snapToGrid w:val="0"/>
        </w:rPr>
        <w:t xml:space="preserve"> </w:t>
      </w:r>
      <w:r w:rsidR="00977D4A">
        <w:rPr>
          <w:snapToGrid w:val="0"/>
        </w:rPr>
        <w:t>requested</w:t>
      </w:r>
      <w:r w:rsidR="00A5297F">
        <w:rPr>
          <w:snapToGrid w:val="0"/>
        </w:rPr>
        <w:t xml:space="preserve"> protection </w:t>
      </w:r>
      <w:r w:rsidR="00BB41D2">
        <w:rPr>
          <w:snapToGrid w:val="0"/>
        </w:rPr>
        <w:t xml:space="preserve">on the basis of </w:t>
      </w:r>
      <w:r w:rsidR="00F07D2F">
        <w:rPr>
          <w:snapToGrid w:val="0"/>
        </w:rPr>
        <w:t xml:space="preserve">fear </w:t>
      </w:r>
      <w:r w:rsidR="00977D4A">
        <w:rPr>
          <w:snapToGrid w:val="0"/>
        </w:rPr>
        <w:t>of</w:t>
      </w:r>
      <w:r w:rsidR="00F07D2F">
        <w:rPr>
          <w:snapToGrid w:val="0"/>
        </w:rPr>
        <w:t xml:space="preserve"> be</w:t>
      </w:r>
      <w:r w:rsidR="00977D4A">
        <w:rPr>
          <w:snapToGrid w:val="0"/>
        </w:rPr>
        <w:t>ing</w:t>
      </w:r>
      <w:r w:rsidR="00F07D2F">
        <w:rPr>
          <w:snapToGrid w:val="0"/>
        </w:rPr>
        <w:t xml:space="preserve"> arrested, interrogated, imprisoned and beaten or killed by the </w:t>
      </w:r>
      <w:r w:rsidR="00977D4A">
        <w:rPr>
          <w:snapToGrid w:val="0"/>
        </w:rPr>
        <w:t xml:space="preserve">Sri Lanka </w:t>
      </w:r>
      <w:r w:rsidR="00F07D2F">
        <w:rPr>
          <w:snapToGrid w:val="0"/>
        </w:rPr>
        <w:t>Army, the Criminal Investigation Department</w:t>
      </w:r>
      <w:r w:rsidR="00977D4A">
        <w:rPr>
          <w:snapToGrid w:val="0"/>
        </w:rPr>
        <w:t>, the</w:t>
      </w:r>
      <w:r w:rsidR="00F07D2F">
        <w:rPr>
          <w:snapToGrid w:val="0"/>
        </w:rPr>
        <w:t xml:space="preserve"> police </w:t>
      </w:r>
      <w:r w:rsidR="00977D4A">
        <w:rPr>
          <w:snapToGrid w:val="0"/>
        </w:rPr>
        <w:t>or</w:t>
      </w:r>
      <w:r w:rsidR="00F07D2F">
        <w:rPr>
          <w:snapToGrid w:val="0"/>
        </w:rPr>
        <w:t xml:space="preserve"> political groups support</w:t>
      </w:r>
      <w:r w:rsidR="00977D4A">
        <w:rPr>
          <w:snapToGrid w:val="0"/>
        </w:rPr>
        <w:t>ing</w:t>
      </w:r>
      <w:r w:rsidR="00F07D2F">
        <w:rPr>
          <w:snapToGrid w:val="0"/>
        </w:rPr>
        <w:t xml:space="preserve"> the Government in identifying LTTE supporters. He believed that</w:t>
      </w:r>
      <w:r w:rsidR="00162B93">
        <w:rPr>
          <w:snapToGrid w:val="0"/>
        </w:rPr>
        <w:t>,</w:t>
      </w:r>
      <w:r w:rsidR="00F07D2F">
        <w:rPr>
          <w:snapToGrid w:val="0"/>
        </w:rPr>
        <w:t xml:space="preserve"> because </w:t>
      </w:r>
      <w:r w:rsidR="00BB41D2">
        <w:rPr>
          <w:snapToGrid w:val="0"/>
        </w:rPr>
        <w:t>he was a young, single Tamil ma</w:t>
      </w:r>
      <w:r w:rsidR="00977D4A">
        <w:rPr>
          <w:snapToGrid w:val="0"/>
        </w:rPr>
        <w:t>n</w:t>
      </w:r>
      <w:r w:rsidR="00F07D2F">
        <w:rPr>
          <w:snapToGrid w:val="0"/>
        </w:rPr>
        <w:t xml:space="preserve"> </w:t>
      </w:r>
      <w:r w:rsidR="008814D2">
        <w:rPr>
          <w:snapToGrid w:val="0"/>
        </w:rPr>
        <w:t xml:space="preserve">from the </w:t>
      </w:r>
      <w:proofErr w:type="spellStart"/>
      <w:r w:rsidR="008814D2">
        <w:rPr>
          <w:snapToGrid w:val="0"/>
        </w:rPr>
        <w:t>Trincomalee</w:t>
      </w:r>
      <w:proofErr w:type="spellEnd"/>
      <w:r w:rsidR="008814D2">
        <w:rPr>
          <w:snapToGrid w:val="0"/>
        </w:rPr>
        <w:t xml:space="preserve"> area, had</w:t>
      </w:r>
      <w:r w:rsidR="00BB41D2">
        <w:rPr>
          <w:snapToGrid w:val="0"/>
        </w:rPr>
        <w:t xml:space="preserve"> </w:t>
      </w:r>
      <w:r w:rsidR="008814D2">
        <w:rPr>
          <w:snapToGrid w:val="0"/>
        </w:rPr>
        <w:t>a scar</w:t>
      </w:r>
      <w:r w:rsidR="00162B93">
        <w:rPr>
          <w:snapToGrid w:val="0"/>
        </w:rPr>
        <w:t xml:space="preserve"> and</w:t>
      </w:r>
      <w:r w:rsidR="00F07D2F">
        <w:rPr>
          <w:snapToGrid w:val="0"/>
        </w:rPr>
        <w:t xml:space="preserve"> </w:t>
      </w:r>
      <w:r w:rsidR="008814D2">
        <w:rPr>
          <w:snapToGrid w:val="0"/>
        </w:rPr>
        <w:t>ha</w:t>
      </w:r>
      <w:r w:rsidR="00CF7301">
        <w:rPr>
          <w:snapToGrid w:val="0"/>
        </w:rPr>
        <w:t>d</w:t>
      </w:r>
      <w:r w:rsidR="00F07D2F">
        <w:rPr>
          <w:snapToGrid w:val="0"/>
        </w:rPr>
        <w:t xml:space="preserve"> admitted to assistin</w:t>
      </w:r>
      <w:r w:rsidR="00BB41D2">
        <w:rPr>
          <w:snapToGrid w:val="0"/>
        </w:rPr>
        <w:t>g LTTE</w:t>
      </w:r>
      <w:r w:rsidR="00F07D2F">
        <w:rPr>
          <w:snapToGrid w:val="0"/>
        </w:rPr>
        <w:t>, he</w:t>
      </w:r>
      <w:r w:rsidR="00BB41D2">
        <w:rPr>
          <w:snapToGrid w:val="0"/>
        </w:rPr>
        <w:t xml:space="preserve"> would </w:t>
      </w:r>
      <w:r w:rsidR="0097079E">
        <w:rPr>
          <w:snapToGrid w:val="0"/>
        </w:rPr>
        <w:t xml:space="preserve">be </w:t>
      </w:r>
      <w:r w:rsidR="00BB41D2">
        <w:rPr>
          <w:snapToGrid w:val="0"/>
        </w:rPr>
        <w:t>harm</w:t>
      </w:r>
      <w:r w:rsidR="0097079E">
        <w:rPr>
          <w:snapToGrid w:val="0"/>
        </w:rPr>
        <w:t xml:space="preserve">ed on </w:t>
      </w:r>
      <w:r w:rsidR="00BB41D2">
        <w:rPr>
          <w:snapToGrid w:val="0"/>
        </w:rPr>
        <w:t>susp</w:t>
      </w:r>
      <w:r w:rsidR="0097079E">
        <w:rPr>
          <w:snapToGrid w:val="0"/>
        </w:rPr>
        <w:t>icion</w:t>
      </w:r>
      <w:r w:rsidR="00BB41D2">
        <w:rPr>
          <w:snapToGrid w:val="0"/>
        </w:rPr>
        <w:t xml:space="preserve"> that h</w:t>
      </w:r>
      <w:r w:rsidR="00F07D2F">
        <w:rPr>
          <w:snapToGrid w:val="0"/>
        </w:rPr>
        <w:t xml:space="preserve">e </w:t>
      </w:r>
      <w:r w:rsidR="0097079E">
        <w:rPr>
          <w:snapToGrid w:val="0"/>
        </w:rPr>
        <w:t>was</w:t>
      </w:r>
      <w:r w:rsidR="00F07D2F">
        <w:rPr>
          <w:snapToGrid w:val="0"/>
        </w:rPr>
        <w:t xml:space="preserve"> involved in the fighting. </w:t>
      </w:r>
      <w:r w:rsidR="0097079E">
        <w:rPr>
          <w:snapToGrid w:val="0"/>
        </w:rPr>
        <w:t>He states that after</w:t>
      </w:r>
      <w:r w:rsidR="00BB41D2">
        <w:rPr>
          <w:snapToGrid w:val="0"/>
        </w:rPr>
        <w:t xml:space="preserve"> consider</w:t>
      </w:r>
      <w:r w:rsidR="0097079E">
        <w:rPr>
          <w:snapToGrid w:val="0"/>
        </w:rPr>
        <w:t>ing</w:t>
      </w:r>
      <w:r w:rsidR="00BB41D2">
        <w:rPr>
          <w:snapToGrid w:val="0"/>
        </w:rPr>
        <w:t xml:space="preserve"> relevant country information and </w:t>
      </w:r>
      <w:r w:rsidR="0097079E">
        <w:rPr>
          <w:snapToGrid w:val="0"/>
        </w:rPr>
        <w:t>his</w:t>
      </w:r>
      <w:r w:rsidR="00BB41D2">
        <w:rPr>
          <w:snapToGrid w:val="0"/>
        </w:rPr>
        <w:t xml:space="preserve"> statement,</w:t>
      </w:r>
      <w:r w:rsidR="00BB41D2">
        <w:rPr>
          <w:rStyle w:val="FootnoteReference"/>
          <w:snapToGrid w:val="0"/>
        </w:rPr>
        <w:footnoteReference w:id="4"/>
      </w:r>
      <w:r w:rsidR="00BB41D2">
        <w:rPr>
          <w:snapToGrid w:val="0"/>
        </w:rPr>
        <w:t xml:space="preserve"> </w:t>
      </w:r>
      <w:r w:rsidR="00B120D7">
        <w:rPr>
          <w:snapToGrid w:val="0"/>
        </w:rPr>
        <w:t xml:space="preserve">the Department of Immigration and Citizenship rejected his </w:t>
      </w:r>
      <w:r w:rsidR="00162B93">
        <w:rPr>
          <w:snapToGrid w:val="0"/>
        </w:rPr>
        <w:t xml:space="preserve">protection visa </w:t>
      </w:r>
      <w:r w:rsidR="008814D2">
        <w:rPr>
          <w:snapToGrid w:val="0"/>
        </w:rPr>
        <w:t>application</w:t>
      </w:r>
      <w:r w:rsidR="00B120D7">
        <w:rPr>
          <w:snapToGrid w:val="0"/>
        </w:rPr>
        <w:t xml:space="preserve"> on 20 April 2011. It found that he</w:t>
      </w:r>
      <w:r w:rsidR="0097079E">
        <w:rPr>
          <w:snapToGrid w:val="0"/>
        </w:rPr>
        <w:t xml:space="preserve"> did not have</w:t>
      </w:r>
      <w:r w:rsidR="00B120D7">
        <w:rPr>
          <w:snapToGrid w:val="0"/>
        </w:rPr>
        <w:t xml:space="preserve"> any political profile</w:t>
      </w:r>
      <w:r w:rsidR="0097079E">
        <w:rPr>
          <w:snapToGrid w:val="0"/>
        </w:rPr>
        <w:t xml:space="preserve"> in Sri Lanka</w:t>
      </w:r>
      <w:r w:rsidR="00B120D7">
        <w:rPr>
          <w:snapToGrid w:val="0"/>
        </w:rPr>
        <w:t xml:space="preserve"> </w:t>
      </w:r>
      <w:r w:rsidR="00040659">
        <w:rPr>
          <w:snapToGrid w:val="0"/>
        </w:rPr>
        <w:t xml:space="preserve">or </w:t>
      </w:r>
      <w:r w:rsidR="00162B93">
        <w:rPr>
          <w:snapToGrid w:val="0"/>
        </w:rPr>
        <w:t xml:space="preserve">any </w:t>
      </w:r>
      <w:r w:rsidR="00040659">
        <w:rPr>
          <w:snapToGrid w:val="0"/>
        </w:rPr>
        <w:t xml:space="preserve">LTTE affiliation that would bring him to the attention of </w:t>
      </w:r>
      <w:r w:rsidR="00B120D7">
        <w:rPr>
          <w:snapToGrid w:val="0"/>
        </w:rPr>
        <w:t>the authorities</w:t>
      </w:r>
      <w:r w:rsidR="00040659">
        <w:rPr>
          <w:snapToGrid w:val="0"/>
        </w:rPr>
        <w:t xml:space="preserve">. </w:t>
      </w:r>
      <w:r w:rsidR="0097079E">
        <w:rPr>
          <w:snapToGrid w:val="0"/>
        </w:rPr>
        <w:t>Also, g</w:t>
      </w:r>
      <w:r w:rsidR="00040659">
        <w:rPr>
          <w:snapToGrid w:val="0"/>
        </w:rPr>
        <w:t>iven that</w:t>
      </w:r>
      <w:r w:rsidR="0097079E">
        <w:rPr>
          <w:snapToGrid w:val="0"/>
        </w:rPr>
        <w:t>,</w:t>
      </w:r>
      <w:r w:rsidR="00040659">
        <w:rPr>
          <w:snapToGrid w:val="0"/>
        </w:rPr>
        <w:t xml:space="preserve"> in 2009</w:t>
      </w:r>
      <w:r w:rsidR="0097079E">
        <w:rPr>
          <w:snapToGrid w:val="0"/>
        </w:rPr>
        <w:t>,</w:t>
      </w:r>
      <w:r w:rsidR="00040659">
        <w:rPr>
          <w:snapToGrid w:val="0"/>
        </w:rPr>
        <w:t xml:space="preserve"> he </w:t>
      </w:r>
      <w:r w:rsidR="0097079E">
        <w:rPr>
          <w:snapToGrid w:val="0"/>
        </w:rPr>
        <w:t>left</w:t>
      </w:r>
      <w:r w:rsidR="00040659">
        <w:rPr>
          <w:snapToGrid w:val="0"/>
        </w:rPr>
        <w:t xml:space="preserve"> Sri Lanka legally, </w:t>
      </w:r>
      <w:r w:rsidR="0097079E">
        <w:rPr>
          <w:snapToGrid w:val="0"/>
        </w:rPr>
        <w:t xml:space="preserve">it had </w:t>
      </w:r>
      <w:r w:rsidR="00040659">
        <w:rPr>
          <w:snapToGrid w:val="0"/>
        </w:rPr>
        <w:t xml:space="preserve">no reason to believe </w:t>
      </w:r>
      <w:r w:rsidR="0097079E">
        <w:rPr>
          <w:snapToGrid w:val="0"/>
        </w:rPr>
        <w:t xml:space="preserve">that </w:t>
      </w:r>
      <w:r w:rsidR="00040659">
        <w:rPr>
          <w:snapToGrid w:val="0"/>
        </w:rPr>
        <w:t xml:space="preserve">he would experience any difficulties on his return or be exposed to </w:t>
      </w:r>
      <w:r w:rsidR="0097079E">
        <w:rPr>
          <w:snapToGrid w:val="0"/>
        </w:rPr>
        <w:t>the</w:t>
      </w:r>
      <w:r w:rsidR="00040659">
        <w:rPr>
          <w:snapToGrid w:val="0"/>
        </w:rPr>
        <w:t xml:space="preserve"> risk of harm as a failed asylum seeker.</w:t>
      </w:r>
      <w:r w:rsidR="002B6BD4">
        <w:rPr>
          <w:snapToGrid w:val="0"/>
        </w:rPr>
        <w:t xml:space="preserve"> </w:t>
      </w:r>
    </w:p>
    <w:p w:rsidR="00483264" w:rsidRDefault="00EE4AF8">
      <w:pPr>
        <w:pStyle w:val="SingleTxtG"/>
        <w:rPr>
          <w:snapToGrid w:val="0"/>
        </w:rPr>
      </w:pPr>
      <w:r>
        <w:rPr>
          <w:snapToGrid w:val="0"/>
        </w:rPr>
        <w:t>2.3</w:t>
      </w:r>
      <w:r>
        <w:rPr>
          <w:snapToGrid w:val="0"/>
        </w:rPr>
        <w:tab/>
      </w:r>
      <w:r w:rsidR="0094645A">
        <w:rPr>
          <w:snapToGrid w:val="0"/>
        </w:rPr>
        <w:t>O</w:t>
      </w:r>
      <w:r w:rsidR="00BA24EF">
        <w:rPr>
          <w:snapToGrid w:val="0"/>
        </w:rPr>
        <w:t xml:space="preserve">n </w:t>
      </w:r>
      <w:r w:rsidR="00C03A96">
        <w:rPr>
          <w:snapToGrid w:val="0"/>
        </w:rPr>
        <w:t>6 May 2011</w:t>
      </w:r>
      <w:r w:rsidR="00F07D2F">
        <w:rPr>
          <w:snapToGrid w:val="0"/>
        </w:rPr>
        <w:t xml:space="preserve">, the complainant requested an </w:t>
      </w:r>
      <w:r w:rsidR="0097079E">
        <w:rPr>
          <w:snapToGrid w:val="0"/>
        </w:rPr>
        <w:t>i</w:t>
      </w:r>
      <w:r w:rsidR="00F07D2F">
        <w:rPr>
          <w:snapToGrid w:val="0"/>
        </w:rPr>
        <w:t xml:space="preserve">ndependent </w:t>
      </w:r>
      <w:r w:rsidR="0097079E">
        <w:rPr>
          <w:snapToGrid w:val="0"/>
        </w:rPr>
        <w:t>m</w:t>
      </w:r>
      <w:r w:rsidR="00F07D2F">
        <w:rPr>
          <w:snapToGrid w:val="0"/>
        </w:rPr>
        <w:t xml:space="preserve">erits </w:t>
      </w:r>
      <w:r w:rsidR="0097079E">
        <w:rPr>
          <w:snapToGrid w:val="0"/>
        </w:rPr>
        <w:t>r</w:t>
      </w:r>
      <w:r w:rsidR="00F07D2F">
        <w:rPr>
          <w:snapToGrid w:val="0"/>
        </w:rPr>
        <w:t>eview</w:t>
      </w:r>
      <w:r w:rsidR="00C03A96">
        <w:rPr>
          <w:snapToGrid w:val="0"/>
        </w:rPr>
        <w:t xml:space="preserve"> of the </w:t>
      </w:r>
      <w:r w:rsidR="0097079E">
        <w:rPr>
          <w:snapToGrid w:val="0"/>
        </w:rPr>
        <w:t>r</w:t>
      </w:r>
      <w:r w:rsidR="009D1FD4">
        <w:rPr>
          <w:snapToGrid w:val="0"/>
        </w:rPr>
        <w:t xml:space="preserve">efugee </w:t>
      </w:r>
      <w:r w:rsidR="0097079E">
        <w:rPr>
          <w:snapToGrid w:val="0"/>
        </w:rPr>
        <w:t>s</w:t>
      </w:r>
      <w:r w:rsidR="009D1FD4">
        <w:rPr>
          <w:snapToGrid w:val="0"/>
        </w:rPr>
        <w:t xml:space="preserve">tatus </w:t>
      </w:r>
      <w:r w:rsidR="0097079E">
        <w:rPr>
          <w:snapToGrid w:val="0"/>
        </w:rPr>
        <w:t>a</w:t>
      </w:r>
      <w:r w:rsidR="009D1FD4">
        <w:rPr>
          <w:snapToGrid w:val="0"/>
        </w:rPr>
        <w:t>ssessment</w:t>
      </w:r>
      <w:r w:rsidR="00C03A96">
        <w:rPr>
          <w:snapToGrid w:val="0"/>
        </w:rPr>
        <w:t xml:space="preserve"> </w:t>
      </w:r>
      <w:r w:rsidR="0097079E">
        <w:rPr>
          <w:snapToGrid w:val="0"/>
        </w:rPr>
        <w:t>of the Department of Immigration and Citizenship</w:t>
      </w:r>
      <w:r w:rsidR="00F07D2F">
        <w:rPr>
          <w:snapToGrid w:val="0"/>
        </w:rPr>
        <w:t xml:space="preserve">. On </w:t>
      </w:r>
      <w:r w:rsidR="00BA24EF">
        <w:rPr>
          <w:snapToGrid w:val="0"/>
        </w:rPr>
        <w:t>23</w:t>
      </w:r>
      <w:r w:rsidR="0094645A">
        <w:rPr>
          <w:snapToGrid w:val="0"/>
        </w:rPr>
        <w:t xml:space="preserve"> </w:t>
      </w:r>
      <w:r w:rsidR="00BA24EF">
        <w:rPr>
          <w:snapToGrid w:val="0"/>
        </w:rPr>
        <w:t>July</w:t>
      </w:r>
      <w:r w:rsidR="0094645A">
        <w:rPr>
          <w:snapToGrid w:val="0"/>
        </w:rPr>
        <w:t xml:space="preserve"> 2012, </w:t>
      </w:r>
      <w:r w:rsidR="00F07D2F">
        <w:rPr>
          <w:snapToGrid w:val="0"/>
        </w:rPr>
        <w:t xml:space="preserve">the </w:t>
      </w:r>
      <w:r w:rsidR="0097079E">
        <w:rPr>
          <w:snapToGrid w:val="0"/>
        </w:rPr>
        <w:t>r</w:t>
      </w:r>
      <w:r w:rsidR="00F07D2F">
        <w:rPr>
          <w:snapToGrid w:val="0"/>
        </w:rPr>
        <w:t>eviewer rejected his protection visa</w:t>
      </w:r>
      <w:r w:rsidR="00E71B3E">
        <w:rPr>
          <w:snapToGrid w:val="0"/>
        </w:rPr>
        <w:t xml:space="preserve"> application</w:t>
      </w:r>
      <w:r w:rsidR="00A401A3">
        <w:rPr>
          <w:snapToGrid w:val="0"/>
        </w:rPr>
        <w:t xml:space="preserve"> based mainly on the</w:t>
      </w:r>
      <w:r w:rsidR="00E71B3E">
        <w:rPr>
          <w:snapToGrid w:val="0"/>
        </w:rPr>
        <w:t xml:space="preserve"> grounds that his statements </w:t>
      </w:r>
      <w:r w:rsidR="00A401A3">
        <w:rPr>
          <w:snapToGrid w:val="0"/>
        </w:rPr>
        <w:t>lack</w:t>
      </w:r>
      <w:r w:rsidR="00E71B3E">
        <w:rPr>
          <w:snapToGrid w:val="0"/>
        </w:rPr>
        <w:t>ed</w:t>
      </w:r>
      <w:r w:rsidR="00A401A3">
        <w:rPr>
          <w:snapToGrid w:val="0"/>
        </w:rPr>
        <w:t xml:space="preserve"> credibilit</w:t>
      </w:r>
      <w:r w:rsidR="00E71B3E">
        <w:rPr>
          <w:snapToGrid w:val="0"/>
        </w:rPr>
        <w:t>y</w:t>
      </w:r>
      <w:r w:rsidR="00A401A3">
        <w:rPr>
          <w:snapToGrid w:val="0"/>
        </w:rPr>
        <w:t xml:space="preserve">. </w:t>
      </w:r>
      <w:r w:rsidR="00E71B3E">
        <w:rPr>
          <w:snapToGrid w:val="0"/>
        </w:rPr>
        <w:t>T</w:t>
      </w:r>
      <w:r w:rsidR="00A401A3">
        <w:rPr>
          <w:snapToGrid w:val="0"/>
        </w:rPr>
        <w:t xml:space="preserve">he complainant stated in his </w:t>
      </w:r>
      <w:r w:rsidR="00A401A3" w:rsidRPr="0063611C">
        <w:rPr>
          <w:snapToGrid w:val="0"/>
        </w:rPr>
        <w:t>initial interview</w:t>
      </w:r>
      <w:r w:rsidR="00A401A3">
        <w:rPr>
          <w:snapToGrid w:val="0"/>
        </w:rPr>
        <w:t xml:space="preserve"> that the boat on which he arrived</w:t>
      </w:r>
      <w:r w:rsidR="00E71B3E">
        <w:rPr>
          <w:snapToGrid w:val="0"/>
        </w:rPr>
        <w:t xml:space="preserve"> in Australia</w:t>
      </w:r>
      <w:r w:rsidR="00A401A3">
        <w:rPr>
          <w:snapToGrid w:val="0"/>
        </w:rPr>
        <w:t xml:space="preserve"> </w:t>
      </w:r>
      <w:r w:rsidR="00E71B3E">
        <w:rPr>
          <w:snapToGrid w:val="0"/>
        </w:rPr>
        <w:t xml:space="preserve">had </w:t>
      </w:r>
      <w:r w:rsidR="00A401A3">
        <w:rPr>
          <w:snapToGrid w:val="0"/>
        </w:rPr>
        <w:t>c</w:t>
      </w:r>
      <w:r w:rsidR="00E71B3E">
        <w:rPr>
          <w:snapToGrid w:val="0"/>
        </w:rPr>
        <w:t>o</w:t>
      </w:r>
      <w:r w:rsidR="00A401A3">
        <w:rPr>
          <w:snapToGrid w:val="0"/>
        </w:rPr>
        <w:t>me from Sri Lanka, wh</w:t>
      </w:r>
      <w:r w:rsidR="00E71B3E">
        <w:rPr>
          <w:snapToGrid w:val="0"/>
        </w:rPr>
        <w:t>en</w:t>
      </w:r>
      <w:r w:rsidR="00A401A3">
        <w:rPr>
          <w:snapToGrid w:val="0"/>
        </w:rPr>
        <w:t xml:space="preserve"> </w:t>
      </w:r>
      <w:r w:rsidR="00187078">
        <w:rPr>
          <w:snapToGrid w:val="0"/>
        </w:rPr>
        <w:t xml:space="preserve">in fact </w:t>
      </w:r>
      <w:r w:rsidR="00A401A3">
        <w:rPr>
          <w:snapToGrid w:val="0"/>
        </w:rPr>
        <w:t xml:space="preserve">it </w:t>
      </w:r>
      <w:r w:rsidR="00E71B3E">
        <w:rPr>
          <w:snapToGrid w:val="0"/>
        </w:rPr>
        <w:t xml:space="preserve">had </w:t>
      </w:r>
      <w:r w:rsidR="00A401A3">
        <w:rPr>
          <w:snapToGrid w:val="0"/>
        </w:rPr>
        <w:t>c</w:t>
      </w:r>
      <w:r w:rsidR="00E71B3E">
        <w:rPr>
          <w:snapToGrid w:val="0"/>
        </w:rPr>
        <w:t>o</w:t>
      </w:r>
      <w:r w:rsidR="00A401A3">
        <w:rPr>
          <w:snapToGrid w:val="0"/>
        </w:rPr>
        <w:t>me from India</w:t>
      </w:r>
      <w:r w:rsidR="00E71B3E">
        <w:rPr>
          <w:snapToGrid w:val="0"/>
        </w:rPr>
        <w:t>. I</w:t>
      </w:r>
      <w:r w:rsidR="00A401A3">
        <w:rPr>
          <w:snapToGrid w:val="0"/>
        </w:rPr>
        <w:t>n his statutory declaration</w:t>
      </w:r>
      <w:r w:rsidR="00E71B3E">
        <w:rPr>
          <w:snapToGrid w:val="0"/>
        </w:rPr>
        <w:t>,</w:t>
      </w:r>
      <w:r w:rsidR="00A401A3">
        <w:rPr>
          <w:snapToGrid w:val="0"/>
        </w:rPr>
        <w:t xml:space="preserve"> he stated </w:t>
      </w:r>
      <w:r w:rsidR="00E71B3E">
        <w:rPr>
          <w:snapToGrid w:val="0"/>
        </w:rPr>
        <w:t>that he had</w:t>
      </w:r>
      <w:r w:rsidR="00A401A3">
        <w:rPr>
          <w:snapToGrid w:val="0"/>
        </w:rPr>
        <w:t xml:space="preserve"> been beaten by the Army,</w:t>
      </w:r>
      <w:r w:rsidR="00E71B3E">
        <w:rPr>
          <w:snapToGrid w:val="0"/>
        </w:rPr>
        <w:t xml:space="preserve"> although he had </w:t>
      </w:r>
      <w:r w:rsidR="00A401A3">
        <w:rPr>
          <w:snapToGrid w:val="0"/>
        </w:rPr>
        <w:t>not mention</w:t>
      </w:r>
      <w:r w:rsidR="00E71B3E">
        <w:rPr>
          <w:snapToGrid w:val="0"/>
        </w:rPr>
        <w:t>ed that</w:t>
      </w:r>
      <w:r w:rsidR="00A401A3">
        <w:rPr>
          <w:snapToGrid w:val="0"/>
        </w:rPr>
        <w:t xml:space="preserve"> it in the </w:t>
      </w:r>
      <w:r w:rsidR="00A401A3" w:rsidRPr="0063611C">
        <w:rPr>
          <w:snapToGrid w:val="0"/>
        </w:rPr>
        <w:t>entry interview</w:t>
      </w:r>
      <w:r w:rsidR="00A401A3">
        <w:rPr>
          <w:snapToGrid w:val="0"/>
        </w:rPr>
        <w:t xml:space="preserve"> and </w:t>
      </w:r>
      <w:r w:rsidR="00E71B3E">
        <w:rPr>
          <w:snapToGrid w:val="0"/>
        </w:rPr>
        <w:t xml:space="preserve">he </w:t>
      </w:r>
      <w:r w:rsidR="00A401A3">
        <w:rPr>
          <w:snapToGrid w:val="0"/>
        </w:rPr>
        <w:t>alter</w:t>
      </w:r>
      <w:r w:rsidR="00E71B3E">
        <w:rPr>
          <w:snapToGrid w:val="0"/>
        </w:rPr>
        <w:t>ed</w:t>
      </w:r>
      <w:r w:rsidR="00A401A3">
        <w:rPr>
          <w:snapToGrid w:val="0"/>
        </w:rPr>
        <w:t xml:space="preserve"> his statement during the </w:t>
      </w:r>
      <w:r w:rsidR="00E71B3E">
        <w:rPr>
          <w:snapToGrid w:val="0"/>
        </w:rPr>
        <w:t>independent merits review</w:t>
      </w:r>
      <w:r w:rsidR="00A401A3">
        <w:rPr>
          <w:snapToGrid w:val="0"/>
        </w:rPr>
        <w:t xml:space="preserve"> interview</w:t>
      </w:r>
      <w:r w:rsidR="00E71B3E">
        <w:rPr>
          <w:snapToGrid w:val="0"/>
        </w:rPr>
        <w:t>. H</w:t>
      </w:r>
      <w:r w:rsidR="00A401A3">
        <w:rPr>
          <w:snapToGrid w:val="0"/>
        </w:rPr>
        <w:t xml:space="preserve">e </w:t>
      </w:r>
      <w:r w:rsidR="00E71B3E">
        <w:rPr>
          <w:snapToGrid w:val="0"/>
        </w:rPr>
        <w:t>w</w:t>
      </w:r>
      <w:r w:rsidR="00A401A3">
        <w:rPr>
          <w:snapToGrid w:val="0"/>
        </w:rPr>
        <w:t xml:space="preserve">as not consistent </w:t>
      </w:r>
      <w:r w:rsidR="00E71B3E">
        <w:rPr>
          <w:snapToGrid w:val="0"/>
        </w:rPr>
        <w:t>in</w:t>
      </w:r>
      <w:r w:rsidR="00A401A3">
        <w:rPr>
          <w:snapToGrid w:val="0"/>
        </w:rPr>
        <w:t xml:space="preserve"> </w:t>
      </w:r>
      <w:r w:rsidR="00E71B3E">
        <w:rPr>
          <w:snapToGrid w:val="0"/>
        </w:rPr>
        <w:t>his</w:t>
      </w:r>
      <w:r w:rsidR="00A401A3">
        <w:rPr>
          <w:snapToGrid w:val="0"/>
        </w:rPr>
        <w:t xml:space="preserve"> claim </w:t>
      </w:r>
      <w:r w:rsidR="00E71B3E">
        <w:rPr>
          <w:snapToGrid w:val="0"/>
        </w:rPr>
        <w:t>regarding</w:t>
      </w:r>
      <w:r w:rsidR="00A401A3">
        <w:rPr>
          <w:snapToGrid w:val="0"/>
        </w:rPr>
        <w:t xml:space="preserve"> who shot his brother and </w:t>
      </w:r>
      <w:r w:rsidR="00E71B3E">
        <w:rPr>
          <w:snapToGrid w:val="0"/>
        </w:rPr>
        <w:t>did not provide any</w:t>
      </w:r>
      <w:r w:rsidR="00A401A3">
        <w:rPr>
          <w:snapToGrid w:val="0"/>
        </w:rPr>
        <w:t xml:space="preserve"> credible evidence </w:t>
      </w:r>
      <w:r w:rsidR="00E71B3E">
        <w:rPr>
          <w:snapToGrid w:val="0"/>
        </w:rPr>
        <w:t>as to</w:t>
      </w:r>
      <w:r w:rsidR="00A401A3">
        <w:rPr>
          <w:snapToGrid w:val="0"/>
        </w:rPr>
        <w:t xml:space="preserve"> how he learn</w:t>
      </w:r>
      <w:r w:rsidR="00E71B3E">
        <w:rPr>
          <w:snapToGrid w:val="0"/>
        </w:rPr>
        <w:t>ed that</w:t>
      </w:r>
      <w:r w:rsidR="00A401A3">
        <w:rPr>
          <w:snapToGrid w:val="0"/>
        </w:rPr>
        <w:t xml:space="preserve"> </w:t>
      </w:r>
      <w:r w:rsidR="00E71B3E">
        <w:rPr>
          <w:snapToGrid w:val="0"/>
        </w:rPr>
        <w:t xml:space="preserve">he </w:t>
      </w:r>
      <w:r w:rsidR="005D57EB">
        <w:rPr>
          <w:snapToGrid w:val="0"/>
        </w:rPr>
        <w:t>was</w:t>
      </w:r>
      <w:r w:rsidR="00E71B3E">
        <w:rPr>
          <w:snapToGrid w:val="0"/>
        </w:rPr>
        <w:t xml:space="preserve"> shot by</w:t>
      </w:r>
      <w:r w:rsidR="00A401A3">
        <w:rPr>
          <w:snapToGrid w:val="0"/>
        </w:rPr>
        <w:t xml:space="preserve"> the Army</w:t>
      </w:r>
      <w:r w:rsidR="00E71B3E">
        <w:rPr>
          <w:snapToGrid w:val="0"/>
        </w:rPr>
        <w:t>. H</w:t>
      </w:r>
      <w:r w:rsidR="00D40B65">
        <w:rPr>
          <w:snapToGrid w:val="0"/>
        </w:rPr>
        <w:t xml:space="preserve">e changed his statement </w:t>
      </w:r>
      <w:r w:rsidR="00E71B3E">
        <w:rPr>
          <w:snapToGrid w:val="0"/>
        </w:rPr>
        <w:t xml:space="preserve">regarding </w:t>
      </w:r>
      <w:r w:rsidR="00D40B65">
        <w:rPr>
          <w:snapToGrid w:val="0"/>
        </w:rPr>
        <w:t>ma</w:t>
      </w:r>
      <w:r w:rsidR="00E71B3E">
        <w:rPr>
          <w:snapToGrid w:val="0"/>
        </w:rPr>
        <w:t>king</w:t>
      </w:r>
      <w:r w:rsidR="00D40B65">
        <w:rPr>
          <w:snapToGrid w:val="0"/>
        </w:rPr>
        <w:t xml:space="preserve"> uniform</w:t>
      </w:r>
      <w:r w:rsidR="00E71B3E">
        <w:rPr>
          <w:snapToGrid w:val="0"/>
        </w:rPr>
        <w:t>s</w:t>
      </w:r>
      <w:r w:rsidR="00D40B65">
        <w:rPr>
          <w:snapToGrid w:val="0"/>
        </w:rPr>
        <w:t xml:space="preserve"> or civilian clothes for LTTE in 2008</w:t>
      </w:r>
      <w:r w:rsidR="00E71B3E">
        <w:rPr>
          <w:snapToGrid w:val="0"/>
        </w:rPr>
        <w:t xml:space="preserve"> as well as </w:t>
      </w:r>
      <w:r w:rsidR="007B42E3">
        <w:rPr>
          <w:snapToGrid w:val="0"/>
        </w:rPr>
        <w:t xml:space="preserve">regarding </w:t>
      </w:r>
      <w:r w:rsidR="00E71B3E">
        <w:rPr>
          <w:snapToGrid w:val="0"/>
        </w:rPr>
        <w:t xml:space="preserve">whether </w:t>
      </w:r>
      <w:r w:rsidR="007B42E3">
        <w:rPr>
          <w:snapToGrid w:val="0"/>
        </w:rPr>
        <w:t>his brother</w:t>
      </w:r>
      <w:r w:rsidR="00E71B3E">
        <w:rPr>
          <w:snapToGrid w:val="0"/>
        </w:rPr>
        <w:t xml:space="preserve"> was </w:t>
      </w:r>
      <w:r w:rsidR="007B42E3">
        <w:rPr>
          <w:snapToGrid w:val="0"/>
        </w:rPr>
        <w:t>living in a refugee camp</w:t>
      </w:r>
      <w:r w:rsidR="00E71B3E">
        <w:rPr>
          <w:snapToGrid w:val="0"/>
        </w:rPr>
        <w:t xml:space="preserve"> in India</w:t>
      </w:r>
      <w:r w:rsidR="007B42E3">
        <w:rPr>
          <w:snapToGrid w:val="0"/>
        </w:rPr>
        <w:t>. The complainant’s claim</w:t>
      </w:r>
      <w:r w:rsidR="00187078">
        <w:rPr>
          <w:snapToGrid w:val="0"/>
        </w:rPr>
        <w:t>s</w:t>
      </w:r>
      <w:r w:rsidR="007B42E3">
        <w:rPr>
          <w:snapToGrid w:val="0"/>
        </w:rPr>
        <w:t xml:space="preserve"> that he </w:t>
      </w:r>
      <w:r w:rsidR="009111AA">
        <w:rPr>
          <w:snapToGrid w:val="0"/>
        </w:rPr>
        <w:t>i</w:t>
      </w:r>
      <w:r w:rsidR="007B42E3">
        <w:rPr>
          <w:snapToGrid w:val="0"/>
        </w:rPr>
        <w:t>s a suspected LTTE supporter were dismissed by the interviewer as contradicting his claim that the Army, who was based on part of his family</w:t>
      </w:r>
      <w:r w:rsidR="009671F1">
        <w:rPr>
          <w:snapToGrid w:val="0"/>
        </w:rPr>
        <w:t>’s</w:t>
      </w:r>
      <w:r w:rsidR="007B42E3">
        <w:rPr>
          <w:snapToGrid w:val="0"/>
        </w:rPr>
        <w:t xml:space="preserve"> land</w:t>
      </w:r>
      <w:r w:rsidR="00184DE1">
        <w:rPr>
          <w:snapToGrid w:val="0"/>
        </w:rPr>
        <w:t>,</w:t>
      </w:r>
      <w:r w:rsidR="007B42E3">
        <w:rPr>
          <w:snapToGrid w:val="0"/>
        </w:rPr>
        <w:t xml:space="preserve"> knew that </w:t>
      </w:r>
      <w:r w:rsidR="00184DE1">
        <w:rPr>
          <w:snapToGrid w:val="0"/>
        </w:rPr>
        <w:t>his family</w:t>
      </w:r>
      <w:r w:rsidR="007B42E3">
        <w:rPr>
          <w:snapToGrid w:val="0"/>
        </w:rPr>
        <w:t xml:space="preserve"> w</w:t>
      </w:r>
      <w:r w:rsidR="00184DE1">
        <w:rPr>
          <w:snapToGrid w:val="0"/>
        </w:rPr>
        <w:t>as</w:t>
      </w:r>
      <w:r w:rsidR="007B42E3">
        <w:rPr>
          <w:snapToGrid w:val="0"/>
        </w:rPr>
        <w:t xml:space="preserve"> not helping LTTE. </w:t>
      </w:r>
      <w:r w:rsidR="009671F1">
        <w:rPr>
          <w:snapToGrid w:val="0"/>
        </w:rPr>
        <w:t xml:space="preserve">The </w:t>
      </w:r>
      <w:r w:rsidR="00184DE1" w:rsidRPr="009111AA">
        <w:rPr>
          <w:snapToGrid w:val="0"/>
        </w:rPr>
        <w:t>r</w:t>
      </w:r>
      <w:r w:rsidR="009671F1" w:rsidRPr="009111AA">
        <w:rPr>
          <w:snapToGrid w:val="0"/>
        </w:rPr>
        <w:t>eviewer</w:t>
      </w:r>
      <w:r w:rsidR="009671F1">
        <w:rPr>
          <w:snapToGrid w:val="0"/>
        </w:rPr>
        <w:t xml:space="preserve"> </w:t>
      </w:r>
      <w:r w:rsidR="009671F1">
        <w:rPr>
          <w:snapToGrid w:val="0"/>
        </w:rPr>
        <w:lastRenderedPageBreak/>
        <w:t>observed that the complainant was free to leave the hospital, although he</w:t>
      </w:r>
      <w:r w:rsidR="00A017BE">
        <w:rPr>
          <w:snapToGrid w:val="0"/>
        </w:rPr>
        <w:t xml:space="preserve"> </w:t>
      </w:r>
      <w:r w:rsidR="00184DE1">
        <w:rPr>
          <w:snapToGrid w:val="0"/>
        </w:rPr>
        <w:t xml:space="preserve">had been </w:t>
      </w:r>
      <w:r w:rsidR="00573AFD">
        <w:rPr>
          <w:snapToGrid w:val="0"/>
        </w:rPr>
        <w:t>taken</w:t>
      </w:r>
      <w:r w:rsidR="00A017BE">
        <w:rPr>
          <w:snapToGrid w:val="0"/>
        </w:rPr>
        <w:t xml:space="preserve"> there by the Army and his injury </w:t>
      </w:r>
      <w:r w:rsidR="00184DE1">
        <w:rPr>
          <w:snapToGrid w:val="0"/>
        </w:rPr>
        <w:t>had been “</w:t>
      </w:r>
      <w:r w:rsidR="00A017BE">
        <w:rPr>
          <w:snapToGrid w:val="0"/>
        </w:rPr>
        <w:t>closely</w:t>
      </w:r>
      <w:r w:rsidR="00184DE1">
        <w:rPr>
          <w:snapToGrid w:val="0"/>
        </w:rPr>
        <w:t>”</w:t>
      </w:r>
      <w:r w:rsidR="00A017BE">
        <w:rPr>
          <w:snapToGrid w:val="0"/>
        </w:rPr>
        <w:t xml:space="preserve"> examined by the C</w:t>
      </w:r>
      <w:r w:rsidR="00184DE1">
        <w:rPr>
          <w:snapToGrid w:val="0"/>
        </w:rPr>
        <w:t xml:space="preserve">riminal </w:t>
      </w:r>
      <w:r w:rsidR="00A017BE">
        <w:rPr>
          <w:snapToGrid w:val="0"/>
        </w:rPr>
        <w:t>I</w:t>
      </w:r>
      <w:r w:rsidR="00184DE1">
        <w:rPr>
          <w:snapToGrid w:val="0"/>
        </w:rPr>
        <w:t xml:space="preserve">nvestigation </w:t>
      </w:r>
      <w:r w:rsidR="00A017BE">
        <w:rPr>
          <w:snapToGrid w:val="0"/>
        </w:rPr>
        <w:t>D</w:t>
      </w:r>
      <w:r w:rsidR="00184DE1">
        <w:rPr>
          <w:snapToGrid w:val="0"/>
        </w:rPr>
        <w:t>epartment</w:t>
      </w:r>
      <w:r w:rsidR="00573AFD">
        <w:rPr>
          <w:snapToGrid w:val="0"/>
        </w:rPr>
        <w:t>. It also observed that t</w:t>
      </w:r>
      <w:r w:rsidR="00184DE1">
        <w:rPr>
          <w:snapToGrid w:val="0"/>
        </w:rPr>
        <w:t>he</w:t>
      </w:r>
      <w:r w:rsidR="00573AFD">
        <w:rPr>
          <w:snapToGrid w:val="0"/>
        </w:rPr>
        <w:t xml:space="preserve"> complainant</w:t>
      </w:r>
      <w:r w:rsidR="00184DE1">
        <w:rPr>
          <w:snapToGrid w:val="0"/>
        </w:rPr>
        <w:t xml:space="preserve"> was able</w:t>
      </w:r>
      <w:r w:rsidR="00C03A96">
        <w:rPr>
          <w:snapToGrid w:val="0"/>
        </w:rPr>
        <w:t xml:space="preserve"> to </w:t>
      </w:r>
      <w:r w:rsidR="00184DE1">
        <w:rPr>
          <w:snapToGrid w:val="0"/>
        </w:rPr>
        <w:t>leave t</w:t>
      </w:r>
      <w:r w:rsidR="009671F1">
        <w:rPr>
          <w:snapToGrid w:val="0"/>
        </w:rPr>
        <w:t xml:space="preserve">he country </w:t>
      </w:r>
      <w:r w:rsidR="00184DE1">
        <w:rPr>
          <w:snapToGrid w:val="0"/>
        </w:rPr>
        <w:t>from</w:t>
      </w:r>
      <w:r w:rsidR="009671F1">
        <w:rPr>
          <w:snapToGrid w:val="0"/>
        </w:rPr>
        <w:t xml:space="preserve"> the airport with a </w:t>
      </w:r>
      <w:r w:rsidR="00184DE1">
        <w:rPr>
          <w:snapToGrid w:val="0"/>
        </w:rPr>
        <w:t xml:space="preserve">valid </w:t>
      </w:r>
      <w:r w:rsidR="009671F1">
        <w:rPr>
          <w:snapToGrid w:val="0"/>
        </w:rPr>
        <w:t xml:space="preserve">passport, which would not have been possible had he been a suspected </w:t>
      </w:r>
      <w:r w:rsidR="00187078">
        <w:rPr>
          <w:snapToGrid w:val="0"/>
        </w:rPr>
        <w:t xml:space="preserve">LTTE </w:t>
      </w:r>
      <w:r w:rsidR="009671F1">
        <w:rPr>
          <w:snapToGrid w:val="0"/>
        </w:rPr>
        <w:t>supporte</w:t>
      </w:r>
      <w:r w:rsidR="00187078">
        <w:rPr>
          <w:snapToGrid w:val="0"/>
        </w:rPr>
        <w:t>r</w:t>
      </w:r>
      <w:r w:rsidR="009671F1">
        <w:rPr>
          <w:snapToGrid w:val="0"/>
        </w:rPr>
        <w:t xml:space="preserve">. </w:t>
      </w:r>
      <w:r w:rsidR="00573AFD">
        <w:rPr>
          <w:snapToGrid w:val="0"/>
        </w:rPr>
        <w:t>Regarding</w:t>
      </w:r>
      <w:r w:rsidR="00642E79">
        <w:rPr>
          <w:snapToGrid w:val="0"/>
        </w:rPr>
        <w:t xml:space="preserve"> the complainant’s claim that</w:t>
      </w:r>
      <w:r w:rsidR="00573AFD">
        <w:rPr>
          <w:snapToGrid w:val="0"/>
        </w:rPr>
        <w:t>,</w:t>
      </w:r>
      <w:r w:rsidR="00642E79">
        <w:rPr>
          <w:snapToGrid w:val="0"/>
        </w:rPr>
        <w:t xml:space="preserve"> being a young Tamil man is</w:t>
      </w:r>
      <w:r w:rsidR="00573AFD">
        <w:rPr>
          <w:snapToGrid w:val="0"/>
        </w:rPr>
        <w:t>,</w:t>
      </w:r>
      <w:r w:rsidR="00642E79">
        <w:rPr>
          <w:snapToGrid w:val="0"/>
        </w:rPr>
        <w:t xml:space="preserve"> </w:t>
      </w:r>
      <w:r w:rsidR="005D57EB">
        <w:rPr>
          <w:snapToGrid w:val="0"/>
        </w:rPr>
        <w:t xml:space="preserve">in </w:t>
      </w:r>
      <w:r w:rsidR="00642E79">
        <w:rPr>
          <w:snapToGrid w:val="0"/>
        </w:rPr>
        <w:t>itself</w:t>
      </w:r>
      <w:r w:rsidR="00573AFD">
        <w:rPr>
          <w:snapToGrid w:val="0"/>
        </w:rPr>
        <w:t>,</w:t>
      </w:r>
      <w:r w:rsidR="00642E79">
        <w:rPr>
          <w:snapToGrid w:val="0"/>
        </w:rPr>
        <w:t xml:space="preserve"> sufficient to link him to LTTE, the </w:t>
      </w:r>
      <w:r w:rsidR="00AE3317">
        <w:rPr>
          <w:snapToGrid w:val="0"/>
        </w:rPr>
        <w:t>r</w:t>
      </w:r>
      <w:r w:rsidR="00642E79">
        <w:rPr>
          <w:snapToGrid w:val="0"/>
        </w:rPr>
        <w:t xml:space="preserve">eviewer relied on the UNHCR </w:t>
      </w:r>
      <w:r w:rsidR="00573AFD">
        <w:rPr>
          <w:snapToGrid w:val="0"/>
        </w:rPr>
        <w:t xml:space="preserve">2010 Eligibility </w:t>
      </w:r>
      <w:r w:rsidR="00642E79">
        <w:rPr>
          <w:snapToGrid w:val="0"/>
        </w:rPr>
        <w:t>Guidelines</w:t>
      </w:r>
      <w:r w:rsidR="00573AFD">
        <w:rPr>
          <w:snapToGrid w:val="0"/>
        </w:rPr>
        <w:t>,</w:t>
      </w:r>
      <w:r w:rsidR="00642E79">
        <w:rPr>
          <w:snapToGrid w:val="0"/>
        </w:rPr>
        <w:t xml:space="preserve"> which indicated that Sri Lankans originating from the north of the country </w:t>
      </w:r>
      <w:r w:rsidR="00573AFD">
        <w:rPr>
          <w:snapToGrid w:val="0"/>
        </w:rPr>
        <w:t>we</w:t>
      </w:r>
      <w:r w:rsidR="00642E79">
        <w:rPr>
          <w:snapToGrid w:val="0"/>
        </w:rPr>
        <w:t>re no longer in need of protection solely on the basis of indiscriminate harm.</w:t>
      </w:r>
      <w:r w:rsidR="007B42E3">
        <w:rPr>
          <w:snapToGrid w:val="0"/>
        </w:rPr>
        <w:t xml:space="preserve"> </w:t>
      </w:r>
      <w:r w:rsidR="005F7E8D">
        <w:rPr>
          <w:snapToGrid w:val="0"/>
        </w:rPr>
        <w:t xml:space="preserve">When considering the complainant’s claim that he would be detained and tortured at the airport as a failed asylum </w:t>
      </w:r>
      <w:r w:rsidR="00861CD3">
        <w:rPr>
          <w:snapToGrid w:val="0"/>
        </w:rPr>
        <w:t xml:space="preserve">seeker, the </w:t>
      </w:r>
      <w:r w:rsidR="00AE3317">
        <w:rPr>
          <w:snapToGrid w:val="0"/>
        </w:rPr>
        <w:t>r</w:t>
      </w:r>
      <w:r w:rsidR="00861CD3">
        <w:rPr>
          <w:snapToGrid w:val="0"/>
        </w:rPr>
        <w:t>eviewer concluded</w:t>
      </w:r>
      <w:r w:rsidR="00317E64">
        <w:rPr>
          <w:snapToGrid w:val="0"/>
        </w:rPr>
        <w:t xml:space="preserve"> </w:t>
      </w:r>
      <w:r w:rsidR="005F7E8D">
        <w:rPr>
          <w:snapToGrid w:val="0"/>
        </w:rPr>
        <w:t>that</w:t>
      </w:r>
      <w:r w:rsidR="00573AFD">
        <w:rPr>
          <w:snapToGrid w:val="0"/>
        </w:rPr>
        <w:t>,</w:t>
      </w:r>
      <w:r w:rsidR="005F7E8D">
        <w:rPr>
          <w:snapToGrid w:val="0"/>
        </w:rPr>
        <w:t xml:space="preserve"> since the complainant </w:t>
      </w:r>
      <w:r w:rsidR="00573AFD">
        <w:rPr>
          <w:snapToGrid w:val="0"/>
        </w:rPr>
        <w:t>did</w:t>
      </w:r>
      <w:r w:rsidR="005F7E8D">
        <w:rPr>
          <w:snapToGrid w:val="0"/>
        </w:rPr>
        <w:t xml:space="preserve"> no</w:t>
      </w:r>
      <w:r w:rsidR="00573AFD">
        <w:rPr>
          <w:snapToGrid w:val="0"/>
        </w:rPr>
        <w:t>t have a</w:t>
      </w:r>
      <w:r w:rsidR="005F7E8D">
        <w:rPr>
          <w:snapToGrid w:val="0"/>
        </w:rPr>
        <w:t xml:space="preserve"> criminal record </w:t>
      </w:r>
      <w:proofErr w:type="gramStart"/>
      <w:r w:rsidR="00573AFD">
        <w:rPr>
          <w:snapToGrid w:val="0"/>
        </w:rPr>
        <w:t>nor</w:t>
      </w:r>
      <w:proofErr w:type="gramEnd"/>
      <w:r w:rsidR="00573AFD">
        <w:rPr>
          <w:snapToGrid w:val="0"/>
        </w:rPr>
        <w:t xml:space="preserve"> any connection</w:t>
      </w:r>
      <w:r w:rsidR="005F7E8D">
        <w:rPr>
          <w:snapToGrid w:val="0"/>
        </w:rPr>
        <w:t xml:space="preserve"> </w:t>
      </w:r>
      <w:r w:rsidR="00573AFD">
        <w:rPr>
          <w:snapToGrid w:val="0"/>
        </w:rPr>
        <w:t>with</w:t>
      </w:r>
      <w:r w:rsidR="005F7E8D">
        <w:rPr>
          <w:snapToGrid w:val="0"/>
        </w:rPr>
        <w:t xml:space="preserve"> LTTE, he would be of no interest to the C</w:t>
      </w:r>
      <w:r w:rsidR="00573AFD">
        <w:rPr>
          <w:snapToGrid w:val="0"/>
        </w:rPr>
        <w:t xml:space="preserve">riminal </w:t>
      </w:r>
      <w:r w:rsidR="005F7E8D">
        <w:rPr>
          <w:snapToGrid w:val="0"/>
        </w:rPr>
        <w:t>I</w:t>
      </w:r>
      <w:r w:rsidR="00573AFD">
        <w:rPr>
          <w:snapToGrid w:val="0"/>
        </w:rPr>
        <w:t xml:space="preserve">nvestigation </w:t>
      </w:r>
      <w:r w:rsidR="005F7E8D">
        <w:rPr>
          <w:snapToGrid w:val="0"/>
        </w:rPr>
        <w:t>D</w:t>
      </w:r>
      <w:r w:rsidR="00573AFD">
        <w:rPr>
          <w:snapToGrid w:val="0"/>
        </w:rPr>
        <w:t>epartment</w:t>
      </w:r>
      <w:r w:rsidR="005F7E8D">
        <w:rPr>
          <w:snapToGrid w:val="0"/>
        </w:rPr>
        <w:t xml:space="preserve"> or the State Intelligence Service.</w:t>
      </w:r>
      <w:r w:rsidR="00317E64">
        <w:rPr>
          <w:rStyle w:val="FootnoteReference"/>
          <w:snapToGrid w:val="0"/>
        </w:rPr>
        <w:footnoteReference w:id="5"/>
      </w:r>
      <w:r w:rsidR="00317E64">
        <w:rPr>
          <w:snapToGrid w:val="0"/>
        </w:rPr>
        <w:t xml:space="preserve"> </w:t>
      </w:r>
      <w:r w:rsidR="00861CD3">
        <w:rPr>
          <w:snapToGrid w:val="0"/>
        </w:rPr>
        <w:t xml:space="preserve">Since he </w:t>
      </w:r>
      <w:r w:rsidR="004D32EF">
        <w:rPr>
          <w:snapToGrid w:val="0"/>
        </w:rPr>
        <w:t xml:space="preserve">was in </w:t>
      </w:r>
      <w:r w:rsidR="00861CD3">
        <w:rPr>
          <w:snapToGrid w:val="0"/>
        </w:rPr>
        <w:t>possess</w:t>
      </w:r>
      <w:r w:rsidR="004D32EF">
        <w:rPr>
          <w:snapToGrid w:val="0"/>
        </w:rPr>
        <w:t>ion of</w:t>
      </w:r>
      <w:r w:rsidR="00BF4E0D">
        <w:rPr>
          <w:snapToGrid w:val="0"/>
        </w:rPr>
        <w:t xml:space="preserve"> a national passport, the immigration authorities would be able to confirm that the complainant </w:t>
      </w:r>
      <w:r w:rsidR="00BD7417">
        <w:rPr>
          <w:snapToGrid w:val="0"/>
        </w:rPr>
        <w:t>was</w:t>
      </w:r>
      <w:r w:rsidR="004D32EF">
        <w:rPr>
          <w:snapToGrid w:val="0"/>
        </w:rPr>
        <w:t xml:space="preserve"> </w:t>
      </w:r>
      <w:r w:rsidR="00BF4E0D">
        <w:rPr>
          <w:snapToGrid w:val="0"/>
        </w:rPr>
        <w:t xml:space="preserve">entitled to enter the country. The </w:t>
      </w:r>
      <w:r w:rsidR="004B7D8A">
        <w:rPr>
          <w:snapToGrid w:val="0"/>
        </w:rPr>
        <w:t>r</w:t>
      </w:r>
      <w:r w:rsidR="00BF4E0D">
        <w:rPr>
          <w:snapToGrid w:val="0"/>
        </w:rPr>
        <w:t xml:space="preserve">eviewer also took into account that the situation of the complainant’s family in </w:t>
      </w:r>
      <w:proofErr w:type="spellStart"/>
      <w:r w:rsidR="00BF4E0D">
        <w:rPr>
          <w:snapToGrid w:val="0"/>
        </w:rPr>
        <w:t>Trincomalee</w:t>
      </w:r>
      <w:proofErr w:type="spellEnd"/>
      <w:r w:rsidR="00BF4E0D">
        <w:rPr>
          <w:snapToGrid w:val="0"/>
        </w:rPr>
        <w:t xml:space="preserve"> was stable and </w:t>
      </w:r>
      <w:r w:rsidR="00BD7417">
        <w:rPr>
          <w:snapToGrid w:val="0"/>
        </w:rPr>
        <w:t xml:space="preserve">that </w:t>
      </w:r>
      <w:r w:rsidR="00BF4E0D">
        <w:rPr>
          <w:snapToGrid w:val="0"/>
        </w:rPr>
        <w:t>he would be able to benefit from their support upon return.</w:t>
      </w:r>
      <w:r w:rsidR="002B6BD4">
        <w:rPr>
          <w:snapToGrid w:val="0"/>
        </w:rPr>
        <w:t xml:space="preserve"> </w:t>
      </w:r>
    </w:p>
    <w:p w:rsidR="001B4588" w:rsidRDefault="00483264" w:rsidP="0063611C">
      <w:pPr>
        <w:pStyle w:val="SingleTxtG"/>
        <w:rPr>
          <w:snapToGrid w:val="0"/>
        </w:rPr>
      </w:pPr>
      <w:r>
        <w:rPr>
          <w:snapToGrid w:val="0"/>
        </w:rPr>
        <w:t>2.4</w:t>
      </w:r>
      <w:r>
        <w:rPr>
          <w:snapToGrid w:val="0"/>
        </w:rPr>
        <w:tab/>
      </w:r>
      <w:r w:rsidR="00C03A96">
        <w:rPr>
          <w:snapToGrid w:val="0"/>
        </w:rPr>
        <w:t xml:space="preserve">On 20 September 2012, the complainant filed an application </w:t>
      </w:r>
      <w:r w:rsidR="004D32EF">
        <w:rPr>
          <w:snapToGrid w:val="0"/>
        </w:rPr>
        <w:t>with</w:t>
      </w:r>
      <w:r w:rsidR="00C03A96">
        <w:rPr>
          <w:snapToGrid w:val="0"/>
        </w:rPr>
        <w:t xml:space="preserve"> the</w:t>
      </w:r>
      <w:r w:rsidR="00C03A96" w:rsidRPr="00C03A96">
        <w:rPr>
          <w:snapToGrid w:val="0"/>
        </w:rPr>
        <w:t xml:space="preserve"> </w:t>
      </w:r>
      <w:r w:rsidR="00C03A96">
        <w:rPr>
          <w:snapToGrid w:val="0"/>
        </w:rPr>
        <w:t xml:space="preserve">Federal Circuit Court </w:t>
      </w:r>
      <w:r w:rsidR="004D32EF">
        <w:rPr>
          <w:snapToGrid w:val="0"/>
        </w:rPr>
        <w:t>for</w:t>
      </w:r>
      <w:r w:rsidR="00C03A96">
        <w:rPr>
          <w:snapToGrid w:val="0"/>
        </w:rPr>
        <w:t xml:space="preserve"> judicial review of the </w:t>
      </w:r>
      <w:r w:rsidR="0063611C">
        <w:rPr>
          <w:snapToGrid w:val="0"/>
        </w:rPr>
        <w:t>i</w:t>
      </w:r>
      <w:r w:rsidR="00C03A96">
        <w:rPr>
          <w:snapToGrid w:val="0"/>
        </w:rPr>
        <w:t xml:space="preserve">ndependent </w:t>
      </w:r>
      <w:r w:rsidR="0063611C">
        <w:rPr>
          <w:snapToGrid w:val="0"/>
        </w:rPr>
        <w:t>m</w:t>
      </w:r>
      <w:r w:rsidR="00C03A96">
        <w:rPr>
          <w:snapToGrid w:val="0"/>
        </w:rPr>
        <w:t xml:space="preserve">erits </w:t>
      </w:r>
      <w:r w:rsidR="0063611C">
        <w:rPr>
          <w:snapToGrid w:val="0"/>
        </w:rPr>
        <w:t>r</w:t>
      </w:r>
      <w:r w:rsidR="00C03A96">
        <w:rPr>
          <w:snapToGrid w:val="0"/>
        </w:rPr>
        <w:t xml:space="preserve">eview recommendation of 23 July 2012. </w:t>
      </w:r>
      <w:r w:rsidR="00215C4A">
        <w:rPr>
          <w:snapToGrid w:val="0"/>
        </w:rPr>
        <w:t xml:space="preserve">At the hearing, </w:t>
      </w:r>
      <w:r w:rsidR="004D32EF">
        <w:rPr>
          <w:snapToGrid w:val="0"/>
        </w:rPr>
        <w:t>the non-governmental organization (</w:t>
      </w:r>
      <w:r w:rsidR="00215C4A">
        <w:rPr>
          <w:snapToGrid w:val="0"/>
        </w:rPr>
        <w:t>NGO</w:t>
      </w:r>
      <w:r w:rsidR="004D32EF">
        <w:rPr>
          <w:snapToGrid w:val="0"/>
        </w:rPr>
        <w:t>)</w:t>
      </w:r>
      <w:r w:rsidR="00215C4A">
        <w:rPr>
          <w:snapToGrid w:val="0"/>
        </w:rPr>
        <w:t xml:space="preserve"> representi</w:t>
      </w:r>
      <w:r w:rsidR="008F0E54">
        <w:rPr>
          <w:snapToGrid w:val="0"/>
        </w:rPr>
        <w:t xml:space="preserve">ng </w:t>
      </w:r>
      <w:r w:rsidR="004D32EF">
        <w:rPr>
          <w:snapToGrid w:val="0"/>
        </w:rPr>
        <w:t>the complainant</w:t>
      </w:r>
      <w:r w:rsidR="00215C4A">
        <w:rPr>
          <w:snapToGrid w:val="0"/>
        </w:rPr>
        <w:t xml:space="preserve"> sought an adjournment</w:t>
      </w:r>
      <w:r w:rsidR="007F368C">
        <w:rPr>
          <w:snapToGrid w:val="0"/>
        </w:rPr>
        <w:t xml:space="preserve"> since he</w:t>
      </w:r>
      <w:r w:rsidR="004D32EF">
        <w:rPr>
          <w:snapToGrid w:val="0"/>
        </w:rPr>
        <w:t xml:space="preserve"> di</w:t>
      </w:r>
      <w:r w:rsidR="00215C4A">
        <w:rPr>
          <w:snapToGrid w:val="0"/>
        </w:rPr>
        <w:t>d no</w:t>
      </w:r>
      <w:r w:rsidR="004D32EF">
        <w:rPr>
          <w:snapToGrid w:val="0"/>
        </w:rPr>
        <w:t>t have</w:t>
      </w:r>
      <w:r w:rsidR="00215C4A">
        <w:rPr>
          <w:snapToGrid w:val="0"/>
        </w:rPr>
        <w:t xml:space="preserve"> legal counsel</w:t>
      </w:r>
      <w:r w:rsidR="007F368C">
        <w:rPr>
          <w:snapToGrid w:val="0"/>
        </w:rPr>
        <w:t>.</w:t>
      </w:r>
      <w:r w:rsidR="00215C4A">
        <w:rPr>
          <w:snapToGrid w:val="0"/>
        </w:rPr>
        <w:t xml:space="preserve"> The re</w:t>
      </w:r>
      <w:r w:rsidR="00AC647C">
        <w:rPr>
          <w:snapToGrid w:val="0"/>
        </w:rPr>
        <w:t>quest was rejected by the C</w:t>
      </w:r>
      <w:r w:rsidR="00215C4A">
        <w:rPr>
          <w:snapToGrid w:val="0"/>
        </w:rPr>
        <w:t>ourt</w:t>
      </w:r>
      <w:r w:rsidR="00AC647C">
        <w:rPr>
          <w:snapToGrid w:val="0"/>
        </w:rPr>
        <w:t>, which pointed out that</w:t>
      </w:r>
      <w:r w:rsidR="004D32EF">
        <w:rPr>
          <w:snapToGrid w:val="0"/>
        </w:rPr>
        <w:t>,</w:t>
      </w:r>
      <w:r w:rsidR="00AC647C">
        <w:rPr>
          <w:snapToGrid w:val="0"/>
        </w:rPr>
        <w:t xml:space="preserve"> on 14 November 2012</w:t>
      </w:r>
      <w:r w:rsidR="00FC34C8">
        <w:rPr>
          <w:snapToGrid w:val="0"/>
        </w:rPr>
        <w:t>,</w:t>
      </w:r>
      <w:r w:rsidR="00AC647C">
        <w:rPr>
          <w:snapToGrid w:val="0"/>
        </w:rPr>
        <w:t xml:space="preserve"> it </w:t>
      </w:r>
      <w:r w:rsidR="004D32EF">
        <w:rPr>
          <w:snapToGrid w:val="0"/>
        </w:rPr>
        <w:t xml:space="preserve">had </w:t>
      </w:r>
      <w:r w:rsidR="00AC647C">
        <w:rPr>
          <w:snapToGrid w:val="0"/>
        </w:rPr>
        <w:t>provided the complainant with contact details</w:t>
      </w:r>
      <w:r w:rsidR="008F0E54">
        <w:rPr>
          <w:snapToGrid w:val="0"/>
        </w:rPr>
        <w:t>,</w:t>
      </w:r>
      <w:r w:rsidR="00AC647C">
        <w:rPr>
          <w:snapToGrid w:val="0"/>
        </w:rPr>
        <w:t xml:space="preserve"> in his language</w:t>
      </w:r>
      <w:r w:rsidR="008F0E54">
        <w:rPr>
          <w:snapToGrid w:val="0"/>
        </w:rPr>
        <w:t>,</w:t>
      </w:r>
      <w:r w:rsidR="00AC647C">
        <w:rPr>
          <w:snapToGrid w:val="0"/>
        </w:rPr>
        <w:t xml:space="preserve"> of legal providers and translators/interpreters</w:t>
      </w:r>
      <w:r w:rsidR="004D32EF">
        <w:rPr>
          <w:snapToGrid w:val="0"/>
        </w:rPr>
        <w:t>,</w:t>
      </w:r>
      <w:r w:rsidR="007F368C">
        <w:rPr>
          <w:snapToGrid w:val="0"/>
        </w:rPr>
        <w:t xml:space="preserve"> and the fact that he </w:t>
      </w:r>
      <w:r w:rsidR="004D32EF">
        <w:rPr>
          <w:snapToGrid w:val="0"/>
        </w:rPr>
        <w:t xml:space="preserve">only </w:t>
      </w:r>
      <w:r w:rsidR="007F368C">
        <w:rPr>
          <w:snapToGrid w:val="0"/>
        </w:rPr>
        <w:t xml:space="preserve">contacted </w:t>
      </w:r>
      <w:r w:rsidR="004D32EF">
        <w:rPr>
          <w:snapToGrid w:val="0"/>
        </w:rPr>
        <w:t xml:space="preserve">the </w:t>
      </w:r>
      <w:r w:rsidR="007F368C">
        <w:rPr>
          <w:snapToGrid w:val="0"/>
        </w:rPr>
        <w:t>NGO on 28 April 2013</w:t>
      </w:r>
      <w:r w:rsidR="004D32EF">
        <w:rPr>
          <w:snapToGrid w:val="0"/>
        </w:rPr>
        <w:t>,</w:t>
      </w:r>
      <w:r w:rsidR="007F368C">
        <w:rPr>
          <w:snapToGrid w:val="0"/>
        </w:rPr>
        <w:t xml:space="preserve"> without any valid reason, show</w:t>
      </w:r>
      <w:r w:rsidR="009D1FD4">
        <w:rPr>
          <w:snapToGrid w:val="0"/>
        </w:rPr>
        <w:t>ed</w:t>
      </w:r>
      <w:r w:rsidR="007F368C">
        <w:rPr>
          <w:snapToGrid w:val="0"/>
        </w:rPr>
        <w:t xml:space="preserve"> </w:t>
      </w:r>
      <w:r w:rsidR="004D32EF">
        <w:rPr>
          <w:snapToGrid w:val="0"/>
        </w:rPr>
        <w:t xml:space="preserve">a </w:t>
      </w:r>
      <w:r w:rsidR="007F368C">
        <w:rPr>
          <w:snapToGrid w:val="0"/>
        </w:rPr>
        <w:t>lack of due diligence on his part</w:t>
      </w:r>
      <w:r w:rsidR="00AC647C">
        <w:rPr>
          <w:snapToGrid w:val="0"/>
        </w:rPr>
        <w:t xml:space="preserve">. The Court also gave the complainant until 30 January 2013 to file any amended application and additional evidence. </w:t>
      </w:r>
      <w:r w:rsidR="00C03A96">
        <w:rPr>
          <w:snapToGrid w:val="0"/>
        </w:rPr>
        <w:t>On</w:t>
      </w:r>
      <w:r w:rsidR="000E47F0">
        <w:rPr>
          <w:snapToGrid w:val="0"/>
        </w:rPr>
        <w:t xml:space="preserve"> 14 May 2013, </w:t>
      </w:r>
      <w:r w:rsidR="007F368C">
        <w:rPr>
          <w:snapToGrid w:val="0"/>
        </w:rPr>
        <w:t>the C</w:t>
      </w:r>
      <w:r w:rsidR="000E47F0">
        <w:rPr>
          <w:snapToGrid w:val="0"/>
        </w:rPr>
        <w:t>ourt</w:t>
      </w:r>
      <w:r w:rsidR="00215C4A">
        <w:rPr>
          <w:snapToGrid w:val="0"/>
        </w:rPr>
        <w:t xml:space="preserve"> </w:t>
      </w:r>
      <w:r w:rsidR="00AC647C">
        <w:rPr>
          <w:snapToGrid w:val="0"/>
        </w:rPr>
        <w:t>found that there was no misinterpretation of the evidence given</w:t>
      </w:r>
      <w:r w:rsidR="004D32EF">
        <w:rPr>
          <w:snapToGrid w:val="0"/>
        </w:rPr>
        <w:t xml:space="preserve"> by the complainant</w:t>
      </w:r>
      <w:r w:rsidR="00AC647C">
        <w:rPr>
          <w:snapToGrid w:val="0"/>
        </w:rPr>
        <w:t xml:space="preserve"> at the </w:t>
      </w:r>
      <w:r w:rsidR="00FC34C8">
        <w:rPr>
          <w:snapToGrid w:val="0"/>
        </w:rPr>
        <w:t xml:space="preserve">first and the second </w:t>
      </w:r>
      <w:r w:rsidR="00AC647C">
        <w:rPr>
          <w:snapToGrid w:val="0"/>
        </w:rPr>
        <w:t xml:space="preserve">interview such that he was deprived of an opportunity to </w:t>
      </w:r>
      <w:r w:rsidR="008E1F07">
        <w:rPr>
          <w:snapToGrid w:val="0"/>
        </w:rPr>
        <w:t xml:space="preserve">present </w:t>
      </w:r>
      <w:r w:rsidR="00AC647C">
        <w:rPr>
          <w:snapToGrid w:val="0"/>
        </w:rPr>
        <w:t>his case</w:t>
      </w:r>
      <w:r w:rsidR="000E47F0">
        <w:rPr>
          <w:snapToGrid w:val="0"/>
        </w:rPr>
        <w:t xml:space="preserve">. </w:t>
      </w:r>
      <w:r w:rsidR="001F0220">
        <w:rPr>
          <w:snapToGrid w:val="0"/>
        </w:rPr>
        <w:t xml:space="preserve">The complaints about the findings </w:t>
      </w:r>
      <w:r w:rsidR="0016627D">
        <w:rPr>
          <w:snapToGrid w:val="0"/>
        </w:rPr>
        <w:t>of</w:t>
      </w:r>
      <w:r w:rsidR="001F0220">
        <w:rPr>
          <w:snapToGrid w:val="0"/>
        </w:rPr>
        <w:t xml:space="preserve"> the </w:t>
      </w:r>
      <w:r w:rsidR="004B7D8A">
        <w:rPr>
          <w:snapToGrid w:val="0"/>
        </w:rPr>
        <w:t>r</w:t>
      </w:r>
      <w:r w:rsidR="001F0220">
        <w:rPr>
          <w:snapToGrid w:val="0"/>
        </w:rPr>
        <w:t>eviewer require</w:t>
      </w:r>
      <w:r w:rsidR="0016627D">
        <w:rPr>
          <w:snapToGrid w:val="0"/>
        </w:rPr>
        <w:t>d</w:t>
      </w:r>
      <w:r w:rsidR="001F0220">
        <w:rPr>
          <w:snapToGrid w:val="0"/>
        </w:rPr>
        <w:t xml:space="preserve"> </w:t>
      </w:r>
      <w:r w:rsidR="0016627D">
        <w:rPr>
          <w:snapToGrid w:val="0"/>
        </w:rPr>
        <w:t xml:space="preserve">a </w:t>
      </w:r>
      <w:r w:rsidR="001F0220">
        <w:rPr>
          <w:snapToGrid w:val="0"/>
        </w:rPr>
        <w:t>review</w:t>
      </w:r>
      <w:r w:rsidR="0016627D">
        <w:rPr>
          <w:snapToGrid w:val="0"/>
        </w:rPr>
        <w:t xml:space="preserve"> that was outside the jurisdiction of the Circuit</w:t>
      </w:r>
      <w:r w:rsidR="001F0220">
        <w:rPr>
          <w:snapToGrid w:val="0"/>
        </w:rPr>
        <w:t xml:space="preserve"> Court. </w:t>
      </w:r>
      <w:r w:rsidR="0016627D">
        <w:rPr>
          <w:snapToGrid w:val="0"/>
        </w:rPr>
        <w:t>In a</w:t>
      </w:r>
      <w:r w:rsidR="00C3491F">
        <w:rPr>
          <w:snapToGrid w:val="0"/>
        </w:rPr>
        <w:t>ddressing the c</w:t>
      </w:r>
      <w:r w:rsidR="00F92ACC">
        <w:rPr>
          <w:snapToGrid w:val="0"/>
        </w:rPr>
        <w:t xml:space="preserve">laim </w:t>
      </w:r>
      <w:r w:rsidR="0016627D">
        <w:rPr>
          <w:snapToGrid w:val="0"/>
        </w:rPr>
        <w:t>about</w:t>
      </w:r>
      <w:r w:rsidR="00F92ACC">
        <w:rPr>
          <w:snapToGrid w:val="0"/>
        </w:rPr>
        <w:t xml:space="preserve"> the alleged </w:t>
      </w:r>
      <w:r w:rsidR="00C3491F">
        <w:rPr>
          <w:snapToGrid w:val="0"/>
        </w:rPr>
        <w:t xml:space="preserve">failure of the </w:t>
      </w:r>
      <w:r w:rsidR="004B7D8A">
        <w:rPr>
          <w:snapToGrid w:val="0"/>
        </w:rPr>
        <w:t>r</w:t>
      </w:r>
      <w:r w:rsidR="00C3491F">
        <w:rPr>
          <w:snapToGrid w:val="0"/>
        </w:rPr>
        <w:t xml:space="preserve">eviewer to consider the </w:t>
      </w:r>
      <w:r w:rsidR="00F92ACC">
        <w:rPr>
          <w:snapToGrid w:val="0"/>
        </w:rPr>
        <w:t xml:space="preserve">complainant’s </w:t>
      </w:r>
      <w:r w:rsidR="00C3491F">
        <w:rPr>
          <w:snapToGrid w:val="0"/>
        </w:rPr>
        <w:t xml:space="preserve">psychosocial report, the Court observed that the </w:t>
      </w:r>
      <w:r w:rsidR="004B7D8A">
        <w:rPr>
          <w:snapToGrid w:val="0"/>
        </w:rPr>
        <w:t>r</w:t>
      </w:r>
      <w:r w:rsidR="00C3491F">
        <w:rPr>
          <w:snapToGrid w:val="0"/>
        </w:rPr>
        <w:t xml:space="preserve">eviewer </w:t>
      </w:r>
      <w:r w:rsidR="0016627D">
        <w:rPr>
          <w:snapToGrid w:val="0"/>
        </w:rPr>
        <w:t xml:space="preserve">had </w:t>
      </w:r>
      <w:r w:rsidR="00C3491F">
        <w:rPr>
          <w:snapToGrid w:val="0"/>
        </w:rPr>
        <w:t xml:space="preserve">noted that the psychosocial report dated 30 January 2012 was not a medical assessment of the complainant’s condition. </w:t>
      </w:r>
      <w:r w:rsidR="0016627D">
        <w:rPr>
          <w:snapToGrid w:val="0"/>
        </w:rPr>
        <w:t>It</w:t>
      </w:r>
      <w:r w:rsidR="00C3491F">
        <w:rPr>
          <w:snapToGrid w:val="0"/>
        </w:rPr>
        <w:t xml:space="preserve"> therefore concluded that the </w:t>
      </w:r>
      <w:r w:rsidR="004B7D8A">
        <w:rPr>
          <w:snapToGrid w:val="0"/>
        </w:rPr>
        <w:t>r</w:t>
      </w:r>
      <w:r w:rsidR="00C3491F">
        <w:rPr>
          <w:snapToGrid w:val="0"/>
        </w:rPr>
        <w:t xml:space="preserve">eviewer </w:t>
      </w:r>
      <w:r w:rsidR="0016627D">
        <w:rPr>
          <w:snapToGrid w:val="0"/>
        </w:rPr>
        <w:t xml:space="preserve">had </w:t>
      </w:r>
      <w:r w:rsidR="00C3491F">
        <w:rPr>
          <w:snapToGrid w:val="0"/>
        </w:rPr>
        <w:t>consider</w:t>
      </w:r>
      <w:r w:rsidR="001B4588">
        <w:rPr>
          <w:snapToGrid w:val="0"/>
        </w:rPr>
        <w:t>ed</w:t>
      </w:r>
      <w:r w:rsidR="00C3491F">
        <w:rPr>
          <w:snapToGrid w:val="0"/>
        </w:rPr>
        <w:t xml:space="preserve"> the report but did not find it compelling. </w:t>
      </w:r>
      <w:r w:rsidR="006E39BA">
        <w:rPr>
          <w:snapToGrid w:val="0"/>
        </w:rPr>
        <w:t>The Court also</w:t>
      </w:r>
      <w:r w:rsidR="001B4588">
        <w:rPr>
          <w:snapToGrid w:val="0"/>
        </w:rPr>
        <w:t xml:space="preserve"> observed that it could not be suggested that the complainant’s mental state </w:t>
      </w:r>
      <w:r w:rsidR="006E39BA">
        <w:rPr>
          <w:snapToGrid w:val="0"/>
        </w:rPr>
        <w:t xml:space="preserve">had </w:t>
      </w:r>
      <w:r w:rsidR="001B4588">
        <w:rPr>
          <w:snapToGrid w:val="0"/>
        </w:rPr>
        <w:t>deprived him of a meaningful opportunity to participate in the hearing.</w:t>
      </w:r>
    </w:p>
    <w:p w:rsidR="00982B11" w:rsidRDefault="001B4588" w:rsidP="0063611C">
      <w:pPr>
        <w:pStyle w:val="SingleTxtG"/>
        <w:rPr>
          <w:snapToGrid w:val="0"/>
        </w:rPr>
      </w:pPr>
      <w:r>
        <w:rPr>
          <w:snapToGrid w:val="0"/>
        </w:rPr>
        <w:t>2.5</w:t>
      </w:r>
      <w:r>
        <w:rPr>
          <w:snapToGrid w:val="0"/>
        </w:rPr>
        <w:tab/>
      </w:r>
      <w:r w:rsidR="000E47F0">
        <w:rPr>
          <w:snapToGrid w:val="0"/>
        </w:rPr>
        <w:t xml:space="preserve">On </w:t>
      </w:r>
      <w:r>
        <w:rPr>
          <w:snapToGrid w:val="0"/>
        </w:rPr>
        <w:t>16 August 2013, the complainant appeal</w:t>
      </w:r>
      <w:r w:rsidR="00F92ACC">
        <w:rPr>
          <w:snapToGrid w:val="0"/>
        </w:rPr>
        <w:t>ed</w:t>
      </w:r>
      <w:r>
        <w:rPr>
          <w:snapToGrid w:val="0"/>
        </w:rPr>
        <w:t xml:space="preserve"> to the Federal Court</w:t>
      </w:r>
      <w:r w:rsidR="006B540A">
        <w:rPr>
          <w:snapToGrid w:val="0"/>
        </w:rPr>
        <w:t xml:space="preserve"> of Australia</w:t>
      </w:r>
      <w:r>
        <w:rPr>
          <w:snapToGrid w:val="0"/>
        </w:rPr>
        <w:t xml:space="preserve"> claiming that the conclusion</w:t>
      </w:r>
      <w:r w:rsidR="006B540A">
        <w:rPr>
          <w:snapToGrid w:val="0"/>
        </w:rPr>
        <w:t xml:space="preserve"> of the </w:t>
      </w:r>
      <w:r w:rsidR="0063611C">
        <w:rPr>
          <w:snapToGrid w:val="0"/>
        </w:rPr>
        <w:t>independent merits review</w:t>
      </w:r>
      <w:r>
        <w:rPr>
          <w:snapToGrid w:val="0"/>
        </w:rPr>
        <w:t xml:space="preserve"> that he was not in need of protection was </w:t>
      </w:r>
      <w:r w:rsidR="006B540A">
        <w:rPr>
          <w:snapToGrid w:val="0"/>
        </w:rPr>
        <w:t>neither</w:t>
      </w:r>
      <w:r>
        <w:rPr>
          <w:snapToGrid w:val="0"/>
        </w:rPr>
        <w:t xml:space="preserve"> logical </w:t>
      </w:r>
      <w:r w:rsidR="006B540A">
        <w:rPr>
          <w:snapToGrid w:val="0"/>
        </w:rPr>
        <w:t>n</w:t>
      </w:r>
      <w:r>
        <w:rPr>
          <w:snapToGrid w:val="0"/>
        </w:rPr>
        <w:t>or rational and that there was a jurisdictional error in the</w:t>
      </w:r>
      <w:r w:rsidR="006B540A">
        <w:rPr>
          <w:snapToGrid w:val="0"/>
        </w:rPr>
        <w:t xml:space="preserve"> decision of the</w:t>
      </w:r>
      <w:r>
        <w:rPr>
          <w:snapToGrid w:val="0"/>
        </w:rPr>
        <w:t xml:space="preserve"> Federal Circuit Court. </w:t>
      </w:r>
      <w:r w:rsidR="00982B11">
        <w:rPr>
          <w:snapToGrid w:val="0"/>
        </w:rPr>
        <w:t xml:space="preserve">The complainant also requested an adjournment of the hearing until he </w:t>
      </w:r>
      <w:r w:rsidR="00544C14">
        <w:rPr>
          <w:snapToGrid w:val="0"/>
        </w:rPr>
        <w:t>obtain</w:t>
      </w:r>
      <w:r w:rsidR="009D1FD4">
        <w:rPr>
          <w:snapToGrid w:val="0"/>
        </w:rPr>
        <w:t>e</w:t>
      </w:r>
      <w:r w:rsidR="006B540A">
        <w:rPr>
          <w:snapToGrid w:val="0"/>
        </w:rPr>
        <w:t>d</w:t>
      </w:r>
      <w:r w:rsidR="00982B11">
        <w:rPr>
          <w:snapToGrid w:val="0"/>
        </w:rPr>
        <w:t xml:space="preserve"> legal representation. On 26 August 2013, the Federal Court dismissed the appeal</w:t>
      </w:r>
      <w:r w:rsidR="00F92ACC">
        <w:rPr>
          <w:snapToGrid w:val="0"/>
        </w:rPr>
        <w:t xml:space="preserve">, </w:t>
      </w:r>
      <w:r w:rsidR="006B540A">
        <w:rPr>
          <w:snapToGrid w:val="0"/>
        </w:rPr>
        <w:t xml:space="preserve">stating </w:t>
      </w:r>
      <w:r w:rsidR="00982B11">
        <w:rPr>
          <w:snapToGrid w:val="0"/>
        </w:rPr>
        <w:t xml:space="preserve">that </w:t>
      </w:r>
      <w:r w:rsidR="00514338">
        <w:rPr>
          <w:snapToGrid w:val="0"/>
        </w:rPr>
        <w:t xml:space="preserve">neither </w:t>
      </w:r>
      <w:r w:rsidR="00982B11">
        <w:rPr>
          <w:snapToGrid w:val="0"/>
        </w:rPr>
        <w:t>the review of the reasons for the decision</w:t>
      </w:r>
      <w:r w:rsidR="0063611C">
        <w:rPr>
          <w:snapToGrid w:val="0"/>
        </w:rPr>
        <w:t xml:space="preserve"> of the independent merits review</w:t>
      </w:r>
      <w:r w:rsidR="00982B11">
        <w:rPr>
          <w:snapToGrid w:val="0"/>
        </w:rPr>
        <w:t xml:space="preserve"> </w:t>
      </w:r>
      <w:r w:rsidR="00514338">
        <w:rPr>
          <w:snapToGrid w:val="0"/>
        </w:rPr>
        <w:t>nor</w:t>
      </w:r>
      <w:r w:rsidR="0063611C">
        <w:rPr>
          <w:snapToGrid w:val="0"/>
        </w:rPr>
        <w:t xml:space="preserve"> those </w:t>
      </w:r>
      <w:r w:rsidR="00982B11">
        <w:rPr>
          <w:snapToGrid w:val="0"/>
        </w:rPr>
        <w:t>for the Federal Circuit Court judgement disclose</w:t>
      </w:r>
      <w:r w:rsidR="00514338">
        <w:rPr>
          <w:snapToGrid w:val="0"/>
        </w:rPr>
        <w:t>d</w:t>
      </w:r>
      <w:r w:rsidR="00982B11">
        <w:rPr>
          <w:snapToGrid w:val="0"/>
        </w:rPr>
        <w:t xml:space="preserve"> any appealable error. The request for adjournment was rejected on the ground</w:t>
      </w:r>
      <w:r w:rsidR="00514338">
        <w:rPr>
          <w:snapToGrid w:val="0"/>
        </w:rPr>
        <w:t>s</w:t>
      </w:r>
      <w:r w:rsidR="00982B11">
        <w:rPr>
          <w:snapToGrid w:val="0"/>
        </w:rPr>
        <w:t xml:space="preserve"> that there was nothing in the complainant’s statement to support his appeal. </w:t>
      </w:r>
    </w:p>
    <w:p w:rsidR="00545C95" w:rsidRPr="00DF23DE" w:rsidRDefault="00982B11">
      <w:pPr>
        <w:pStyle w:val="SingleTxtG"/>
        <w:rPr>
          <w:snapToGrid w:val="0"/>
        </w:rPr>
      </w:pPr>
      <w:r>
        <w:rPr>
          <w:snapToGrid w:val="0"/>
        </w:rPr>
        <w:t>2.6</w:t>
      </w:r>
      <w:r>
        <w:rPr>
          <w:snapToGrid w:val="0"/>
        </w:rPr>
        <w:tab/>
        <w:t xml:space="preserve">On 20 September 2013, the </w:t>
      </w:r>
      <w:r w:rsidR="006A77AC">
        <w:rPr>
          <w:snapToGrid w:val="0"/>
        </w:rPr>
        <w:t>NGO</w:t>
      </w:r>
      <w:r>
        <w:rPr>
          <w:snapToGrid w:val="0"/>
        </w:rPr>
        <w:t xml:space="preserve"> </w:t>
      </w:r>
      <w:r w:rsidR="00514338">
        <w:rPr>
          <w:snapToGrid w:val="0"/>
        </w:rPr>
        <w:t>“</w:t>
      </w:r>
      <w:r>
        <w:rPr>
          <w:snapToGrid w:val="0"/>
        </w:rPr>
        <w:t>RISE</w:t>
      </w:r>
      <w:r w:rsidR="00514338">
        <w:rPr>
          <w:snapToGrid w:val="0"/>
        </w:rPr>
        <w:t>”, representing the complainant,</w:t>
      </w:r>
      <w:r>
        <w:rPr>
          <w:snapToGrid w:val="0"/>
        </w:rPr>
        <w:t xml:space="preserve"> submitted a request for </w:t>
      </w:r>
      <w:r w:rsidR="00514338">
        <w:rPr>
          <w:snapToGrid w:val="0"/>
        </w:rPr>
        <w:t>m</w:t>
      </w:r>
      <w:r>
        <w:rPr>
          <w:snapToGrid w:val="0"/>
        </w:rPr>
        <w:t xml:space="preserve">inisterial </w:t>
      </w:r>
      <w:r w:rsidR="00BD7417">
        <w:rPr>
          <w:snapToGrid w:val="0"/>
        </w:rPr>
        <w:t>i</w:t>
      </w:r>
      <w:r>
        <w:rPr>
          <w:snapToGrid w:val="0"/>
        </w:rPr>
        <w:t xml:space="preserve">ntervention to the Minister for Immigration and Citizenship, which was rejected on </w:t>
      </w:r>
      <w:r w:rsidR="000E47F0">
        <w:rPr>
          <w:snapToGrid w:val="0"/>
        </w:rPr>
        <w:t>28 April 2014.</w:t>
      </w:r>
    </w:p>
    <w:p w:rsidR="007821E7" w:rsidRPr="00DF23DE" w:rsidRDefault="007821E7" w:rsidP="007821E7">
      <w:pPr>
        <w:pStyle w:val="H23G"/>
        <w:rPr>
          <w:snapToGrid w:val="0"/>
        </w:rPr>
      </w:pPr>
      <w:r w:rsidRPr="00DF23DE">
        <w:rPr>
          <w:snapToGrid w:val="0"/>
        </w:rPr>
        <w:tab/>
      </w:r>
      <w:r w:rsidRPr="00DF23DE">
        <w:rPr>
          <w:snapToGrid w:val="0"/>
        </w:rPr>
        <w:tab/>
      </w:r>
      <w:r w:rsidR="007F1728" w:rsidRPr="00DF23DE">
        <w:rPr>
          <w:snapToGrid w:val="0"/>
        </w:rPr>
        <w:t>T</w:t>
      </w:r>
      <w:r w:rsidRPr="00DF23DE">
        <w:rPr>
          <w:snapToGrid w:val="0"/>
        </w:rPr>
        <w:t>he complaint</w:t>
      </w:r>
    </w:p>
    <w:p w:rsidR="00F44E1F" w:rsidRPr="00DF23DE" w:rsidRDefault="001F3BCA">
      <w:pPr>
        <w:pStyle w:val="SingleTxtG"/>
        <w:rPr>
          <w:snapToGrid w:val="0"/>
        </w:rPr>
      </w:pPr>
      <w:r w:rsidRPr="00DF23DE">
        <w:rPr>
          <w:snapToGrid w:val="0"/>
        </w:rPr>
        <w:t>3.</w:t>
      </w:r>
      <w:r w:rsidR="0083337F">
        <w:rPr>
          <w:snapToGrid w:val="0"/>
        </w:rPr>
        <w:tab/>
        <w:t>The complainant claims that</w:t>
      </w:r>
      <w:r w:rsidR="00514338">
        <w:rPr>
          <w:snapToGrid w:val="0"/>
        </w:rPr>
        <w:t>, because he is a suspected LTTE supporter,</w:t>
      </w:r>
      <w:r w:rsidR="0083337F">
        <w:rPr>
          <w:snapToGrid w:val="0"/>
        </w:rPr>
        <w:t xml:space="preserve"> if </w:t>
      </w:r>
      <w:r w:rsidR="00514338">
        <w:rPr>
          <w:snapToGrid w:val="0"/>
        </w:rPr>
        <w:t xml:space="preserve">he is </w:t>
      </w:r>
      <w:r w:rsidR="0083337F">
        <w:rPr>
          <w:snapToGrid w:val="0"/>
        </w:rPr>
        <w:t>returned to Sri Lanka, he will be arrested, interrogated, imprisoned and beaten or killed by the Sri Lanka Army, the C</w:t>
      </w:r>
      <w:r w:rsidR="00514338">
        <w:rPr>
          <w:snapToGrid w:val="0"/>
        </w:rPr>
        <w:t xml:space="preserve">riminal </w:t>
      </w:r>
      <w:r w:rsidR="0083337F">
        <w:rPr>
          <w:snapToGrid w:val="0"/>
        </w:rPr>
        <w:t>I</w:t>
      </w:r>
      <w:r w:rsidR="00514338">
        <w:rPr>
          <w:snapToGrid w:val="0"/>
        </w:rPr>
        <w:t xml:space="preserve">nvestigation </w:t>
      </w:r>
      <w:r w:rsidR="0083337F">
        <w:rPr>
          <w:snapToGrid w:val="0"/>
        </w:rPr>
        <w:t>D</w:t>
      </w:r>
      <w:r w:rsidR="00514338">
        <w:rPr>
          <w:snapToGrid w:val="0"/>
        </w:rPr>
        <w:t>epartment</w:t>
      </w:r>
      <w:r w:rsidR="0083337F">
        <w:rPr>
          <w:snapToGrid w:val="0"/>
        </w:rPr>
        <w:t xml:space="preserve">, </w:t>
      </w:r>
      <w:r w:rsidR="00514338">
        <w:rPr>
          <w:snapToGrid w:val="0"/>
        </w:rPr>
        <w:t xml:space="preserve">the </w:t>
      </w:r>
      <w:r w:rsidR="0083337F">
        <w:rPr>
          <w:snapToGrid w:val="0"/>
        </w:rPr>
        <w:t xml:space="preserve">police or political groups </w:t>
      </w:r>
      <w:r w:rsidR="009E1298">
        <w:rPr>
          <w:snapToGrid w:val="0"/>
        </w:rPr>
        <w:t xml:space="preserve">assisting </w:t>
      </w:r>
      <w:r w:rsidR="0083337F">
        <w:rPr>
          <w:snapToGrid w:val="0"/>
        </w:rPr>
        <w:t xml:space="preserve">the </w:t>
      </w:r>
      <w:r w:rsidR="00514338">
        <w:rPr>
          <w:snapToGrid w:val="0"/>
        </w:rPr>
        <w:t>G</w:t>
      </w:r>
      <w:r w:rsidR="0083337F">
        <w:rPr>
          <w:snapToGrid w:val="0"/>
        </w:rPr>
        <w:t xml:space="preserve">overnment in identifying LTTE supporters. </w:t>
      </w:r>
      <w:r w:rsidR="00DC56D3">
        <w:rPr>
          <w:snapToGrid w:val="0"/>
        </w:rPr>
        <w:t xml:space="preserve">He alleges that he will attract </w:t>
      </w:r>
      <w:r w:rsidR="00514338">
        <w:rPr>
          <w:snapToGrid w:val="0"/>
        </w:rPr>
        <w:t xml:space="preserve">the </w:t>
      </w:r>
      <w:r w:rsidR="00DC56D3">
        <w:rPr>
          <w:snapToGrid w:val="0"/>
        </w:rPr>
        <w:t xml:space="preserve">attention of the security forces on his arrival </w:t>
      </w:r>
      <w:r w:rsidR="00514338">
        <w:rPr>
          <w:snapToGrid w:val="0"/>
        </w:rPr>
        <w:t xml:space="preserve">and </w:t>
      </w:r>
      <w:r w:rsidR="00DC56D3">
        <w:rPr>
          <w:snapToGrid w:val="0"/>
        </w:rPr>
        <w:t xml:space="preserve">they will soon discover that he evaded internment </w:t>
      </w:r>
      <w:r w:rsidR="00514338">
        <w:rPr>
          <w:snapToGrid w:val="0"/>
        </w:rPr>
        <w:t>when he</w:t>
      </w:r>
      <w:r w:rsidR="00DC56D3">
        <w:rPr>
          <w:snapToGrid w:val="0"/>
        </w:rPr>
        <w:t xml:space="preserve"> </w:t>
      </w:r>
      <w:r w:rsidR="00BD7417">
        <w:rPr>
          <w:snapToGrid w:val="0"/>
        </w:rPr>
        <w:t xml:space="preserve">was </w:t>
      </w:r>
      <w:r w:rsidR="00DC56D3">
        <w:rPr>
          <w:snapToGrid w:val="0"/>
        </w:rPr>
        <w:t>hospitaliz</w:t>
      </w:r>
      <w:r w:rsidR="00514338">
        <w:rPr>
          <w:snapToGrid w:val="0"/>
        </w:rPr>
        <w:t>ed</w:t>
      </w:r>
      <w:r w:rsidR="00DC56D3">
        <w:rPr>
          <w:snapToGrid w:val="0"/>
        </w:rPr>
        <w:t xml:space="preserve"> with wounds from </w:t>
      </w:r>
      <w:r w:rsidR="00514338">
        <w:rPr>
          <w:snapToGrid w:val="0"/>
        </w:rPr>
        <w:t>shelling during the war</w:t>
      </w:r>
      <w:r w:rsidR="00DC56D3">
        <w:rPr>
          <w:snapToGrid w:val="0"/>
        </w:rPr>
        <w:t xml:space="preserve"> and he will be suspected of LTTE links.</w:t>
      </w:r>
      <w:r w:rsidR="00B35C0C">
        <w:rPr>
          <w:snapToGrid w:val="0"/>
        </w:rPr>
        <w:t xml:space="preserve"> He </w:t>
      </w:r>
      <w:r w:rsidR="00514338">
        <w:rPr>
          <w:snapToGrid w:val="0"/>
        </w:rPr>
        <w:t xml:space="preserve">also </w:t>
      </w:r>
      <w:r w:rsidR="00B35C0C">
        <w:rPr>
          <w:snapToGrid w:val="0"/>
        </w:rPr>
        <w:t xml:space="preserve">claims that failed asylum seekers are immediately </w:t>
      </w:r>
      <w:r w:rsidR="009E1298">
        <w:rPr>
          <w:snapToGrid w:val="0"/>
        </w:rPr>
        <w:t xml:space="preserve">identified </w:t>
      </w:r>
      <w:r w:rsidR="00B35C0C">
        <w:rPr>
          <w:snapToGrid w:val="0"/>
        </w:rPr>
        <w:t xml:space="preserve">and detained by the security forces </w:t>
      </w:r>
      <w:r w:rsidR="00BD7417">
        <w:rPr>
          <w:snapToGrid w:val="0"/>
        </w:rPr>
        <w:t>at</w:t>
      </w:r>
      <w:r w:rsidR="00B35C0C">
        <w:rPr>
          <w:snapToGrid w:val="0"/>
        </w:rPr>
        <w:t xml:space="preserve"> the </w:t>
      </w:r>
      <w:r w:rsidR="00514338">
        <w:rPr>
          <w:snapToGrid w:val="0"/>
        </w:rPr>
        <w:t>a</w:t>
      </w:r>
      <w:r w:rsidR="00B35C0C">
        <w:rPr>
          <w:snapToGrid w:val="0"/>
        </w:rPr>
        <w:t>irport.</w:t>
      </w:r>
      <w:r w:rsidR="009E1298">
        <w:rPr>
          <w:snapToGrid w:val="0"/>
        </w:rPr>
        <w:t xml:space="preserve"> </w:t>
      </w:r>
      <w:r w:rsidR="00212F38">
        <w:rPr>
          <w:snapToGrid w:val="0"/>
        </w:rPr>
        <w:t>On the basis of the above allegations</w:t>
      </w:r>
      <w:r w:rsidR="00514338">
        <w:rPr>
          <w:snapToGrid w:val="0"/>
        </w:rPr>
        <w:t>,</w:t>
      </w:r>
      <w:r w:rsidR="00212F38">
        <w:rPr>
          <w:snapToGrid w:val="0"/>
        </w:rPr>
        <w:t xml:space="preserve"> the complainant claims that the State party will violate article 3 of the Convention i</w:t>
      </w:r>
      <w:r w:rsidR="00514338">
        <w:rPr>
          <w:snapToGrid w:val="0"/>
        </w:rPr>
        <w:t>f he is</w:t>
      </w:r>
      <w:r w:rsidR="00212F38">
        <w:rPr>
          <w:snapToGrid w:val="0"/>
        </w:rPr>
        <w:t xml:space="preserve"> remov</w:t>
      </w:r>
      <w:r w:rsidR="00514338">
        <w:rPr>
          <w:snapToGrid w:val="0"/>
        </w:rPr>
        <w:t>ed</w:t>
      </w:r>
      <w:r w:rsidR="00212F38">
        <w:rPr>
          <w:snapToGrid w:val="0"/>
        </w:rPr>
        <w:t xml:space="preserve"> to Sri Lanka.</w:t>
      </w:r>
    </w:p>
    <w:p w:rsidR="007821E7" w:rsidRPr="00597408" w:rsidRDefault="007821E7" w:rsidP="00597408">
      <w:pPr>
        <w:pStyle w:val="H23G"/>
        <w:rPr>
          <w:snapToGrid w:val="0"/>
        </w:rPr>
      </w:pPr>
      <w:r w:rsidRPr="00DF23DE">
        <w:rPr>
          <w:snapToGrid w:val="0"/>
        </w:rPr>
        <w:tab/>
      </w:r>
      <w:r w:rsidRPr="00DF23DE">
        <w:rPr>
          <w:snapToGrid w:val="0"/>
        </w:rPr>
        <w:tab/>
        <w:t xml:space="preserve">State party’s observations on </w:t>
      </w:r>
      <w:r w:rsidR="006A2B5E" w:rsidRPr="00597408">
        <w:rPr>
          <w:snapToGrid w:val="0"/>
        </w:rPr>
        <w:t>admissibility</w:t>
      </w:r>
      <w:r w:rsidR="00597408" w:rsidRPr="00597408">
        <w:rPr>
          <w:snapToGrid w:val="0"/>
        </w:rPr>
        <w:t xml:space="preserve"> and the merits</w:t>
      </w:r>
    </w:p>
    <w:p w:rsidR="00265340" w:rsidRPr="00DF23DE" w:rsidRDefault="007821E7" w:rsidP="00514338">
      <w:pPr>
        <w:pStyle w:val="SingleTxtG"/>
        <w:rPr>
          <w:snapToGrid w:val="0"/>
        </w:rPr>
      </w:pPr>
      <w:r w:rsidRPr="00DF23DE">
        <w:rPr>
          <w:snapToGrid w:val="0"/>
        </w:rPr>
        <w:t>4.1</w:t>
      </w:r>
      <w:r w:rsidRPr="00DF23DE">
        <w:rPr>
          <w:snapToGrid w:val="0"/>
        </w:rPr>
        <w:tab/>
      </w:r>
      <w:r w:rsidR="00C7421B">
        <w:rPr>
          <w:snapToGrid w:val="0"/>
        </w:rPr>
        <w:t xml:space="preserve">On 12 December 2014, the State party requested </w:t>
      </w:r>
      <w:r w:rsidR="00514338">
        <w:rPr>
          <w:snapToGrid w:val="0"/>
        </w:rPr>
        <w:t xml:space="preserve">the Committee to </w:t>
      </w:r>
      <w:r w:rsidR="00C7421B">
        <w:rPr>
          <w:snapToGrid w:val="0"/>
        </w:rPr>
        <w:t>lift interim measures</w:t>
      </w:r>
      <w:r w:rsidR="00294215">
        <w:rPr>
          <w:snapToGrid w:val="0"/>
        </w:rPr>
        <w:t>. It also</w:t>
      </w:r>
      <w:r w:rsidR="00C7421B">
        <w:rPr>
          <w:snapToGrid w:val="0"/>
        </w:rPr>
        <w:t xml:space="preserve"> submitted that </w:t>
      </w:r>
      <w:r w:rsidR="00F859D5">
        <w:rPr>
          <w:snapToGrid w:val="0"/>
        </w:rPr>
        <w:t>the author ha</w:t>
      </w:r>
      <w:r w:rsidR="00514338">
        <w:rPr>
          <w:snapToGrid w:val="0"/>
        </w:rPr>
        <w:t>d</w:t>
      </w:r>
      <w:r w:rsidR="00F859D5">
        <w:rPr>
          <w:snapToGrid w:val="0"/>
        </w:rPr>
        <w:t xml:space="preserve"> failed to establish a prima facie case for the purpose of admissibility and thus </w:t>
      </w:r>
      <w:r w:rsidR="00294215">
        <w:rPr>
          <w:snapToGrid w:val="0"/>
        </w:rPr>
        <w:t>his complaint</w:t>
      </w:r>
      <w:r w:rsidR="00C7421B">
        <w:rPr>
          <w:snapToGrid w:val="0"/>
        </w:rPr>
        <w:t xml:space="preserve"> should be found inadmissible as</w:t>
      </w:r>
      <w:r w:rsidR="00F859D5">
        <w:rPr>
          <w:snapToGrid w:val="0"/>
        </w:rPr>
        <w:t xml:space="preserve"> manifestly</w:t>
      </w:r>
      <w:r w:rsidR="00C7421B">
        <w:rPr>
          <w:snapToGrid w:val="0"/>
        </w:rPr>
        <w:t xml:space="preserve"> </w:t>
      </w:r>
      <w:r w:rsidR="00F859D5">
        <w:rPr>
          <w:snapToGrid w:val="0"/>
        </w:rPr>
        <w:t>un</w:t>
      </w:r>
      <w:r w:rsidR="00C7421B">
        <w:rPr>
          <w:snapToGrid w:val="0"/>
        </w:rPr>
        <w:t xml:space="preserve">founded. </w:t>
      </w:r>
      <w:r w:rsidR="00514338">
        <w:rPr>
          <w:snapToGrid w:val="0"/>
        </w:rPr>
        <w:t>However, should</w:t>
      </w:r>
      <w:r w:rsidR="00C7421B">
        <w:rPr>
          <w:snapToGrid w:val="0"/>
        </w:rPr>
        <w:t xml:space="preserve"> the Committee f</w:t>
      </w:r>
      <w:r w:rsidR="00D90BC2">
        <w:rPr>
          <w:snapToGrid w:val="0"/>
        </w:rPr>
        <w:t>ind</w:t>
      </w:r>
      <w:r w:rsidR="00C7421B">
        <w:rPr>
          <w:snapToGrid w:val="0"/>
        </w:rPr>
        <w:t xml:space="preserve"> the case admissible, the State party </w:t>
      </w:r>
      <w:r w:rsidR="00F859D5">
        <w:rPr>
          <w:snapToGrid w:val="0"/>
        </w:rPr>
        <w:t>maintain</w:t>
      </w:r>
      <w:r w:rsidR="00D90BC2">
        <w:rPr>
          <w:snapToGrid w:val="0"/>
        </w:rPr>
        <w:t>s</w:t>
      </w:r>
      <w:r w:rsidR="00F859D5">
        <w:rPr>
          <w:snapToGrid w:val="0"/>
        </w:rPr>
        <w:t xml:space="preserve"> that</w:t>
      </w:r>
      <w:r w:rsidR="00C7421B">
        <w:rPr>
          <w:snapToGrid w:val="0"/>
        </w:rPr>
        <w:t xml:space="preserve"> the </w:t>
      </w:r>
      <w:r w:rsidR="00514338">
        <w:rPr>
          <w:snapToGrid w:val="0"/>
        </w:rPr>
        <w:t xml:space="preserve">complainant’s </w:t>
      </w:r>
      <w:r w:rsidR="00C7421B">
        <w:rPr>
          <w:snapToGrid w:val="0"/>
        </w:rPr>
        <w:t xml:space="preserve">allegations </w:t>
      </w:r>
      <w:r w:rsidR="00F859D5">
        <w:rPr>
          <w:snapToGrid w:val="0"/>
        </w:rPr>
        <w:t>lack</w:t>
      </w:r>
      <w:r w:rsidR="00C7421B">
        <w:rPr>
          <w:snapToGrid w:val="0"/>
        </w:rPr>
        <w:t xml:space="preserve"> </w:t>
      </w:r>
      <w:proofErr w:type="gramStart"/>
      <w:r w:rsidR="00C7421B">
        <w:rPr>
          <w:snapToGrid w:val="0"/>
        </w:rPr>
        <w:t>merit.</w:t>
      </w:r>
      <w:proofErr w:type="gramEnd"/>
      <w:r w:rsidR="00C7421B">
        <w:rPr>
          <w:snapToGrid w:val="0"/>
        </w:rPr>
        <w:t xml:space="preserve"> </w:t>
      </w:r>
    </w:p>
    <w:p w:rsidR="007821E7" w:rsidRDefault="00147B55" w:rsidP="004C4D86">
      <w:pPr>
        <w:pStyle w:val="SingleTxtG"/>
        <w:rPr>
          <w:snapToGrid w:val="0"/>
        </w:rPr>
      </w:pPr>
      <w:r>
        <w:rPr>
          <w:snapToGrid w:val="0"/>
        </w:rPr>
        <w:t>4.2</w:t>
      </w:r>
      <w:r>
        <w:rPr>
          <w:snapToGrid w:val="0"/>
        </w:rPr>
        <w:tab/>
      </w:r>
      <w:r w:rsidR="00F859D5">
        <w:rPr>
          <w:snapToGrid w:val="0"/>
        </w:rPr>
        <w:t>The State party submit</w:t>
      </w:r>
      <w:r w:rsidR="00514338">
        <w:rPr>
          <w:snapToGrid w:val="0"/>
        </w:rPr>
        <w:t>ted</w:t>
      </w:r>
      <w:r w:rsidR="00F859D5">
        <w:rPr>
          <w:snapToGrid w:val="0"/>
        </w:rPr>
        <w:t xml:space="preserve"> that the complainant’s claims </w:t>
      </w:r>
      <w:r w:rsidR="00514338">
        <w:rPr>
          <w:snapToGrid w:val="0"/>
        </w:rPr>
        <w:t>were</w:t>
      </w:r>
      <w:r w:rsidR="00F859D5">
        <w:rPr>
          <w:snapToGrid w:val="0"/>
        </w:rPr>
        <w:t xml:space="preserve"> thoroughly considered by a series of domestic decision</w:t>
      </w:r>
      <w:r w:rsidR="00514338">
        <w:rPr>
          <w:snapToGrid w:val="0"/>
        </w:rPr>
        <w:t xml:space="preserve"> </w:t>
      </w:r>
      <w:r w:rsidR="00F859D5">
        <w:rPr>
          <w:snapToGrid w:val="0"/>
        </w:rPr>
        <w:t xml:space="preserve">makers, including </w:t>
      </w:r>
      <w:r w:rsidR="004C4D86">
        <w:rPr>
          <w:snapToGrid w:val="0"/>
        </w:rPr>
        <w:t>the Department of Immigration and Citizen, which determines r</w:t>
      </w:r>
      <w:r w:rsidR="00F859D5">
        <w:rPr>
          <w:snapToGrid w:val="0"/>
        </w:rPr>
        <w:t xml:space="preserve">efugee </w:t>
      </w:r>
      <w:r w:rsidR="004C4D86">
        <w:rPr>
          <w:snapToGrid w:val="0"/>
        </w:rPr>
        <w:t>s</w:t>
      </w:r>
      <w:r w:rsidR="00F859D5">
        <w:rPr>
          <w:snapToGrid w:val="0"/>
        </w:rPr>
        <w:t>tatus</w:t>
      </w:r>
      <w:r w:rsidR="004C4D86">
        <w:rPr>
          <w:snapToGrid w:val="0"/>
        </w:rPr>
        <w:t xml:space="preserve">, </w:t>
      </w:r>
      <w:r w:rsidR="00F859D5">
        <w:rPr>
          <w:snapToGrid w:val="0"/>
        </w:rPr>
        <w:t>and</w:t>
      </w:r>
      <w:r w:rsidR="004C4D86">
        <w:rPr>
          <w:snapToGrid w:val="0"/>
        </w:rPr>
        <w:t xml:space="preserve"> the </w:t>
      </w:r>
      <w:r w:rsidR="004C4D86" w:rsidRPr="0063611C">
        <w:rPr>
          <w:snapToGrid w:val="0"/>
        </w:rPr>
        <w:t>Refugee Review Tribunal</w:t>
      </w:r>
      <w:r w:rsidR="004C4D86">
        <w:rPr>
          <w:snapToGrid w:val="0"/>
        </w:rPr>
        <w:t>, which carried out the</w:t>
      </w:r>
      <w:r w:rsidR="00F859D5">
        <w:rPr>
          <w:snapToGrid w:val="0"/>
        </w:rPr>
        <w:t xml:space="preserve"> </w:t>
      </w:r>
      <w:r w:rsidR="004C4D86">
        <w:rPr>
          <w:snapToGrid w:val="0"/>
        </w:rPr>
        <w:t>i</w:t>
      </w:r>
      <w:r w:rsidR="00F859D5">
        <w:rPr>
          <w:snapToGrid w:val="0"/>
        </w:rPr>
        <w:t xml:space="preserve">ndependent </w:t>
      </w:r>
      <w:r w:rsidR="004C4D86">
        <w:rPr>
          <w:snapToGrid w:val="0"/>
        </w:rPr>
        <w:t>m</w:t>
      </w:r>
      <w:r w:rsidR="00F859D5">
        <w:rPr>
          <w:snapToGrid w:val="0"/>
        </w:rPr>
        <w:t xml:space="preserve">erits </w:t>
      </w:r>
      <w:r w:rsidR="004C4D86">
        <w:rPr>
          <w:snapToGrid w:val="0"/>
        </w:rPr>
        <w:t>r</w:t>
      </w:r>
      <w:r w:rsidR="00F859D5">
        <w:rPr>
          <w:snapToGrid w:val="0"/>
        </w:rPr>
        <w:t xml:space="preserve">eview, and </w:t>
      </w:r>
      <w:r w:rsidR="004C4D86">
        <w:rPr>
          <w:snapToGrid w:val="0"/>
        </w:rPr>
        <w:t>were</w:t>
      </w:r>
      <w:r w:rsidR="00F859D5">
        <w:rPr>
          <w:snapToGrid w:val="0"/>
        </w:rPr>
        <w:t xml:space="preserve"> subject to judicial review by the Federal Circuit Court and the Federal Court</w:t>
      </w:r>
      <w:r w:rsidR="004C4D86">
        <w:rPr>
          <w:snapToGrid w:val="0"/>
        </w:rPr>
        <w:t xml:space="preserve"> of Australia</w:t>
      </w:r>
      <w:r w:rsidR="00F859D5">
        <w:rPr>
          <w:snapToGrid w:val="0"/>
        </w:rPr>
        <w:t xml:space="preserve">. </w:t>
      </w:r>
      <w:r w:rsidR="00294215">
        <w:rPr>
          <w:snapToGrid w:val="0"/>
        </w:rPr>
        <w:t>It summarize</w:t>
      </w:r>
      <w:r w:rsidR="004C4D86">
        <w:rPr>
          <w:snapToGrid w:val="0"/>
        </w:rPr>
        <w:t>d</w:t>
      </w:r>
      <w:r w:rsidR="00294215">
        <w:rPr>
          <w:snapToGrid w:val="0"/>
        </w:rPr>
        <w:t xml:space="preserve"> the findings of the domestic authorities in the case and </w:t>
      </w:r>
      <w:r w:rsidR="00F859D5">
        <w:rPr>
          <w:snapToGrid w:val="0"/>
        </w:rPr>
        <w:t>refer</w:t>
      </w:r>
      <w:r w:rsidR="004C4D86">
        <w:rPr>
          <w:snapToGrid w:val="0"/>
        </w:rPr>
        <w:t>red</w:t>
      </w:r>
      <w:r w:rsidR="00F859D5">
        <w:rPr>
          <w:snapToGrid w:val="0"/>
        </w:rPr>
        <w:t xml:space="preserve"> to the Committee’s </w:t>
      </w:r>
      <w:r w:rsidR="004C4D86">
        <w:rPr>
          <w:snapToGrid w:val="0"/>
        </w:rPr>
        <w:t>g</w:t>
      </w:r>
      <w:r w:rsidR="00D90BC2">
        <w:rPr>
          <w:snapToGrid w:val="0"/>
        </w:rPr>
        <w:t xml:space="preserve">eneral </w:t>
      </w:r>
      <w:r w:rsidR="004C4D86">
        <w:rPr>
          <w:snapToGrid w:val="0"/>
        </w:rPr>
        <w:t>c</w:t>
      </w:r>
      <w:r w:rsidR="00F859D5">
        <w:rPr>
          <w:snapToGrid w:val="0"/>
        </w:rPr>
        <w:t>omment No.</w:t>
      </w:r>
      <w:r w:rsidR="00466DC6">
        <w:rPr>
          <w:snapToGrid w:val="0"/>
        </w:rPr>
        <w:t> </w:t>
      </w:r>
      <w:r w:rsidR="00F859D5">
        <w:rPr>
          <w:snapToGrid w:val="0"/>
        </w:rPr>
        <w:t xml:space="preserve">1, in which </w:t>
      </w:r>
      <w:r w:rsidR="004C4D86">
        <w:rPr>
          <w:snapToGrid w:val="0"/>
        </w:rPr>
        <w:t xml:space="preserve">it is </w:t>
      </w:r>
      <w:r w:rsidR="00F859D5">
        <w:rPr>
          <w:snapToGrid w:val="0"/>
        </w:rPr>
        <w:t xml:space="preserve">stated that </w:t>
      </w:r>
      <w:r w:rsidR="004C4D86">
        <w:rPr>
          <w:snapToGrid w:val="0"/>
        </w:rPr>
        <w:t xml:space="preserve">the Committee </w:t>
      </w:r>
      <w:r w:rsidR="00F859D5">
        <w:rPr>
          <w:snapToGrid w:val="0"/>
        </w:rPr>
        <w:t>is not an appellate or judicial body</w:t>
      </w:r>
      <w:r w:rsidR="004C4D86">
        <w:rPr>
          <w:snapToGrid w:val="0"/>
        </w:rPr>
        <w:t xml:space="preserve"> and that </w:t>
      </w:r>
      <w:r w:rsidR="00F859D5">
        <w:rPr>
          <w:snapToGrid w:val="0"/>
        </w:rPr>
        <w:t>it gives considerable weight to findings of fact that are made by organs of a State party</w:t>
      </w:r>
      <w:r w:rsidR="00294215">
        <w:rPr>
          <w:snapToGrid w:val="0"/>
        </w:rPr>
        <w:t>.</w:t>
      </w:r>
      <w:r w:rsidR="00F859D5">
        <w:rPr>
          <w:rStyle w:val="FootnoteReference"/>
          <w:snapToGrid w:val="0"/>
        </w:rPr>
        <w:footnoteReference w:id="6"/>
      </w:r>
      <w:r w:rsidR="00852CEC">
        <w:rPr>
          <w:snapToGrid w:val="0"/>
        </w:rPr>
        <w:t xml:space="preserve"> </w:t>
      </w:r>
    </w:p>
    <w:p w:rsidR="00AA7578" w:rsidRPr="00DF23DE" w:rsidRDefault="003E7D7D" w:rsidP="004C4D86">
      <w:pPr>
        <w:pStyle w:val="SingleTxtG"/>
        <w:rPr>
          <w:snapToGrid w:val="0"/>
        </w:rPr>
      </w:pPr>
      <w:r>
        <w:rPr>
          <w:snapToGrid w:val="0"/>
        </w:rPr>
        <w:t>4.3</w:t>
      </w:r>
      <w:r>
        <w:rPr>
          <w:snapToGrid w:val="0"/>
        </w:rPr>
        <w:tab/>
        <w:t>On 22 M</w:t>
      </w:r>
      <w:r w:rsidR="00AA7578">
        <w:rPr>
          <w:snapToGrid w:val="0"/>
        </w:rPr>
        <w:t>ay 2015, the State party reiterated its observ</w:t>
      </w:r>
      <w:r>
        <w:rPr>
          <w:snapToGrid w:val="0"/>
        </w:rPr>
        <w:t>ations of 12 December 2014</w:t>
      </w:r>
      <w:r w:rsidR="004C4D86">
        <w:rPr>
          <w:snapToGrid w:val="0"/>
        </w:rPr>
        <w:t xml:space="preserve"> and submitted</w:t>
      </w:r>
      <w:r>
        <w:rPr>
          <w:snapToGrid w:val="0"/>
        </w:rPr>
        <w:t xml:space="preserve"> </w:t>
      </w:r>
      <w:r w:rsidR="00D90BC2">
        <w:rPr>
          <w:snapToGrid w:val="0"/>
        </w:rPr>
        <w:t xml:space="preserve">a new </w:t>
      </w:r>
      <w:r w:rsidR="00AA7578">
        <w:rPr>
          <w:snapToGrid w:val="0"/>
        </w:rPr>
        <w:t xml:space="preserve">request </w:t>
      </w:r>
      <w:r w:rsidR="004C4D86">
        <w:rPr>
          <w:snapToGrid w:val="0"/>
        </w:rPr>
        <w:t>to</w:t>
      </w:r>
      <w:r w:rsidR="00AA7578">
        <w:rPr>
          <w:snapToGrid w:val="0"/>
        </w:rPr>
        <w:t xml:space="preserve"> lift</w:t>
      </w:r>
      <w:r w:rsidR="00D90BC2">
        <w:rPr>
          <w:snapToGrid w:val="0"/>
        </w:rPr>
        <w:t xml:space="preserve"> </w:t>
      </w:r>
      <w:r w:rsidR="00AA7578">
        <w:rPr>
          <w:snapToGrid w:val="0"/>
        </w:rPr>
        <w:t xml:space="preserve">interim measures. </w:t>
      </w:r>
    </w:p>
    <w:p w:rsidR="00775D23" w:rsidRPr="00DF23DE" w:rsidRDefault="007821E7" w:rsidP="004C4D86">
      <w:pPr>
        <w:pStyle w:val="H23G"/>
        <w:rPr>
          <w:snapToGrid w:val="0"/>
        </w:rPr>
      </w:pPr>
      <w:r w:rsidRPr="00DF23DE">
        <w:rPr>
          <w:snapToGrid w:val="0"/>
        </w:rPr>
        <w:tab/>
      </w:r>
      <w:r w:rsidRPr="00DF23DE">
        <w:rPr>
          <w:snapToGrid w:val="0"/>
        </w:rPr>
        <w:tab/>
      </w:r>
      <w:r w:rsidR="00775D23" w:rsidRPr="00DF23DE">
        <w:rPr>
          <w:snapToGrid w:val="0"/>
        </w:rPr>
        <w:t xml:space="preserve">Additional information </w:t>
      </w:r>
      <w:r w:rsidR="004C4D86">
        <w:rPr>
          <w:snapToGrid w:val="0"/>
        </w:rPr>
        <w:t>from</w:t>
      </w:r>
      <w:r w:rsidR="00775D23" w:rsidRPr="00DF23DE">
        <w:rPr>
          <w:snapToGrid w:val="0"/>
        </w:rPr>
        <w:t xml:space="preserve"> the complainant</w:t>
      </w:r>
    </w:p>
    <w:p w:rsidR="00EC1739" w:rsidRDefault="00775D23" w:rsidP="0063611C">
      <w:pPr>
        <w:pStyle w:val="SingleTxtG"/>
        <w:rPr>
          <w:snapToGrid w:val="0"/>
        </w:rPr>
      </w:pPr>
      <w:r w:rsidRPr="00DF23DE">
        <w:rPr>
          <w:snapToGrid w:val="0"/>
        </w:rPr>
        <w:t>5.</w:t>
      </w:r>
      <w:r w:rsidR="00AA7578">
        <w:rPr>
          <w:snapToGrid w:val="0"/>
        </w:rPr>
        <w:t>1</w:t>
      </w:r>
      <w:r w:rsidR="00AA7578">
        <w:rPr>
          <w:snapToGrid w:val="0"/>
        </w:rPr>
        <w:tab/>
      </w:r>
      <w:r w:rsidR="006425FF">
        <w:rPr>
          <w:snapToGrid w:val="0"/>
        </w:rPr>
        <w:t>On 14 July 2015, the complain</w:t>
      </w:r>
      <w:r w:rsidR="003E7D7D">
        <w:rPr>
          <w:snapToGrid w:val="0"/>
        </w:rPr>
        <w:t>an</w:t>
      </w:r>
      <w:r w:rsidR="006425FF">
        <w:rPr>
          <w:snapToGrid w:val="0"/>
        </w:rPr>
        <w:t xml:space="preserve">t submitted </w:t>
      </w:r>
      <w:r w:rsidR="003E7D7D">
        <w:rPr>
          <w:snapToGrid w:val="0"/>
        </w:rPr>
        <w:t>his</w:t>
      </w:r>
      <w:r w:rsidR="006425FF">
        <w:rPr>
          <w:snapToGrid w:val="0"/>
        </w:rPr>
        <w:t xml:space="preserve"> comments </w:t>
      </w:r>
      <w:r w:rsidR="004C4D86">
        <w:rPr>
          <w:snapToGrid w:val="0"/>
        </w:rPr>
        <w:t>on</w:t>
      </w:r>
      <w:r w:rsidR="006425FF">
        <w:rPr>
          <w:snapToGrid w:val="0"/>
        </w:rPr>
        <w:t xml:space="preserve"> the State party’s observations on admissibility and </w:t>
      </w:r>
      <w:r w:rsidR="004C4D86">
        <w:rPr>
          <w:snapToGrid w:val="0"/>
        </w:rPr>
        <w:t xml:space="preserve">the </w:t>
      </w:r>
      <w:r w:rsidR="006425FF">
        <w:rPr>
          <w:snapToGrid w:val="0"/>
        </w:rPr>
        <w:t>merits</w:t>
      </w:r>
      <w:r w:rsidR="004C4D86">
        <w:rPr>
          <w:snapToGrid w:val="0"/>
        </w:rPr>
        <w:t xml:space="preserve"> and</w:t>
      </w:r>
      <w:r w:rsidR="006425FF">
        <w:rPr>
          <w:snapToGrid w:val="0"/>
        </w:rPr>
        <w:t xml:space="preserve"> the req</w:t>
      </w:r>
      <w:r w:rsidR="00EA6662">
        <w:rPr>
          <w:snapToGrid w:val="0"/>
        </w:rPr>
        <w:t>uests to lift</w:t>
      </w:r>
      <w:r w:rsidR="00D90BC2">
        <w:rPr>
          <w:snapToGrid w:val="0"/>
        </w:rPr>
        <w:t xml:space="preserve"> </w:t>
      </w:r>
      <w:r w:rsidR="00EA6662">
        <w:rPr>
          <w:snapToGrid w:val="0"/>
        </w:rPr>
        <w:t xml:space="preserve">interim measures. </w:t>
      </w:r>
      <w:r w:rsidR="00993E03">
        <w:rPr>
          <w:snapToGrid w:val="0"/>
        </w:rPr>
        <w:t>The complainant insist</w:t>
      </w:r>
      <w:r w:rsidR="004C4D86">
        <w:rPr>
          <w:snapToGrid w:val="0"/>
        </w:rPr>
        <w:t>ed</w:t>
      </w:r>
      <w:r w:rsidR="00D90BC2">
        <w:rPr>
          <w:snapToGrid w:val="0"/>
        </w:rPr>
        <w:t xml:space="preserve"> </w:t>
      </w:r>
      <w:r w:rsidR="004C4D86">
        <w:rPr>
          <w:snapToGrid w:val="0"/>
        </w:rPr>
        <w:t>that</w:t>
      </w:r>
      <w:r w:rsidR="00993E03">
        <w:rPr>
          <w:snapToGrid w:val="0"/>
        </w:rPr>
        <w:t xml:space="preserve"> the interim measures </w:t>
      </w:r>
      <w:r w:rsidR="004C4D86">
        <w:rPr>
          <w:snapToGrid w:val="0"/>
        </w:rPr>
        <w:t>be maintained</w:t>
      </w:r>
      <w:r w:rsidR="00993E03">
        <w:rPr>
          <w:snapToGrid w:val="0"/>
        </w:rPr>
        <w:t xml:space="preserve"> and </w:t>
      </w:r>
      <w:r w:rsidR="00D90BC2">
        <w:rPr>
          <w:snapToGrid w:val="0"/>
        </w:rPr>
        <w:t>claim</w:t>
      </w:r>
      <w:r w:rsidR="004C4D86">
        <w:rPr>
          <w:snapToGrid w:val="0"/>
        </w:rPr>
        <w:t>ed</w:t>
      </w:r>
      <w:r w:rsidR="00D90BC2">
        <w:rPr>
          <w:snapToGrid w:val="0"/>
        </w:rPr>
        <w:t xml:space="preserve"> that his complaint </w:t>
      </w:r>
      <w:r w:rsidR="004C4D86">
        <w:rPr>
          <w:snapToGrid w:val="0"/>
        </w:rPr>
        <w:t>wa</w:t>
      </w:r>
      <w:r w:rsidR="00D90BC2">
        <w:rPr>
          <w:snapToGrid w:val="0"/>
        </w:rPr>
        <w:t>s admissible</w:t>
      </w:r>
      <w:r w:rsidR="00993E03">
        <w:rPr>
          <w:snapToGrid w:val="0"/>
        </w:rPr>
        <w:t xml:space="preserve">. He stated that the </w:t>
      </w:r>
      <w:r w:rsidR="004C4D86">
        <w:rPr>
          <w:snapToGrid w:val="0"/>
        </w:rPr>
        <w:t>i</w:t>
      </w:r>
      <w:r w:rsidR="00993E03">
        <w:rPr>
          <w:snapToGrid w:val="0"/>
        </w:rPr>
        <w:t xml:space="preserve">ndependent </w:t>
      </w:r>
      <w:r w:rsidR="004C4D86">
        <w:rPr>
          <w:snapToGrid w:val="0"/>
        </w:rPr>
        <w:t>m</w:t>
      </w:r>
      <w:r w:rsidR="00993E03">
        <w:rPr>
          <w:snapToGrid w:val="0"/>
        </w:rPr>
        <w:t xml:space="preserve">erits </w:t>
      </w:r>
      <w:r w:rsidR="004C4D86">
        <w:rPr>
          <w:snapToGrid w:val="0"/>
        </w:rPr>
        <w:t>r</w:t>
      </w:r>
      <w:r w:rsidR="00993E03">
        <w:rPr>
          <w:snapToGrid w:val="0"/>
        </w:rPr>
        <w:t xml:space="preserve">eview was unfair in that the </w:t>
      </w:r>
      <w:r w:rsidR="0063611C">
        <w:rPr>
          <w:snapToGrid w:val="0"/>
        </w:rPr>
        <w:t>r</w:t>
      </w:r>
      <w:r w:rsidR="00993E03" w:rsidRPr="0063611C">
        <w:rPr>
          <w:snapToGrid w:val="0"/>
        </w:rPr>
        <w:t>eviewer</w:t>
      </w:r>
      <w:r w:rsidR="00993E03">
        <w:rPr>
          <w:snapToGrid w:val="0"/>
        </w:rPr>
        <w:t xml:space="preserve"> found him not credible </w:t>
      </w:r>
      <w:r w:rsidR="00EC1739">
        <w:rPr>
          <w:snapToGrid w:val="0"/>
        </w:rPr>
        <w:t xml:space="preserve">on the basis of simple discrepancies </w:t>
      </w:r>
      <w:r w:rsidR="00993E03">
        <w:rPr>
          <w:snapToGrid w:val="0"/>
        </w:rPr>
        <w:t xml:space="preserve">and the psychological </w:t>
      </w:r>
      <w:r w:rsidR="00EC1739">
        <w:rPr>
          <w:snapToGrid w:val="0"/>
        </w:rPr>
        <w:t>report indicat</w:t>
      </w:r>
      <w:r w:rsidR="00D90BC2">
        <w:rPr>
          <w:snapToGrid w:val="0"/>
        </w:rPr>
        <w:t>ing</w:t>
      </w:r>
      <w:r w:rsidR="00EC1739">
        <w:rPr>
          <w:snapToGrid w:val="0"/>
        </w:rPr>
        <w:t xml:space="preserve"> that he suffered from the </w:t>
      </w:r>
      <w:r w:rsidR="00436F54">
        <w:rPr>
          <w:snapToGrid w:val="0"/>
        </w:rPr>
        <w:t>p</w:t>
      </w:r>
      <w:r w:rsidR="00EC1739">
        <w:rPr>
          <w:snapToGrid w:val="0"/>
        </w:rPr>
        <w:t>ost</w:t>
      </w:r>
      <w:r w:rsidR="00436F54">
        <w:rPr>
          <w:snapToGrid w:val="0"/>
        </w:rPr>
        <w:t>-t</w:t>
      </w:r>
      <w:r w:rsidR="00EC1739">
        <w:rPr>
          <w:snapToGrid w:val="0"/>
        </w:rPr>
        <w:t xml:space="preserve">raumatic </w:t>
      </w:r>
      <w:r w:rsidR="00436F54">
        <w:rPr>
          <w:snapToGrid w:val="0"/>
        </w:rPr>
        <w:t>s</w:t>
      </w:r>
      <w:r w:rsidR="00EC1739">
        <w:rPr>
          <w:snapToGrid w:val="0"/>
        </w:rPr>
        <w:t xml:space="preserve">tress </w:t>
      </w:r>
      <w:r w:rsidR="00436F54">
        <w:rPr>
          <w:snapToGrid w:val="0"/>
        </w:rPr>
        <w:t>d</w:t>
      </w:r>
      <w:r w:rsidR="00EC1739">
        <w:rPr>
          <w:snapToGrid w:val="0"/>
        </w:rPr>
        <w:t>isorder</w:t>
      </w:r>
      <w:r w:rsidR="00D571EB">
        <w:rPr>
          <w:snapToGrid w:val="0"/>
        </w:rPr>
        <w:t xml:space="preserve"> </w:t>
      </w:r>
      <w:r w:rsidR="00993E03">
        <w:rPr>
          <w:snapToGrid w:val="0"/>
        </w:rPr>
        <w:t>was not taken into account.</w:t>
      </w:r>
      <w:r w:rsidR="00EC1739">
        <w:rPr>
          <w:snapToGrid w:val="0"/>
        </w:rPr>
        <w:t xml:space="preserve"> </w:t>
      </w:r>
    </w:p>
    <w:p w:rsidR="00775D23" w:rsidRDefault="00EC1739" w:rsidP="002356F2">
      <w:pPr>
        <w:pStyle w:val="SingleTxtG"/>
        <w:rPr>
          <w:snapToGrid w:val="0"/>
        </w:rPr>
      </w:pPr>
      <w:r>
        <w:rPr>
          <w:snapToGrid w:val="0"/>
        </w:rPr>
        <w:t>5.2</w:t>
      </w:r>
      <w:r>
        <w:rPr>
          <w:snapToGrid w:val="0"/>
        </w:rPr>
        <w:tab/>
        <w:t xml:space="preserve">The complainant </w:t>
      </w:r>
      <w:r w:rsidR="002356F2">
        <w:rPr>
          <w:snapToGrid w:val="0"/>
        </w:rPr>
        <w:t>also</w:t>
      </w:r>
      <w:r>
        <w:rPr>
          <w:snapToGrid w:val="0"/>
        </w:rPr>
        <w:t xml:space="preserve"> state</w:t>
      </w:r>
      <w:r w:rsidR="003E7D7D">
        <w:rPr>
          <w:snapToGrid w:val="0"/>
        </w:rPr>
        <w:t>d</w:t>
      </w:r>
      <w:r>
        <w:rPr>
          <w:snapToGrid w:val="0"/>
        </w:rPr>
        <w:t xml:space="preserve"> that the fact that he was not a military</w:t>
      </w:r>
      <w:r w:rsidR="002356F2">
        <w:rPr>
          <w:snapToGrid w:val="0"/>
        </w:rPr>
        <w:t xml:space="preserve"> </w:t>
      </w:r>
      <w:r>
        <w:rPr>
          <w:snapToGrid w:val="0"/>
        </w:rPr>
        <w:t xml:space="preserve">trained </w:t>
      </w:r>
      <w:r w:rsidR="00D90BC2">
        <w:rPr>
          <w:snapToGrid w:val="0"/>
        </w:rPr>
        <w:t xml:space="preserve">official </w:t>
      </w:r>
      <w:r>
        <w:rPr>
          <w:snapToGrid w:val="0"/>
        </w:rPr>
        <w:t>of LTTE d</w:t>
      </w:r>
      <w:r w:rsidR="003E7D7D">
        <w:rPr>
          <w:snapToGrid w:val="0"/>
        </w:rPr>
        <w:t>id</w:t>
      </w:r>
      <w:r>
        <w:rPr>
          <w:snapToGrid w:val="0"/>
        </w:rPr>
        <w:t xml:space="preserve"> not automatically exclude him from </w:t>
      </w:r>
      <w:r w:rsidR="002356F2">
        <w:rPr>
          <w:snapToGrid w:val="0"/>
        </w:rPr>
        <w:t xml:space="preserve">being </w:t>
      </w:r>
      <w:r>
        <w:rPr>
          <w:snapToGrid w:val="0"/>
        </w:rPr>
        <w:t>vulnerable and that he f</w:t>
      </w:r>
      <w:r w:rsidR="002356F2">
        <w:rPr>
          <w:snapToGrid w:val="0"/>
        </w:rPr>
        <w:t>e</w:t>
      </w:r>
      <w:r>
        <w:rPr>
          <w:snapToGrid w:val="0"/>
        </w:rPr>
        <w:t xml:space="preserve">ll under at least </w:t>
      </w:r>
      <w:r w:rsidR="002356F2">
        <w:rPr>
          <w:snapToGrid w:val="0"/>
        </w:rPr>
        <w:t>two</w:t>
      </w:r>
      <w:r>
        <w:rPr>
          <w:snapToGrid w:val="0"/>
        </w:rPr>
        <w:t xml:space="preserve"> categories defined in the UNHCR </w:t>
      </w:r>
      <w:r w:rsidR="002356F2">
        <w:rPr>
          <w:snapToGrid w:val="0"/>
        </w:rPr>
        <w:t xml:space="preserve">2010 Eligibility </w:t>
      </w:r>
      <w:r>
        <w:rPr>
          <w:snapToGrid w:val="0"/>
        </w:rPr>
        <w:t>Guidelines as vulnerable: a member of a</w:t>
      </w:r>
      <w:r w:rsidR="003E7D7D">
        <w:rPr>
          <w:snapToGrid w:val="0"/>
        </w:rPr>
        <w:t>n</w:t>
      </w:r>
      <w:r>
        <w:rPr>
          <w:snapToGrid w:val="0"/>
        </w:rPr>
        <w:t xml:space="preserve"> LTTE veteran’s family (</w:t>
      </w:r>
      <w:proofErr w:type="spellStart"/>
      <w:r w:rsidRPr="00E008F8">
        <w:rPr>
          <w:i/>
          <w:iCs/>
          <w:snapToGrid w:val="0"/>
        </w:rPr>
        <w:t>Maha</w:t>
      </w:r>
      <w:proofErr w:type="spellEnd"/>
      <w:r w:rsidRPr="00E008F8">
        <w:rPr>
          <w:i/>
          <w:iCs/>
          <w:snapToGrid w:val="0"/>
        </w:rPr>
        <w:t xml:space="preserve"> </w:t>
      </w:r>
      <w:proofErr w:type="spellStart"/>
      <w:r w:rsidRPr="00E008F8">
        <w:rPr>
          <w:i/>
          <w:iCs/>
          <w:snapToGrid w:val="0"/>
        </w:rPr>
        <w:t>Veeran</w:t>
      </w:r>
      <w:proofErr w:type="spellEnd"/>
      <w:r>
        <w:rPr>
          <w:snapToGrid w:val="0"/>
        </w:rPr>
        <w:t>)</w:t>
      </w:r>
      <w:r w:rsidR="002356F2">
        <w:rPr>
          <w:snapToGrid w:val="0"/>
        </w:rPr>
        <w:t>;</w:t>
      </w:r>
      <w:r>
        <w:rPr>
          <w:snapToGrid w:val="0"/>
        </w:rPr>
        <w:t xml:space="preserve"> and a supplier of LTTE as a tailor who made </w:t>
      </w:r>
      <w:r w:rsidR="002356F2">
        <w:rPr>
          <w:snapToGrid w:val="0"/>
        </w:rPr>
        <w:t xml:space="preserve">their </w:t>
      </w:r>
      <w:r>
        <w:rPr>
          <w:snapToGrid w:val="0"/>
        </w:rPr>
        <w:t>uniforms.</w:t>
      </w:r>
    </w:p>
    <w:p w:rsidR="00AB4617" w:rsidRDefault="008767E5" w:rsidP="002356F2">
      <w:pPr>
        <w:pStyle w:val="SingleTxtG"/>
        <w:rPr>
          <w:snapToGrid w:val="0"/>
        </w:rPr>
      </w:pPr>
      <w:r>
        <w:rPr>
          <w:snapToGrid w:val="0"/>
        </w:rPr>
        <w:t>5.3</w:t>
      </w:r>
      <w:r>
        <w:rPr>
          <w:snapToGrid w:val="0"/>
        </w:rPr>
        <w:tab/>
        <w:t>The complainant also alleged</w:t>
      </w:r>
      <w:r w:rsidR="00AB4617">
        <w:rPr>
          <w:snapToGrid w:val="0"/>
        </w:rPr>
        <w:t xml:space="preserve"> that the procedure before the Federal Circuit Court and the Federal Court</w:t>
      </w:r>
      <w:r w:rsidR="002356F2">
        <w:rPr>
          <w:snapToGrid w:val="0"/>
        </w:rPr>
        <w:t xml:space="preserve"> of Australia</w:t>
      </w:r>
      <w:r w:rsidR="00AB4617">
        <w:rPr>
          <w:snapToGrid w:val="0"/>
        </w:rPr>
        <w:t xml:space="preserve"> was flawed because he </w:t>
      </w:r>
      <w:r w:rsidR="002356F2">
        <w:rPr>
          <w:snapToGrid w:val="0"/>
        </w:rPr>
        <w:t>was</w:t>
      </w:r>
      <w:r w:rsidR="00AB4617">
        <w:rPr>
          <w:snapToGrid w:val="0"/>
        </w:rPr>
        <w:t xml:space="preserve"> not represented by </w:t>
      </w:r>
      <w:r w:rsidR="002356F2">
        <w:rPr>
          <w:snapToGrid w:val="0"/>
        </w:rPr>
        <w:t xml:space="preserve">a </w:t>
      </w:r>
      <w:r w:rsidR="00AB4617">
        <w:rPr>
          <w:snapToGrid w:val="0"/>
        </w:rPr>
        <w:t xml:space="preserve">legal counsel and because the courts failed to take into account his mental state and to verify whether he was mentally fit to represent himself. </w:t>
      </w:r>
    </w:p>
    <w:p w:rsidR="00AB4617" w:rsidRPr="00DF23DE" w:rsidRDefault="00AB4617" w:rsidP="002356F2">
      <w:pPr>
        <w:pStyle w:val="SingleTxtG"/>
        <w:rPr>
          <w:snapToGrid w:val="0"/>
        </w:rPr>
      </w:pPr>
      <w:r>
        <w:rPr>
          <w:snapToGrid w:val="0"/>
        </w:rPr>
        <w:t>5.4</w:t>
      </w:r>
      <w:r>
        <w:rPr>
          <w:snapToGrid w:val="0"/>
        </w:rPr>
        <w:tab/>
        <w:t xml:space="preserve">In addition to the information </w:t>
      </w:r>
      <w:r w:rsidR="002356F2">
        <w:rPr>
          <w:snapToGrid w:val="0"/>
        </w:rPr>
        <w:t xml:space="preserve">contained </w:t>
      </w:r>
      <w:r>
        <w:rPr>
          <w:snapToGrid w:val="0"/>
        </w:rPr>
        <w:t>in his initial submission</w:t>
      </w:r>
      <w:r w:rsidR="002356F2">
        <w:rPr>
          <w:snapToGrid w:val="0"/>
        </w:rPr>
        <w:t xml:space="preserve"> to the Committee</w:t>
      </w:r>
      <w:r>
        <w:rPr>
          <w:snapToGrid w:val="0"/>
        </w:rPr>
        <w:t xml:space="preserve">, the complainant </w:t>
      </w:r>
      <w:r w:rsidR="002356F2">
        <w:rPr>
          <w:snapToGrid w:val="0"/>
        </w:rPr>
        <w:t>submitted</w:t>
      </w:r>
      <w:r>
        <w:rPr>
          <w:snapToGrid w:val="0"/>
        </w:rPr>
        <w:t xml:space="preserve"> several new documents</w:t>
      </w:r>
      <w:r w:rsidR="002356F2">
        <w:rPr>
          <w:snapToGrid w:val="0"/>
        </w:rPr>
        <w:t xml:space="preserve">, </w:t>
      </w:r>
      <w:r>
        <w:rPr>
          <w:snapToGrid w:val="0"/>
        </w:rPr>
        <w:t>includ</w:t>
      </w:r>
      <w:r w:rsidR="002356F2">
        <w:rPr>
          <w:snapToGrid w:val="0"/>
        </w:rPr>
        <w:t>ing</w:t>
      </w:r>
      <w:r>
        <w:rPr>
          <w:snapToGrid w:val="0"/>
        </w:rPr>
        <w:t xml:space="preserve"> </w:t>
      </w:r>
      <w:r w:rsidR="006A77AC">
        <w:rPr>
          <w:snapToGrid w:val="0"/>
        </w:rPr>
        <w:t>two</w:t>
      </w:r>
      <w:r>
        <w:rPr>
          <w:snapToGrid w:val="0"/>
        </w:rPr>
        <w:t xml:space="preserve"> invitation</w:t>
      </w:r>
      <w:r w:rsidR="006A77AC">
        <w:rPr>
          <w:snapToGrid w:val="0"/>
        </w:rPr>
        <w:t>s</w:t>
      </w:r>
      <w:r>
        <w:rPr>
          <w:snapToGrid w:val="0"/>
        </w:rPr>
        <w:t xml:space="preserve"> </w:t>
      </w:r>
      <w:r w:rsidR="006A77AC">
        <w:rPr>
          <w:snapToGrid w:val="0"/>
        </w:rPr>
        <w:t xml:space="preserve">dated 2002 and 2005 </w:t>
      </w:r>
      <w:r>
        <w:rPr>
          <w:snapToGrid w:val="0"/>
        </w:rPr>
        <w:t xml:space="preserve">to the complainant’s family to attend ceremonies organized by LTTE to commemorate </w:t>
      </w:r>
      <w:r w:rsidR="0050701A">
        <w:rPr>
          <w:snapToGrid w:val="0"/>
        </w:rPr>
        <w:t>war</w:t>
      </w:r>
      <w:r>
        <w:rPr>
          <w:snapToGrid w:val="0"/>
        </w:rPr>
        <w:t xml:space="preserve"> heroes, with the name of his </w:t>
      </w:r>
      <w:r w:rsidR="0050701A">
        <w:rPr>
          <w:snapToGrid w:val="0"/>
        </w:rPr>
        <w:t>second</w:t>
      </w:r>
      <w:r>
        <w:rPr>
          <w:snapToGrid w:val="0"/>
        </w:rPr>
        <w:t xml:space="preserve"> brother </w:t>
      </w:r>
      <w:r w:rsidR="00D90BC2">
        <w:rPr>
          <w:snapToGrid w:val="0"/>
        </w:rPr>
        <w:t>o</w:t>
      </w:r>
      <w:r>
        <w:rPr>
          <w:snapToGrid w:val="0"/>
        </w:rPr>
        <w:t>n it; a photo</w:t>
      </w:r>
      <w:r w:rsidR="002356F2">
        <w:rPr>
          <w:snapToGrid w:val="0"/>
        </w:rPr>
        <w:t>graph</w:t>
      </w:r>
      <w:r>
        <w:rPr>
          <w:snapToGrid w:val="0"/>
        </w:rPr>
        <w:t xml:space="preserve"> of</w:t>
      </w:r>
      <w:r w:rsidR="005C6710">
        <w:rPr>
          <w:snapToGrid w:val="0"/>
        </w:rPr>
        <w:t xml:space="preserve"> the</w:t>
      </w:r>
      <w:r>
        <w:rPr>
          <w:snapToGrid w:val="0"/>
        </w:rPr>
        <w:t xml:space="preserve"> complainant’s </w:t>
      </w:r>
      <w:r w:rsidR="0050701A">
        <w:rPr>
          <w:snapToGrid w:val="0"/>
        </w:rPr>
        <w:t xml:space="preserve">eldest </w:t>
      </w:r>
      <w:r>
        <w:rPr>
          <w:snapToGrid w:val="0"/>
        </w:rPr>
        <w:t>brother</w:t>
      </w:r>
      <w:r w:rsidR="002356F2">
        <w:rPr>
          <w:snapToGrid w:val="0"/>
        </w:rPr>
        <w:t xml:space="preserve"> —</w:t>
      </w:r>
      <w:r>
        <w:rPr>
          <w:snapToGrid w:val="0"/>
        </w:rPr>
        <w:t xml:space="preserve"> who </w:t>
      </w:r>
      <w:r w:rsidR="008767E5">
        <w:rPr>
          <w:snapToGrid w:val="0"/>
        </w:rPr>
        <w:t>he alleged</w:t>
      </w:r>
      <w:r w:rsidR="005C6710">
        <w:rPr>
          <w:snapToGrid w:val="0"/>
        </w:rPr>
        <w:t xml:space="preserve"> </w:t>
      </w:r>
      <w:r>
        <w:rPr>
          <w:snapToGrid w:val="0"/>
        </w:rPr>
        <w:t>was an LTTE intelligence officer</w:t>
      </w:r>
      <w:r w:rsidR="002356F2">
        <w:rPr>
          <w:snapToGrid w:val="0"/>
        </w:rPr>
        <w:t xml:space="preserve"> —</w:t>
      </w:r>
      <w:r>
        <w:rPr>
          <w:snapToGrid w:val="0"/>
        </w:rPr>
        <w:t xml:space="preserve"> with his commanding officer</w:t>
      </w:r>
      <w:r w:rsidR="007E7952">
        <w:rPr>
          <w:snapToGrid w:val="0"/>
        </w:rPr>
        <w:t>,</w:t>
      </w:r>
      <w:r>
        <w:rPr>
          <w:snapToGrid w:val="0"/>
        </w:rPr>
        <w:t xml:space="preserve"> taken in 2000; </w:t>
      </w:r>
      <w:r w:rsidR="00ED46EB">
        <w:rPr>
          <w:snapToGrid w:val="0"/>
        </w:rPr>
        <w:t>and an Edmund Rice Centre re</w:t>
      </w:r>
      <w:r w:rsidR="002356F2">
        <w:rPr>
          <w:snapToGrid w:val="0"/>
        </w:rPr>
        <w:t>port</w:t>
      </w:r>
      <w:r w:rsidR="00ED46EB">
        <w:rPr>
          <w:snapToGrid w:val="0"/>
        </w:rPr>
        <w:t xml:space="preserve"> published </w:t>
      </w:r>
      <w:r w:rsidR="002356F2">
        <w:rPr>
          <w:snapToGrid w:val="0"/>
        </w:rPr>
        <w:t xml:space="preserve">on </w:t>
      </w:r>
      <w:r w:rsidR="00ED46EB">
        <w:rPr>
          <w:snapToGrid w:val="0"/>
        </w:rPr>
        <w:t>5</w:t>
      </w:r>
      <w:r w:rsidR="00466DC6">
        <w:rPr>
          <w:snapToGrid w:val="0"/>
        </w:rPr>
        <w:t> </w:t>
      </w:r>
      <w:r w:rsidR="00ED46EB">
        <w:rPr>
          <w:snapToGrid w:val="0"/>
        </w:rPr>
        <w:t xml:space="preserve">May 2015 </w:t>
      </w:r>
      <w:r w:rsidR="002356F2">
        <w:rPr>
          <w:snapToGrid w:val="0"/>
        </w:rPr>
        <w:t xml:space="preserve">referring to </w:t>
      </w:r>
      <w:r w:rsidR="00ED46EB">
        <w:rPr>
          <w:snapToGrid w:val="0"/>
        </w:rPr>
        <w:t>two returnees who ha</w:t>
      </w:r>
      <w:r w:rsidR="002356F2">
        <w:rPr>
          <w:snapToGrid w:val="0"/>
        </w:rPr>
        <w:t>d</w:t>
      </w:r>
      <w:r w:rsidR="00ED46EB">
        <w:rPr>
          <w:snapToGrid w:val="0"/>
        </w:rPr>
        <w:t xml:space="preserve"> been subjected to torture upon their return to Sri Lanka after the State party </w:t>
      </w:r>
      <w:r w:rsidR="002737FF">
        <w:rPr>
          <w:snapToGrid w:val="0"/>
        </w:rPr>
        <w:t xml:space="preserve">had </w:t>
      </w:r>
      <w:r w:rsidR="00ED46EB">
        <w:rPr>
          <w:snapToGrid w:val="0"/>
        </w:rPr>
        <w:t>rejected their asylum applications.</w:t>
      </w:r>
      <w:r w:rsidR="002B6BD4">
        <w:rPr>
          <w:snapToGrid w:val="0"/>
        </w:rPr>
        <w:t xml:space="preserve"> </w:t>
      </w:r>
    </w:p>
    <w:p w:rsidR="008265E3" w:rsidRPr="00DF23DE" w:rsidRDefault="00BC34B7" w:rsidP="00597408">
      <w:pPr>
        <w:pStyle w:val="H23G"/>
        <w:rPr>
          <w:snapToGrid w:val="0"/>
        </w:rPr>
      </w:pPr>
      <w:r w:rsidRPr="00DF23DE">
        <w:rPr>
          <w:snapToGrid w:val="0"/>
        </w:rPr>
        <w:tab/>
      </w:r>
      <w:r w:rsidRPr="00DF23DE">
        <w:rPr>
          <w:snapToGrid w:val="0"/>
        </w:rPr>
        <w:tab/>
      </w:r>
      <w:r w:rsidR="00597408" w:rsidRPr="002876E2">
        <w:t xml:space="preserve">State party’s </w:t>
      </w:r>
      <w:r w:rsidR="00597408">
        <w:t>additional</w:t>
      </w:r>
      <w:r w:rsidR="00597408" w:rsidRPr="002876E2">
        <w:t xml:space="preserve"> observations on admissibility and </w:t>
      </w:r>
      <w:r w:rsidR="00F75D27">
        <w:t xml:space="preserve">the </w:t>
      </w:r>
      <w:r w:rsidR="00597408" w:rsidRPr="002876E2">
        <w:t>merits</w:t>
      </w:r>
    </w:p>
    <w:p w:rsidR="008265E3" w:rsidRPr="00DF23DE" w:rsidRDefault="008265E3" w:rsidP="002E38E2">
      <w:pPr>
        <w:pStyle w:val="SingleTxtG"/>
        <w:rPr>
          <w:snapToGrid w:val="0"/>
        </w:rPr>
      </w:pPr>
      <w:r w:rsidRPr="00DF23DE">
        <w:rPr>
          <w:snapToGrid w:val="0"/>
        </w:rPr>
        <w:t>6.</w:t>
      </w:r>
      <w:r w:rsidR="00910707" w:rsidRPr="00DF23DE">
        <w:rPr>
          <w:snapToGrid w:val="0"/>
        </w:rPr>
        <w:t>1</w:t>
      </w:r>
      <w:r w:rsidR="003F4589" w:rsidRPr="00DF23DE">
        <w:rPr>
          <w:snapToGrid w:val="0"/>
        </w:rPr>
        <w:tab/>
      </w:r>
      <w:r w:rsidR="0069269E">
        <w:rPr>
          <w:snapToGrid w:val="0"/>
        </w:rPr>
        <w:t xml:space="preserve">On 10 November 2015, the State party submitted additional observations </w:t>
      </w:r>
      <w:r w:rsidR="000D0639">
        <w:rPr>
          <w:snapToGrid w:val="0"/>
        </w:rPr>
        <w:t xml:space="preserve">and reiterated </w:t>
      </w:r>
      <w:r w:rsidR="0069269E">
        <w:rPr>
          <w:snapToGrid w:val="0"/>
        </w:rPr>
        <w:t xml:space="preserve">its position on </w:t>
      </w:r>
      <w:r w:rsidR="00F75D27">
        <w:rPr>
          <w:snapToGrid w:val="0"/>
        </w:rPr>
        <w:t xml:space="preserve">the </w:t>
      </w:r>
      <w:r w:rsidR="0069269E">
        <w:rPr>
          <w:snapToGrid w:val="0"/>
        </w:rPr>
        <w:t>inadmissibility of the complaint and its lack of merit.</w:t>
      </w:r>
    </w:p>
    <w:p w:rsidR="003E7D7D" w:rsidRDefault="00147B55">
      <w:pPr>
        <w:pStyle w:val="SingleTxtG"/>
        <w:rPr>
          <w:snapToGrid w:val="0"/>
        </w:rPr>
      </w:pPr>
      <w:r>
        <w:rPr>
          <w:snapToGrid w:val="0"/>
        </w:rPr>
        <w:t>6.2</w:t>
      </w:r>
      <w:r>
        <w:rPr>
          <w:snapToGrid w:val="0"/>
        </w:rPr>
        <w:tab/>
      </w:r>
      <w:r w:rsidR="00156A3E">
        <w:rPr>
          <w:snapToGrid w:val="0"/>
        </w:rPr>
        <w:t xml:space="preserve">Addressing the complainant’s allegation about </w:t>
      </w:r>
      <w:r w:rsidR="00F75D27">
        <w:rPr>
          <w:snapToGrid w:val="0"/>
        </w:rPr>
        <w:t xml:space="preserve">the </w:t>
      </w:r>
      <w:r w:rsidR="00156A3E">
        <w:rPr>
          <w:snapToGrid w:val="0"/>
        </w:rPr>
        <w:t xml:space="preserve">unfairness of the </w:t>
      </w:r>
      <w:r w:rsidR="00F75D27">
        <w:rPr>
          <w:snapToGrid w:val="0"/>
        </w:rPr>
        <w:t>i</w:t>
      </w:r>
      <w:r w:rsidR="00156A3E">
        <w:rPr>
          <w:snapToGrid w:val="0"/>
        </w:rPr>
        <w:t xml:space="preserve">ndependent </w:t>
      </w:r>
      <w:r w:rsidR="00F75D27">
        <w:rPr>
          <w:snapToGrid w:val="0"/>
        </w:rPr>
        <w:t>m</w:t>
      </w:r>
      <w:r w:rsidR="00156A3E">
        <w:rPr>
          <w:snapToGrid w:val="0"/>
        </w:rPr>
        <w:t xml:space="preserve">erits </w:t>
      </w:r>
      <w:r w:rsidR="00F75D27">
        <w:rPr>
          <w:snapToGrid w:val="0"/>
        </w:rPr>
        <w:t>r</w:t>
      </w:r>
      <w:r w:rsidR="00156A3E">
        <w:rPr>
          <w:snapToGrid w:val="0"/>
        </w:rPr>
        <w:t>eview, the State party submit</w:t>
      </w:r>
      <w:r w:rsidR="00F75D27">
        <w:rPr>
          <w:snapToGrid w:val="0"/>
        </w:rPr>
        <w:t>ted</w:t>
      </w:r>
      <w:r w:rsidR="00156A3E">
        <w:rPr>
          <w:snapToGrid w:val="0"/>
        </w:rPr>
        <w:t xml:space="preserve"> that this claim was reviewed by the Federal Circuit Court, which found no</w:t>
      </w:r>
      <w:r w:rsidR="00F75D27">
        <w:rPr>
          <w:snapToGrid w:val="0"/>
        </w:rPr>
        <w:t>thing</w:t>
      </w:r>
      <w:r w:rsidR="00156A3E">
        <w:rPr>
          <w:snapToGrid w:val="0"/>
        </w:rPr>
        <w:t xml:space="preserve"> inaccurate or incorrect</w:t>
      </w:r>
      <w:r w:rsidR="00F75D27">
        <w:rPr>
          <w:snapToGrid w:val="0"/>
        </w:rPr>
        <w:t xml:space="preserve"> in the </w:t>
      </w:r>
      <w:r w:rsidR="00BD7417">
        <w:rPr>
          <w:snapToGrid w:val="0"/>
        </w:rPr>
        <w:t>reviewer’s</w:t>
      </w:r>
      <w:r w:rsidR="00F75D27">
        <w:rPr>
          <w:snapToGrid w:val="0"/>
        </w:rPr>
        <w:t xml:space="preserve"> decision</w:t>
      </w:r>
      <w:r w:rsidR="00156A3E">
        <w:rPr>
          <w:snapToGrid w:val="0"/>
        </w:rPr>
        <w:t xml:space="preserve"> and which stated that</w:t>
      </w:r>
      <w:r w:rsidR="00FA381D">
        <w:rPr>
          <w:snapToGrid w:val="0"/>
        </w:rPr>
        <w:t xml:space="preserve"> credibility findings were </w:t>
      </w:r>
      <w:r w:rsidR="00F75D27">
        <w:rPr>
          <w:snapToGrid w:val="0"/>
        </w:rPr>
        <w:t>“</w:t>
      </w:r>
      <w:r w:rsidR="00FA381D">
        <w:rPr>
          <w:snapToGrid w:val="0"/>
        </w:rPr>
        <w:t>a matter par excellence</w:t>
      </w:r>
      <w:r w:rsidR="00F75D27">
        <w:rPr>
          <w:snapToGrid w:val="0"/>
        </w:rPr>
        <w:t>”</w:t>
      </w:r>
      <w:r w:rsidR="00FA381D">
        <w:rPr>
          <w:snapToGrid w:val="0"/>
        </w:rPr>
        <w:t xml:space="preserve"> for the </w:t>
      </w:r>
      <w:r w:rsidR="000D0639">
        <w:rPr>
          <w:snapToGrid w:val="0"/>
        </w:rPr>
        <w:t>c</w:t>
      </w:r>
      <w:r w:rsidR="00FA381D">
        <w:rPr>
          <w:snapToGrid w:val="0"/>
        </w:rPr>
        <w:t>ourt.</w:t>
      </w:r>
      <w:r w:rsidR="00156A3E">
        <w:rPr>
          <w:snapToGrid w:val="0"/>
        </w:rPr>
        <w:t xml:space="preserve"> </w:t>
      </w:r>
      <w:r w:rsidR="00D571EB">
        <w:rPr>
          <w:snapToGrid w:val="0"/>
        </w:rPr>
        <w:t xml:space="preserve">Concerning the allegation about </w:t>
      </w:r>
      <w:r w:rsidR="00F75D27">
        <w:rPr>
          <w:snapToGrid w:val="0"/>
        </w:rPr>
        <w:t xml:space="preserve">the </w:t>
      </w:r>
      <w:r w:rsidR="00D571EB">
        <w:rPr>
          <w:snapToGrid w:val="0"/>
        </w:rPr>
        <w:t xml:space="preserve">failure of the </w:t>
      </w:r>
      <w:r w:rsidR="0063611C">
        <w:rPr>
          <w:snapToGrid w:val="0"/>
        </w:rPr>
        <w:t>r</w:t>
      </w:r>
      <w:r w:rsidR="00D571EB">
        <w:rPr>
          <w:snapToGrid w:val="0"/>
        </w:rPr>
        <w:t xml:space="preserve">eviewer to take into account the </w:t>
      </w:r>
      <w:r w:rsidR="00F75D27">
        <w:rPr>
          <w:snapToGrid w:val="0"/>
        </w:rPr>
        <w:t>complainant</w:t>
      </w:r>
      <w:r w:rsidR="00D571EB">
        <w:rPr>
          <w:snapToGrid w:val="0"/>
        </w:rPr>
        <w:t xml:space="preserve">’s psychological report and his </w:t>
      </w:r>
      <w:r w:rsidR="00F75D27">
        <w:rPr>
          <w:snapToGrid w:val="0"/>
        </w:rPr>
        <w:t>post-traumatic stress disorder</w:t>
      </w:r>
      <w:r w:rsidR="00D571EB">
        <w:rPr>
          <w:snapToGrid w:val="0"/>
        </w:rPr>
        <w:t>, the State party note</w:t>
      </w:r>
      <w:r w:rsidR="00F75D27">
        <w:rPr>
          <w:snapToGrid w:val="0"/>
        </w:rPr>
        <w:t>d</w:t>
      </w:r>
      <w:r w:rsidR="00D571EB">
        <w:rPr>
          <w:snapToGrid w:val="0"/>
        </w:rPr>
        <w:t xml:space="preserve"> that the psychosocial report was </w:t>
      </w:r>
      <w:r w:rsidR="003E7D7D">
        <w:rPr>
          <w:snapToGrid w:val="0"/>
        </w:rPr>
        <w:t xml:space="preserve">not </w:t>
      </w:r>
      <w:r w:rsidR="00D571EB">
        <w:rPr>
          <w:snapToGrid w:val="0"/>
        </w:rPr>
        <w:t>considere</w:t>
      </w:r>
      <w:r w:rsidR="003E7D7D">
        <w:rPr>
          <w:snapToGrid w:val="0"/>
        </w:rPr>
        <w:t xml:space="preserve">d by the </w:t>
      </w:r>
      <w:r w:rsidR="0063611C">
        <w:rPr>
          <w:snapToGrid w:val="0"/>
        </w:rPr>
        <w:t>r</w:t>
      </w:r>
      <w:r w:rsidR="003E7D7D">
        <w:rPr>
          <w:snapToGrid w:val="0"/>
        </w:rPr>
        <w:t xml:space="preserve">eviewer to be </w:t>
      </w:r>
      <w:r w:rsidR="00D571EB">
        <w:rPr>
          <w:snapToGrid w:val="0"/>
        </w:rPr>
        <w:t xml:space="preserve">a medical assessment and that the complainant </w:t>
      </w:r>
      <w:r w:rsidR="00F75D27">
        <w:rPr>
          <w:snapToGrid w:val="0"/>
        </w:rPr>
        <w:t>did</w:t>
      </w:r>
      <w:r w:rsidR="00D571EB">
        <w:rPr>
          <w:snapToGrid w:val="0"/>
        </w:rPr>
        <w:t xml:space="preserve"> not provided any medical evidence in support of his claim that he was suffering from </w:t>
      </w:r>
      <w:r w:rsidR="00F75D27">
        <w:rPr>
          <w:snapToGrid w:val="0"/>
        </w:rPr>
        <w:t>post-traumatic stress disorder</w:t>
      </w:r>
      <w:r w:rsidR="00D571EB">
        <w:rPr>
          <w:snapToGrid w:val="0"/>
        </w:rPr>
        <w:t xml:space="preserve">. </w:t>
      </w:r>
      <w:r w:rsidR="00D77125">
        <w:rPr>
          <w:snapToGrid w:val="0"/>
        </w:rPr>
        <w:t xml:space="preserve">Regarding the complainant’s claim about </w:t>
      </w:r>
      <w:r w:rsidR="00F33E0F">
        <w:rPr>
          <w:snapToGrid w:val="0"/>
        </w:rPr>
        <w:t xml:space="preserve">the </w:t>
      </w:r>
      <w:r w:rsidR="0063611C">
        <w:rPr>
          <w:snapToGrid w:val="0"/>
        </w:rPr>
        <w:t>reviewer’s</w:t>
      </w:r>
      <w:r w:rsidR="00D77125">
        <w:rPr>
          <w:snapToGrid w:val="0"/>
        </w:rPr>
        <w:t xml:space="preserve"> error in </w:t>
      </w:r>
      <w:r w:rsidR="00F33E0F">
        <w:rPr>
          <w:snapToGrid w:val="0"/>
        </w:rPr>
        <w:t>focussing</w:t>
      </w:r>
      <w:r w:rsidR="00D77125">
        <w:rPr>
          <w:snapToGrid w:val="0"/>
        </w:rPr>
        <w:t xml:space="preserve"> on inconsistencies which </w:t>
      </w:r>
      <w:r w:rsidR="00F33E0F">
        <w:rPr>
          <w:snapToGrid w:val="0"/>
        </w:rPr>
        <w:t>he considered</w:t>
      </w:r>
      <w:r w:rsidR="00D77125">
        <w:rPr>
          <w:snapToGrid w:val="0"/>
        </w:rPr>
        <w:t xml:space="preserve"> unimportant, the S</w:t>
      </w:r>
      <w:r w:rsidR="003E7D7D">
        <w:rPr>
          <w:snapToGrid w:val="0"/>
        </w:rPr>
        <w:t>tate party observe</w:t>
      </w:r>
      <w:r w:rsidR="00F33E0F">
        <w:rPr>
          <w:snapToGrid w:val="0"/>
        </w:rPr>
        <w:t>d</w:t>
      </w:r>
      <w:r w:rsidR="00D77125">
        <w:rPr>
          <w:snapToGrid w:val="0"/>
        </w:rPr>
        <w:t xml:space="preserve"> that the </w:t>
      </w:r>
      <w:r w:rsidR="0063611C">
        <w:rPr>
          <w:snapToGrid w:val="0"/>
        </w:rPr>
        <w:t>r</w:t>
      </w:r>
      <w:r w:rsidR="00D77125">
        <w:rPr>
          <w:snapToGrid w:val="0"/>
        </w:rPr>
        <w:t xml:space="preserve">eviewer was conscious of the need to treat discrepancies about peripheral details with caution, but did not consider the inconsistencies in the complainant’s story to be peripheral. The complainant was given the chance to comment on all the inconsistencies </w:t>
      </w:r>
      <w:r w:rsidR="00F33E0F">
        <w:rPr>
          <w:snapToGrid w:val="0"/>
        </w:rPr>
        <w:t xml:space="preserve">that </w:t>
      </w:r>
      <w:r w:rsidR="00D77125">
        <w:rPr>
          <w:snapToGrid w:val="0"/>
        </w:rPr>
        <w:t xml:space="preserve">the </w:t>
      </w:r>
      <w:r w:rsidR="0063611C">
        <w:rPr>
          <w:snapToGrid w:val="0"/>
        </w:rPr>
        <w:t xml:space="preserve">reviewer </w:t>
      </w:r>
      <w:r w:rsidR="00F33E0F">
        <w:rPr>
          <w:snapToGrid w:val="0"/>
        </w:rPr>
        <w:t xml:space="preserve">pointed </w:t>
      </w:r>
      <w:proofErr w:type="gramStart"/>
      <w:r w:rsidR="00F33E0F">
        <w:rPr>
          <w:snapToGrid w:val="0"/>
        </w:rPr>
        <w:t>out</w:t>
      </w:r>
      <w:r w:rsidR="00D77125">
        <w:rPr>
          <w:snapToGrid w:val="0"/>
        </w:rPr>
        <w:t>,</w:t>
      </w:r>
      <w:proofErr w:type="gramEnd"/>
      <w:r w:rsidR="00D77125">
        <w:rPr>
          <w:snapToGrid w:val="0"/>
        </w:rPr>
        <w:t xml:space="preserve"> however his answers were not found to be satisfactory.</w:t>
      </w:r>
      <w:r w:rsidR="00476DF5">
        <w:rPr>
          <w:snapToGrid w:val="0"/>
        </w:rPr>
        <w:t xml:space="preserve"> </w:t>
      </w:r>
    </w:p>
    <w:p w:rsidR="00D571EB" w:rsidRDefault="003E7D7D">
      <w:pPr>
        <w:pStyle w:val="SingleTxtG"/>
        <w:rPr>
          <w:snapToGrid w:val="0"/>
        </w:rPr>
      </w:pPr>
      <w:r>
        <w:rPr>
          <w:snapToGrid w:val="0"/>
        </w:rPr>
        <w:t>6.3</w:t>
      </w:r>
      <w:r>
        <w:rPr>
          <w:snapToGrid w:val="0"/>
        </w:rPr>
        <w:tab/>
      </w:r>
      <w:r w:rsidR="00476DF5">
        <w:rPr>
          <w:snapToGrid w:val="0"/>
        </w:rPr>
        <w:t>As for the allegation concerning unfair proceedings before the Federal Circuit Court and the Federal Court</w:t>
      </w:r>
      <w:r w:rsidR="00F33E0F">
        <w:rPr>
          <w:snapToGrid w:val="0"/>
        </w:rPr>
        <w:t xml:space="preserve"> of Australia</w:t>
      </w:r>
      <w:r w:rsidR="00476DF5">
        <w:rPr>
          <w:snapToGrid w:val="0"/>
        </w:rPr>
        <w:t xml:space="preserve"> </w:t>
      </w:r>
      <w:r w:rsidR="00F33E0F">
        <w:rPr>
          <w:snapToGrid w:val="0"/>
        </w:rPr>
        <w:t>owing to the</w:t>
      </w:r>
      <w:r w:rsidR="00476DF5">
        <w:rPr>
          <w:snapToGrid w:val="0"/>
        </w:rPr>
        <w:t xml:space="preserve"> absence of legal counsel</w:t>
      </w:r>
      <w:r w:rsidR="00F33E0F">
        <w:rPr>
          <w:snapToGrid w:val="0"/>
        </w:rPr>
        <w:t xml:space="preserve"> to represent him</w:t>
      </w:r>
      <w:r w:rsidR="00476DF5">
        <w:rPr>
          <w:snapToGrid w:val="0"/>
        </w:rPr>
        <w:t>, the State party submit</w:t>
      </w:r>
      <w:r w:rsidR="00F33E0F">
        <w:rPr>
          <w:snapToGrid w:val="0"/>
        </w:rPr>
        <w:t>ted</w:t>
      </w:r>
      <w:r w:rsidR="00476DF5">
        <w:rPr>
          <w:snapToGrid w:val="0"/>
        </w:rPr>
        <w:t xml:space="preserve"> that the </w:t>
      </w:r>
      <w:r w:rsidR="00F33E0F">
        <w:rPr>
          <w:snapToGrid w:val="0"/>
        </w:rPr>
        <w:t>complainant</w:t>
      </w:r>
      <w:r w:rsidR="00476DF5">
        <w:rPr>
          <w:snapToGrid w:val="0"/>
        </w:rPr>
        <w:t xml:space="preserve"> was represented by an NGO and that he </w:t>
      </w:r>
      <w:r w:rsidR="00F33E0F">
        <w:rPr>
          <w:snapToGrid w:val="0"/>
        </w:rPr>
        <w:t>did</w:t>
      </w:r>
      <w:r w:rsidR="00476DF5">
        <w:rPr>
          <w:snapToGrid w:val="0"/>
        </w:rPr>
        <w:t xml:space="preserve"> </w:t>
      </w:r>
      <w:r>
        <w:rPr>
          <w:snapToGrid w:val="0"/>
        </w:rPr>
        <w:t xml:space="preserve">not </w:t>
      </w:r>
      <w:r w:rsidR="00476DF5">
        <w:rPr>
          <w:snapToGrid w:val="0"/>
        </w:rPr>
        <w:t>justif</w:t>
      </w:r>
      <w:r w:rsidR="00F33E0F">
        <w:rPr>
          <w:snapToGrid w:val="0"/>
        </w:rPr>
        <w:t>y</w:t>
      </w:r>
      <w:r w:rsidR="00476DF5">
        <w:rPr>
          <w:snapToGrid w:val="0"/>
        </w:rPr>
        <w:t xml:space="preserve"> his failure to contact legal representative</w:t>
      </w:r>
      <w:r w:rsidR="000D0639">
        <w:rPr>
          <w:snapToGrid w:val="0"/>
        </w:rPr>
        <w:t>s</w:t>
      </w:r>
      <w:r w:rsidR="00476DF5">
        <w:rPr>
          <w:snapToGrid w:val="0"/>
        </w:rPr>
        <w:t xml:space="preserve"> </w:t>
      </w:r>
      <w:r w:rsidR="000D0639">
        <w:rPr>
          <w:snapToGrid w:val="0"/>
        </w:rPr>
        <w:t xml:space="preserve">as </w:t>
      </w:r>
      <w:r w:rsidR="00F33E0F">
        <w:rPr>
          <w:snapToGrid w:val="0"/>
        </w:rPr>
        <w:t xml:space="preserve">was </w:t>
      </w:r>
      <w:r w:rsidR="00476DF5">
        <w:rPr>
          <w:snapToGrid w:val="0"/>
        </w:rPr>
        <w:t xml:space="preserve">suggested by the Federal Circuit Court six months </w:t>
      </w:r>
      <w:r w:rsidR="00F33E0F">
        <w:rPr>
          <w:snapToGrid w:val="0"/>
        </w:rPr>
        <w:t>prior to</w:t>
      </w:r>
      <w:r w:rsidR="00476DF5">
        <w:rPr>
          <w:snapToGrid w:val="0"/>
        </w:rPr>
        <w:t xml:space="preserve"> the hearing. In </w:t>
      </w:r>
      <w:r w:rsidR="00F33E0F">
        <w:rPr>
          <w:snapToGrid w:val="0"/>
        </w:rPr>
        <w:t>respect of the foregoing</w:t>
      </w:r>
      <w:r w:rsidR="00476DF5">
        <w:rPr>
          <w:snapToGrid w:val="0"/>
        </w:rPr>
        <w:t xml:space="preserve"> and taking into account that the complainant</w:t>
      </w:r>
      <w:r>
        <w:rPr>
          <w:snapToGrid w:val="0"/>
        </w:rPr>
        <w:t>’</w:t>
      </w:r>
      <w:r w:rsidR="00476DF5">
        <w:rPr>
          <w:snapToGrid w:val="0"/>
        </w:rPr>
        <w:t xml:space="preserve">s claims were considered by the </w:t>
      </w:r>
      <w:r w:rsidR="0063611C">
        <w:rPr>
          <w:snapToGrid w:val="0"/>
        </w:rPr>
        <w:t>i</w:t>
      </w:r>
      <w:r w:rsidR="00476DF5">
        <w:rPr>
          <w:snapToGrid w:val="0"/>
        </w:rPr>
        <w:t xml:space="preserve">ndependent </w:t>
      </w:r>
      <w:r w:rsidR="0063611C">
        <w:rPr>
          <w:snapToGrid w:val="0"/>
        </w:rPr>
        <w:t>m</w:t>
      </w:r>
      <w:r w:rsidR="00476DF5">
        <w:rPr>
          <w:snapToGrid w:val="0"/>
        </w:rPr>
        <w:t xml:space="preserve">erits </w:t>
      </w:r>
      <w:r w:rsidR="0063611C">
        <w:rPr>
          <w:snapToGrid w:val="0"/>
        </w:rPr>
        <w:t>r</w:t>
      </w:r>
      <w:r w:rsidR="00476DF5">
        <w:rPr>
          <w:snapToGrid w:val="0"/>
        </w:rPr>
        <w:t xml:space="preserve">eview and during the </w:t>
      </w:r>
      <w:r w:rsidR="00162B93">
        <w:rPr>
          <w:snapToGrid w:val="0"/>
        </w:rPr>
        <w:t>p</w:t>
      </w:r>
      <w:r w:rsidR="00476DF5">
        <w:rPr>
          <w:snapToGrid w:val="0"/>
        </w:rPr>
        <w:t>ost</w:t>
      </w:r>
      <w:r w:rsidR="00162B93">
        <w:rPr>
          <w:snapToGrid w:val="0"/>
        </w:rPr>
        <w:t>-r</w:t>
      </w:r>
      <w:r w:rsidR="00476DF5">
        <w:rPr>
          <w:snapToGrid w:val="0"/>
        </w:rPr>
        <w:t xml:space="preserve">eview </w:t>
      </w:r>
      <w:r w:rsidR="00162B93">
        <w:rPr>
          <w:snapToGrid w:val="0"/>
        </w:rPr>
        <w:t>p</w:t>
      </w:r>
      <w:r w:rsidR="00476DF5">
        <w:rPr>
          <w:snapToGrid w:val="0"/>
        </w:rPr>
        <w:t xml:space="preserve">rotection </w:t>
      </w:r>
      <w:r w:rsidR="00162B93">
        <w:rPr>
          <w:snapToGrid w:val="0"/>
        </w:rPr>
        <w:t>c</w:t>
      </w:r>
      <w:r w:rsidR="00476DF5">
        <w:rPr>
          <w:snapToGrid w:val="0"/>
        </w:rPr>
        <w:t>laim assessment process, the S</w:t>
      </w:r>
      <w:r>
        <w:rPr>
          <w:snapToGrid w:val="0"/>
        </w:rPr>
        <w:t>tate party submit</w:t>
      </w:r>
      <w:r w:rsidR="000D0639">
        <w:rPr>
          <w:snapToGrid w:val="0"/>
        </w:rPr>
        <w:t>s</w:t>
      </w:r>
      <w:r w:rsidR="00476DF5">
        <w:rPr>
          <w:snapToGrid w:val="0"/>
        </w:rPr>
        <w:t xml:space="preserve"> that the </w:t>
      </w:r>
      <w:r>
        <w:rPr>
          <w:snapToGrid w:val="0"/>
        </w:rPr>
        <w:t>complainant’s allegation</w:t>
      </w:r>
      <w:r w:rsidR="00476DF5">
        <w:rPr>
          <w:snapToGrid w:val="0"/>
        </w:rPr>
        <w:t xml:space="preserve"> regarding </w:t>
      </w:r>
      <w:r w:rsidR="000D0639">
        <w:rPr>
          <w:snapToGrid w:val="0"/>
        </w:rPr>
        <w:t xml:space="preserve">the </w:t>
      </w:r>
      <w:r w:rsidR="00476DF5">
        <w:rPr>
          <w:snapToGrid w:val="0"/>
        </w:rPr>
        <w:t xml:space="preserve">lack of legal representation should be rejected. Concerning the allegation that the </w:t>
      </w:r>
      <w:r w:rsidR="00974749">
        <w:rPr>
          <w:snapToGrid w:val="0"/>
        </w:rPr>
        <w:t>c</w:t>
      </w:r>
      <w:r w:rsidR="00476DF5">
        <w:rPr>
          <w:snapToGrid w:val="0"/>
        </w:rPr>
        <w:t xml:space="preserve">ourts ignored </w:t>
      </w:r>
      <w:r w:rsidR="00974749">
        <w:rPr>
          <w:snapToGrid w:val="0"/>
        </w:rPr>
        <w:t>his</w:t>
      </w:r>
      <w:r w:rsidR="00476DF5">
        <w:rPr>
          <w:snapToGrid w:val="0"/>
        </w:rPr>
        <w:t xml:space="preserve"> mental state, the State party submit</w:t>
      </w:r>
      <w:r w:rsidR="00974749">
        <w:rPr>
          <w:snapToGrid w:val="0"/>
        </w:rPr>
        <w:t>ted</w:t>
      </w:r>
      <w:r w:rsidR="00476DF5">
        <w:rPr>
          <w:snapToGrid w:val="0"/>
        </w:rPr>
        <w:t xml:space="preserve"> that </w:t>
      </w:r>
      <w:r w:rsidR="00974749">
        <w:rPr>
          <w:snapToGrid w:val="0"/>
        </w:rPr>
        <w:t>t</w:t>
      </w:r>
      <w:r w:rsidR="00476DF5">
        <w:rPr>
          <w:snapToGrid w:val="0"/>
        </w:rPr>
        <w:t xml:space="preserve">he </w:t>
      </w:r>
      <w:r w:rsidR="00974749">
        <w:rPr>
          <w:snapToGrid w:val="0"/>
        </w:rPr>
        <w:t xml:space="preserve">complainant did not </w:t>
      </w:r>
      <w:r w:rsidR="00476DF5">
        <w:rPr>
          <w:snapToGrid w:val="0"/>
        </w:rPr>
        <w:t xml:space="preserve">present </w:t>
      </w:r>
      <w:r w:rsidR="00974749">
        <w:rPr>
          <w:snapToGrid w:val="0"/>
        </w:rPr>
        <w:t>any</w:t>
      </w:r>
      <w:r w:rsidR="00476DF5">
        <w:rPr>
          <w:snapToGrid w:val="0"/>
        </w:rPr>
        <w:t xml:space="preserve"> medical evidence suggesting that he had a mental health condition </w:t>
      </w:r>
      <w:r w:rsidR="00974749">
        <w:rPr>
          <w:snapToGrid w:val="0"/>
        </w:rPr>
        <w:t xml:space="preserve">that </w:t>
      </w:r>
      <w:r w:rsidR="00476DF5">
        <w:rPr>
          <w:snapToGrid w:val="0"/>
        </w:rPr>
        <w:t>depriv</w:t>
      </w:r>
      <w:r w:rsidR="00974749">
        <w:rPr>
          <w:snapToGrid w:val="0"/>
        </w:rPr>
        <w:t>ed</w:t>
      </w:r>
      <w:r w:rsidR="00476DF5">
        <w:rPr>
          <w:snapToGrid w:val="0"/>
        </w:rPr>
        <w:t xml:space="preserve"> him of a fair opportunity to present his case. </w:t>
      </w:r>
    </w:p>
    <w:p w:rsidR="008F4B84" w:rsidRDefault="00D571EB" w:rsidP="00E008F8">
      <w:pPr>
        <w:pStyle w:val="SingleTxtG"/>
        <w:rPr>
          <w:snapToGrid w:val="0"/>
        </w:rPr>
      </w:pPr>
      <w:r>
        <w:rPr>
          <w:snapToGrid w:val="0"/>
        </w:rPr>
        <w:t>6.</w:t>
      </w:r>
      <w:r w:rsidR="002B6BD4">
        <w:rPr>
          <w:snapToGrid w:val="0"/>
        </w:rPr>
        <w:t>4</w:t>
      </w:r>
      <w:r>
        <w:rPr>
          <w:snapToGrid w:val="0"/>
        </w:rPr>
        <w:tab/>
      </w:r>
      <w:r w:rsidR="0050529E">
        <w:rPr>
          <w:snapToGrid w:val="0"/>
        </w:rPr>
        <w:t xml:space="preserve">Regarding the </w:t>
      </w:r>
      <w:r w:rsidR="00974749">
        <w:rPr>
          <w:snapToGrid w:val="0"/>
        </w:rPr>
        <w:t xml:space="preserve">additional </w:t>
      </w:r>
      <w:r w:rsidR="0050529E">
        <w:rPr>
          <w:snapToGrid w:val="0"/>
        </w:rPr>
        <w:t>documents</w:t>
      </w:r>
      <w:r w:rsidR="00974749">
        <w:rPr>
          <w:snapToGrid w:val="0"/>
        </w:rPr>
        <w:t xml:space="preserve"> submitted to the Committee</w:t>
      </w:r>
      <w:r w:rsidR="0050529E">
        <w:rPr>
          <w:snapToGrid w:val="0"/>
        </w:rPr>
        <w:t>, the State party observe</w:t>
      </w:r>
      <w:r w:rsidR="00974749">
        <w:rPr>
          <w:snapToGrid w:val="0"/>
        </w:rPr>
        <w:t>d</w:t>
      </w:r>
      <w:r w:rsidR="0050529E">
        <w:rPr>
          <w:snapToGrid w:val="0"/>
        </w:rPr>
        <w:t xml:space="preserve"> that the complainant </w:t>
      </w:r>
      <w:r w:rsidR="00974749">
        <w:rPr>
          <w:snapToGrid w:val="0"/>
        </w:rPr>
        <w:t>did</w:t>
      </w:r>
      <w:r w:rsidR="0050529E">
        <w:rPr>
          <w:snapToGrid w:val="0"/>
        </w:rPr>
        <w:t xml:space="preserve"> not provide any </w:t>
      </w:r>
      <w:r w:rsidR="000D0639">
        <w:rPr>
          <w:snapToGrid w:val="0"/>
        </w:rPr>
        <w:t xml:space="preserve">explanation as to </w:t>
      </w:r>
      <w:r w:rsidR="0050529E">
        <w:rPr>
          <w:snapToGrid w:val="0"/>
        </w:rPr>
        <w:t xml:space="preserve">why they were not provided </w:t>
      </w:r>
      <w:r w:rsidR="009852FA">
        <w:rPr>
          <w:snapToGrid w:val="0"/>
        </w:rPr>
        <w:t xml:space="preserve">to the authorities </w:t>
      </w:r>
      <w:r w:rsidR="0050529E">
        <w:rPr>
          <w:snapToGrid w:val="0"/>
        </w:rPr>
        <w:t>at an earlier sta</w:t>
      </w:r>
      <w:r w:rsidR="00547855">
        <w:rPr>
          <w:snapToGrid w:val="0"/>
        </w:rPr>
        <w:t>g</w:t>
      </w:r>
      <w:r w:rsidR="0050529E">
        <w:rPr>
          <w:snapToGrid w:val="0"/>
        </w:rPr>
        <w:t xml:space="preserve">e </w:t>
      </w:r>
      <w:r w:rsidR="009852FA">
        <w:rPr>
          <w:snapToGrid w:val="0"/>
        </w:rPr>
        <w:t xml:space="preserve">of the </w:t>
      </w:r>
      <w:r w:rsidR="0050529E">
        <w:rPr>
          <w:snapToGrid w:val="0"/>
        </w:rPr>
        <w:t>protection claim</w:t>
      </w:r>
      <w:r w:rsidR="002B6BD4">
        <w:rPr>
          <w:snapToGrid w:val="0"/>
        </w:rPr>
        <w:t xml:space="preserve"> </w:t>
      </w:r>
      <w:r w:rsidR="009852FA">
        <w:rPr>
          <w:snapToGrid w:val="0"/>
        </w:rPr>
        <w:t>process</w:t>
      </w:r>
      <w:r w:rsidR="0050529E">
        <w:rPr>
          <w:snapToGrid w:val="0"/>
        </w:rPr>
        <w:t>, since the</w:t>
      </w:r>
      <w:r w:rsidR="000D0639">
        <w:rPr>
          <w:snapToGrid w:val="0"/>
        </w:rPr>
        <w:t>y</w:t>
      </w:r>
      <w:r w:rsidR="0050529E">
        <w:rPr>
          <w:snapToGrid w:val="0"/>
        </w:rPr>
        <w:t xml:space="preserve"> are dated 2000, 2002 and 2005. </w:t>
      </w:r>
      <w:r w:rsidR="005C6710">
        <w:rPr>
          <w:snapToGrid w:val="0"/>
        </w:rPr>
        <w:t>The State party also note</w:t>
      </w:r>
      <w:r w:rsidR="009852FA">
        <w:rPr>
          <w:snapToGrid w:val="0"/>
        </w:rPr>
        <w:t>d</w:t>
      </w:r>
      <w:r w:rsidR="005C6710">
        <w:rPr>
          <w:snapToGrid w:val="0"/>
        </w:rPr>
        <w:t xml:space="preserve"> that the new evidence</w:t>
      </w:r>
      <w:r w:rsidR="009852FA">
        <w:rPr>
          <w:snapToGrid w:val="0"/>
        </w:rPr>
        <w:t xml:space="preserve"> indicating </w:t>
      </w:r>
      <w:r w:rsidR="005C6710">
        <w:rPr>
          <w:snapToGrid w:val="0"/>
        </w:rPr>
        <w:t>that the complainant’</w:t>
      </w:r>
      <w:r w:rsidR="0050701A">
        <w:rPr>
          <w:snapToGrid w:val="0"/>
        </w:rPr>
        <w:t xml:space="preserve">s brother was </w:t>
      </w:r>
      <w:r w:rsidR="00884E30">
        <w:rPr>
          <w:snapToGrid w:val="0"/>
        </w:rPr>
        <w:t>a</w:t>
      </w:r>
      <w:r w:rsidR="0050701A">
        <w:rPr>
          <w:snapToGrid w:val="0"/>
        </w:rPr>
        <w:t>n LTTE member</w:t>
      </w:r>
      <w:r w:rsidR="005C6710">
        <w:rPr>
          <w:snapToGrid w:val="0"/>
        </w:rPr>
        <w:t xml:space="preserve"> contradict</w:t>
      </w:r>
      <w:r w:rsidR="009852FA">
        <w:rPr>
          <w:snapToGrid w:val="0"/>
        </w:rPr>
        <w:t>s</w:t>
      </w:r>
      <w:r w:rsidR="005C6710">
        <w:rPr>
          <w:snapToGrid w:val="0"/>
        </w:rPr>
        <w:t xml:space="preserve"> </w:t>
      </w:r>
      <w:r w:rsidR="009852FA">
        <w:rPr>
          <w:snapToGrid w:val="0"/>
        </w:rPr>
        <w:t>the</w:t>
      </w:r>
      <w:r w:rsidR="005C6710">
        <w:rPr>
          <w:snapToGrid w:val="0"/>
        </w:rPr>
        <w:t xml:space="preserve"> statement</w:t>
      </w:r>
      <w:r w:rsidR="001B69EC">
        <w:rPr>
          <w:snapToGrid w:val="0"/>
        </w:rPr>
        <w:t xml:space="preserve"> that he gave</w:t>
      </w:r>
      <w:r w:rsidR="005C6710">
        <w:rPr>
          <w:snapToGrid w:val="0"/>
        </w:rPr>
        <w:t xml:space="preserve"> in 2011 to the Department of Immigration and </w:t>
      </w:r>
      <w:r w:rsidR="009852FA">
        <w:rPr>
          <w:snapToGrid w:val="0"/>
        </w:rPr>
        <w:t>Citizenship</w:t>
      </w:r>
      <w:r w:rsidR="008E1F07">
        <w:rPr>
          <w:snapToGrid w:val="0"/>
        </w:rPr>
        <w:t xml:space="preserve"> and</w:t>
      </w:r>
      <w:r w:rsidR="009852FA">
        <w:rPr>
          <w:snapToGrid w:val="0"/>
        </w:rPr>
        <w:t xml:space="preserve"> </w:t>
      </w:r>
      <w:r w:rsidR="0050701A">
        <w:rPr>
          <w:snapToGrid w:val="0"/>
        </w:rPr>
        <w:t xml:space="preserve">reiterated </w:t>
      </w:r>
      <w:r w:rsidR="009852FA">
        <w:rPr>
          <w:snapToGrid w:val="0"/>
        </w:rPr>
        <w:t>during</w:t>
      </w:r>
      <w:r w:rsidR="0050701A">
        <w:rPr>
          <w:snapToGrid w:val="0"/>
        </w:rPr>
        <w:t xml:space="preserve"> the review </w:t>
      </w:r>
      <w:r w:rsidR="009852FA">
        <w:rPr>
          <w:snapToGrid w:val="0"/>
        </w:rPr>
        <w:t>process</w:t>
      </w:r>
      <w:r w:rsidR="0050701A">
        <w:rPr>
          <w:snapToGrid w:val="0"/>
        </w:rPr>
        <w:t xml:space="preserve"> </w:t>
      </w:r>
      <w:r w:rsidR="005C6710">
        <w:rPr>
          <w:snapToGrid w:val="0"/>
        </w:rPr>
        <w:t xml:space="preserve">that his brother was shot in 2001 on suspicion of supporting LTTE, but </w:t>
      </w:r>
      <w:r w:rsidR="008E1F07">
        <w:rPr>
          <w:snapToGrid w:val="0"/>
        </w:rPr>
        <w:t>that</w:t>
      </w:r>
      <w:r w:rsidR="009852FA">
        <w:rPr>
          <w:snapToGrid w:val="0"/>
        </w:rPr>
        <w:t>, in fact,</w:t>
      </w:r>
      <w:r w:rsidR="008E1F07">
        <w:rPr>
          <w:snapToGrid w:val="0"/>
        </w:rPr>
        <w:t xml:space="preserve"> he </w:t>
      </w:r>
      <w:r w:rsidR="005C6710">
        <w:rPr>
          <w:snapToGrid w:val="0"/>
        </w:rPr>
        <w:t>had no involvement with LTTE.</w:t>
      </w:r>
      <w:r w:rsidR="00F87FD3">
        <w:rPr>
          <w:snapToGrid w:val="0"/>
        </w:rPr>
        <w:t xml:space="preserve"> In the State party</w:t>
      </w:r>
      <w:r w:rsidR="009852FA">
        <w:rPr>
          <w:snapToGrid w:val="0"/>
        </w:rPr>
        <w:t>’s view</w:t>
      </w:r>
      <w:r w:rsidR="000D0639">
        <w:rPr>
          <w:snapToGrid w:val="0"/>
        </w:rPr>
        <w:t>,</w:t>
      </w:r>
      <w:r w:rsidR="00F87FD3">
        <w:rPr>
          <w:snapToGrid w:val="0"/>
        </w:rPr>
        <w:t xml:space="preserve"> such inconsistency undermines the credibility of the complainant’</w:t>
      </w:r>
      <w:r w:rsidR="00006632">
        <w:rPr>
          <w:snapToGrid w:val="0"/>
        </w:rPr>
        <w:t xml:space="preserve">s evidence. </w:t>
      </w:r>
      <w:r w:rsidR="000C3611">
        <w:rPr>
          <w:snapToGrid w:val="0"/>
        </w:rPr>
        <w:t>The State party further observe</w:t>
      </w:r>
      <w:r w:rsidR="001B69EC">
        <w:rPr>
          <w:snapToGrid w:val="0"/>
        </w:rPr>
        <w:t>d</w:t>
      </w:r>
      <w:r w:rsidR="000C3611">
        <w:rPr>
          <w:snapToGrid w:val="0"/>
        </w:rPr>
        <w:t xml:space="preserve"> that most families in the north </w:t>
      </w:r>
      <w:r w:rsidR="001B69EC">
        <w:rPr>
          <w:snapToGrid w:val="0"/>
        </w:rPr>
        <w:t xml:space="preserve">of Sri Lanka </w:t>
      </w:r>
      <w:r w:rsidR="000C3611">
        <w:rPr>
          <w:snapToGrid w:val="0"/>
        </w:rPr>
        <w:t xml:space="preserve">where expected to provide a </w:t>
      </w:r>
      <w:r w:rsidR="001B69EC">
        <w:rPr>
          <w:snapToGrid w:val="0"/>
        </w:rPr>
        <w:t>member</w:t>
      </w:r>
      <w:r w:rsidR="000C3611">
        <w:rPr>
          <w:snapToGrid w:val="0"/>
        </w:rPr>
        <w:t xml:space="preserve"> to LTTE and </w:t>
      </w:r>
      <w:r w:rsidR="00254021">
        <w:rPr>
          <w:snapToGrid w:val="0"/>
        </w:rPr>
        <w:t>families</w:t>
      </w:r>
      <w:r w:rsidR="000C3611">
        <w:rPr>
          <w:snapToGrid w:val="0"/>
        </w:rPr>
        <w:t xml:space="preserve"> whose relatives died in the war receive</w:t>
      </w:r>
      <w:r w:rsidR="001B69EC">
        <w:rPr>
          <w:snapToGrid w:val="0"/>
        </w:rPr>
        <w:t>d</w:t>
      </w:r>
      <w:r w:rsidR="000C3611">
        <w:rPr>
          <w:snapToGrid w:val="0"/>
        </w:rPr>
        <w:t xml:space="preserve"> invitation</w:t>
      </w:r>
      <w:r w:rsidR="00DE5576">
        <w:rPr>
          <w:snapToGrid w:val="0"/>
        </w:rPr>
        <w:t>s</w:t>
      </w:r>
      <w:r w:rsidR="000C3611">
        <w:rPr>
          <w:snapToGrid w:val="0"/>
        </w:rPr>
        <w:t xml:space="preserve"> to the commemoration </w:t>
      </w:r>
      <w:r w:rsidR="00DE5576">
        <w:rPr>
          <w:snapToGrid w:val="0"/>
        </w:rPr>
        <w:t>ceremonies</w:t>
      </w:r>
      <w:r w:rsidR="000C3611">
        <w:rPr>
          <w:snapToGrid w:val="0"/>
        </w:rPr>
        <w:t>. The State party conclude</w:t>
      </w:r>
      <w:r w:rsidR="00DE5576">
        <w:rPr>
          <w:snapToGrid w:val="0"/>
        </w:rPr>
        <w:t>d</w:t>
      </w:r>
      <w:r w:rsidR="000C3611">
        <w:rPr>
          <w:snapToGrid w:val="0"/>
        </w:rPr>
        <w:t xml:space="preserve"> that neither the invitation to the complainant’s family no</w:t>
      </w:r>
      <w:r w:rsidR="00DE5576">
        <w:rPr>
          <w:snapToGrid w:val="0"/>
        </w:rPr>
        <w:t>r</w:t>
      </w:r>
      <w:r w:rsidR="000C3611">
        <w:rPr>
          <w:snapToGrid w:val="0"/>
        </w:rPr>
        <w:t xml:space="preserve"> his brother’s purported profile with LTTE would </w:t>
      </w:r>
      <w:r w:rsidR="00DE5576">
        <w:rPr>
          <w:snapToGrid w:val="0"/>
        </w:rPr>
        <w:t>draw</w:t>
      </w:r>
      <w:r w:rsidR="000C3611">
        <w:rPr>
          <w:snapToGrid w:val="0"/>
        </w:rPr>
        <w:t xml:space="preserve"> the complainant to the authorities</w:t>
      </w:r>
      <w:r w:rsidR="00DE5576">
        <w:rPr>
          <w:snapToGrid w:val="0"/>
        </w:rPr>
        <w:t>’ attention</w:t>
      </w:r>
      <w:r w:rsidR="000C3611">
        <w:rPr>
          <w:snapToGrid w:val="0"/>
        </w:rPr>
        <w:t xml:space="preserve"> 14 years after his brother’s death.</w:t>
      </w:r>
      <w:r w:rsidR="0050701A">
        <w:rPr>
          <w:snapToGrid w:val="0"/>
        </w:rPr>
        <w:t xml:space="preserve"> </w:t>
      </w:r>
    </w:p>
    <w:p w:rsidR="00DB4FD8" w:rsidRDefault="00DB4FD8" w:rsidP="00E008F8">
      <w:pPr>
        <w:pStyle w:val="SingleTxtG"/>
        <w:rPr>
          <w:snapToGrid w:val="0"/>
        </w:rPr>
      </w:pPr>
      <w:r>
        <w:rPr>
          <w:snapToGrid w:val="0"/>
        </w:rPr>
        <w:t>6.</w:t>
      </w:r>
      <w:r w:rsidR="002B6BD4">
        <w:rPr>
          <w:snapToGrid w:val="0"/>
        </w:rPr>
        <w:t>5</w:t>
      </w:r>
      <w:r>
        <w:rPr>
          <w:snapToGrid w:val="0"/>
        </w:rPr>
        <w:tab/>
        <w:t>Addressing the complainant’s allegation that he belong</w:t>
      </w:r>
      <w:r w:rsidR="00DE5576">
        <w:rPr>
          <w:snapToGrid w:val="0"/>
        </w:rPr>
        <w:t>ed</w:t>
      </w:r>
      <w:r>
        <w:rPr>
          <w:snapToGrid w:val="0"/>
        </w:rPr>
        <w:t xml:space="preserve"> to a vulnerable group under the UNCHR</w:t>
      </w:r>
      <w:r w:rsidR="00DE5576">
        <w:rPr>
          <w:snapToGrid w:val="0"/>
        </w:rPr>
        <w:t xml:space="preserve"> 2010 UNHCR Eligibility</w:t>
      </w:r>
      <w:r>
        <w:rPr>
          <w:snapToGrid w:val="0"/>
        </w:rPr>
        <w:t xml:space="preserve"> Guidelines </w:t>
      </w:r>
      <w:r w:rsidR="00DE5576">
        <w:rPr>
          <w:snapToGrid w:val="0"/>
        </w:rPr>
        <w:t xml:space="preserve">because he </w:t>
      </w:r>
      <w:r>
        <w:rPr>
          <w:snapToGrid w:val="0"/>
        </w:rPr>
        <w:t>supplie</w:t>
      </w:r>
      <w:r w:rsidR="00DE5576">
        <w:rPr>
          <w:snapToGrid w:val="0"/>
        </w:rPr>
        <w:t>d</w:t>
      </w:r>
      <w:r w:rsidR="00FC147B">
        <w:rPr>
          <w:snapToGrid w:val="0"/>
        </w:rPr>
        <w:t xml:space="preserve"> </w:t>
      </w:r>
      <w:r>
        <w:rPr>
          <w:snapToGrid w:val="0"/>
        </w:rPr>
        <w:t xml:space="preserve">uniforms </w:t>
      </w:r>
      <w:r w:rsidR="00DE5576">
        <w:rPr>
          <w:snapToGrid w:val="0"/>
        </w:rPr>
        <w:t>to</w:t>
      </w:r>
      <w:r>
        <w:rPr>
          <w:snapToGrid w:val="0"/>
        </w:rPr>
        <w:t xml:space="preserve"> LTTE, the State party refer</w:t>
      </w:r>
      <w:r w:rsidR="00DE5576">
        <w:rPr>
          <w:snapToGrid w:val="0"/>
        </w:rPr>
        <w:t>red</w:t>
      </w:r>
      <w:r>
        <w:rPr>
          <w:snapToGrid w:val="0"/>
        </w:rPr>
        <w:t xml:space="preserve"> to the finding of the </w:t>
      </w:r>
      <w:r w:rsidR="00162B93">
        <w:rPr>
          <w:snapToGrid w:val="0"/>
        </w:rPr>
        <w:t>r</w:t>
      </w:r>
      <w:r>
        <w:rPr>
          <w:snapToGrid w:val="0"/>
        </w:rPr>
        <w:t xml:space="preserve">eviewer that the complainant </w:t>
      </w:r>
      <w:r w:rsidR="00DE5576">
        <w:rPr>
          <w:snapToGrid w:val="0"/>
        </w:rPr>
        <w:t>did</w:t>
      </w:r>
      <w:r>
        <w:rPr>
          <w:snapToGrid w:val="0"/>
        </w:rPr>
        <w:t xml:space="preserve"> not s</w:t>
      </w:r>
      <w:r w:rsidR="00DE5576">
        <w:rPr>
          <w:snapToGrid w:val="0"/>
        </w:rPr>
        <w:t>e</w:t>
      </w:r>
      <w:r>
        <w:rPr>
          <w:snapToGrid w:val="0"/>
        </w:rPr>
        <w:t>w uniforms</w:t>
      </w:r>
      <w:r w:rsidR="00DE5576">
        <w:rPr>
          <w:snapToGrid w:val="0"/>
        </w:rPr>
        <w:t xml:space="preserve"> for LTTE</w:t>
      </w:r>
      <w:r>
        <w:rPr>
          <w:snapToGrid w:val="0"/>
        </w:rPr>
        <w:t xml:space="preserve">. Accepting that </w:t>
      </w:r>
      <w:r w:rsidR="00DE5576">
        <w:rPr>
          <w:snapToGrid w:val="0"/>
        </w:rPr>
        <w:t>t</w:t>
      </w:r>
      <w:r>
        <w:rPr>
          <w:snapToGrid w:val="0"/>
        </w:rPr>
        <w:t>he</w:t>
      </w:r>
      <w:r w:rsidR="00DE5576">
        <w:rPr>
          <w:snapToGrid w:val="0"/>
        </w:rPr>
        <w:t xml:space="preserve"> complainant</w:t>
      </w:r>
      <w:r>
        <w:rPr>
          <w:snapToGrid w:val="0"/>
        </w:rPr>
        <w:t xml:space="preserve"> might have s</w:t>
      </w:r>
      <w:r w:rsidR="00DE5576">
        <w:rPr>
          <w:snapToGrid w:val="0"/>
        </w:rPr>
        <w:t>e</w:t>
      </w:r>
      <w:r>
        <w:rPr>
          <w:snapToGrid w:val="0"/>
        </w:rPr>
        <w:t xml:space="preserve">wn civilian clothing for LTTE, the </w:t>
      </w:r>
      <w:r w:rsidR="00162B93">
        <w:rPr>
          <w:snapToGrid w:val="0"/>
        </w:rPr>
        <w:t>r</w:t>
      </w:r>
      <w:r>
        <w:rPr>
          <w:snapToGrid w:val="0"/>
        </w:rPr>
        <w:t>eviewe</w:t>
      </w:r>
      <w:r w:rsidR="00162B93">
        <w:rPr>
          <w:snapToGrid w:val="0"/>
        </w:rPr>
        <w:t>r</w:t>
      </w:r>
      <w:r>
        <w:rPr>
          <w:snapToGrid w:val="0"/>
        </w:rPr>
        <w:t xml:space="preserve"> concluded that this would not lead to </w:t>
      </w:r>
      <w:r w:rsidR="00DE5576">
        <w:rPr>
          <w:snapToGrid w:val="0"/>
        </w:rPr>
        <w:t>his</w:t>
      </w:r>
      <w:r>
        <w:rPr>
          <w:snapToGrid w:val="0"/>
        </w:rPr>
        <w:t xml:space="preserve"> being at risk of torture</w:t>
      </w:r>
      <w:r w:rsidR="00DE5576">
        <w:rPr>
          <w:snapToGrid w:val="0"/>
        </w:rPr>
        <w:t xml:space="preserve"> upon return to Sri Lanka</w:t>
      </w:r>
      <w:r>
        <w:rPr>
          <w:snapToGrid w:val="0"/>
        </w:rPr>
        <w:t>.</w:t>
      </w:r>
    </w:p>
    <w:p w:rsidR="00910707" w:rsidRDefault="008F4B84" w:rsidP="00E008F8">
      <w:pPr>
        <w:pStyle w:val="SingleTxtG"/>
        <w:rPr>
          <w:snapToGrid w:val="0"/>
        </w:rPr>
      </w:pPr>
      <w:r>
        <w:rPr>
          <w:snapToGrid w:val="0"/>
        </w:rPr>
        <w:t>6.</w:t>
      </w:r>
      <w:r w:rsidR="002B6BD4">
        <w:rPr>
          <w:snapToGrid w:val="0"/>
        </w:rPr>
        <w:t>6</w:t>
      </w:r>
      <w:r>
        <w:rPr>
          <w:snapToGrid w:val="0"/>
        </w:rPr>
        <w:tab/>
      </w:r>
      <w:r w:rsidR="0050701A">
        <w:rPr>
          <w:snapToGrid w:val="0"/>
        </w:rPr>
        <w:t>As for the new information regarding the complainant’s eldest brother</w:t>
      </w:r>
      <w:r w:rsidR="00250BD3">
        <w:rPr>
          <w:snapToGrid w:val="0"/>
        </w:rPr>
        <w:t xml:space="preserve"> being an LTTE intelligence officer, the State party considered it implausible that the complainant would raise claims regarding a member of the family who was suspected </w:t>
      </w:r>
      <w:r w:rsidR="00DE5576">
        <w:rPr>
          <w:snapToGrid w:val="0"/>
        </w:rPr>
        <w:t>of supporting</w:t>
      </w:r>
      <w:r w:rsidR="00250BD3">
        <w:rPr>
          <w:snapToGrid w:val="0"/>
        </w:rPr>
        <w:t xml:space="preserve"> LTTE, but not raise any claims in relation to a family member who was actually part of the </w:t>
      </w:r>
      <w:r w:rsidR="00DE5576">
        <w:rPr>
          <w:snapToGrid w:val="0"/>
        </w:rPr>
        <w:t xml:space="preserve">LTTE </w:t>
      </w:r>
      <w:r w:rsidR="00250BD3">
        <w:rPr>
          <w:snapToGrid w:val="0"/>
        </w:rPr>
        <w:t xml:space="preserve">intelligence unit </w:t>
      </w:r>
      <w:r w:rsidR="00DE5576">
        <w:rPr>
          <w:snapToGrid w:val="0"/>
        </w:rPr>
        <w:t>—</w:t>
      </w:r>
      <w:r w:rsidR="00250BD3">
        <w:rPr>
          <w:snapToGrid w:val="0"/>
        </w:rPr>
        <w:t xml:space="preserve"> a profile of significance in LTTE</w:t>
      </w:r>
      <w:r w:rsidR="00884E30">
        <w:rPr>
          <w:snapToGrid w:val="0"/>
        </w:rPr>
        <w:t xml:space="preserve"> </w:t>
      </w:r>
      <w:r w:rsidR="00DE5576">
        <w:rPr>
          <w:snapToGrid w:val="0"/>
        </w:rPr>
        <w:t>—</w:t>
      </w:r>
      <w:r w:rsidR="00FC147B">
        <w:rPr>
          <w:snapToGrid w:val="0"/>
        </w:rPr>
        <w:t xml:space="preserve"> </w:t>
      </w:r>
      <w:r w:rsidR="00884E30">
        <w:rPr>
          <w:snapToGrid w:val="0"/>
        </w:rPr>
        <w:t xml:space="preserve">and that such information would be provided </w:t>
      </w:r>
      <w:r w:rsidR="00250BD3">
        <w:rPr>
          <w:snapToGrid w:val="0"/>
        </w:rPr>
        <w:t xml:space="preserve">only after </w:t>
      </w:r>
      <w:r w:rsidR="002D0DCB">
        <w:rPr>
          <w:snapToGrid w:val="0"/>
        </w:rPr>
        <w:t xml:space="preserve">he had </w:t>
      </w:r>
      <w:r w:rsidR="00250BD3">
        <w:rPr>
          <w:snapToGrid w:val="0"/>
        </w:rPr>
        <w:t>exhaust</w:t>
      </w:r>
      <w:r w:rsidR="002D0DCB">
        <w:rPr>
          <w:snapToGrid w:val="0"/>
        </w:rPr>
        <w:t>ed</w:t>
      </w:r>
      <w:r w:rsidR="00250BD3">
        <w:rPr>
          <w:snapToGrid w:val="0"/>
        </w:rPr>
        <w:t xml:space="preserve"> all domestic remedies.</w:t>
      </w:r>
    </w:p>
    <w:p w:rsidR="008F4B84" w:rsidRPr="00DF23DE" w:rsidRDefault="008767E5" w:rsidP="00E008F8">
      <w:pPr>
        <w:pStyle w:val="SingleTxtG"/>
      </w:pPr>
      <w:r>
        <w:rPr>
          <w:snapToGrid w:val="0"/>
        </w:rPr>
        <w:t>6.</w:t>
      </w:r>
      <w:r w:rsidR="002B6BD4">
        <w:rPr>
          <w:snapToGrid w:val="0"/>
        </w:rPr>
        <w:t>7</w:t>
      </w:r>
      <w:r w:rsidR="008F4B84">
        <w:rPr>
          <w:snapToGrid w:val="0"/>
        </w:rPr>
        <w:tab/>
        <w:t>The State party refer</w:t>
      </w:r>
      <w:r w:rsidR="002D0DCB">
        <w:rPr>
          <w:snapToGrid w:val="0"/>
        </w:rPr>
        <w:t>red</w:t>
      </w:r>
      <w:r w:rsidR="008F4B84">
        <w:rPr>
          <w:snapToGrid w:val="0"/>
        </w:rPr>
        <w:t xml:space="preserve"> to </w:t>
      </w:r>
      <w:r w:rsidR="007A491A">
        <w:rPr>
          <w:snapToGrid w:val="0"/>
        </w:rPr>
        <w:t>recent</w:t>
      </w:r>
      <w:r w:rsidR="008F4B84">
        <w:rPr>
          <w:snapToGrid w:val="0"/>
        </w:rPr>
        <w:t xml:space="preserve"> country information </w:t>
      </w:r>
      <w:r w:rsidR="002D0DCB">
        <w:rPr>
          <w:snapToGrid w:val="0"/>
        </w:rPr>
        <w:t xml:space="preserve">from both </w:t>
      </w:r>
      <w:r w:rsidR="008E1F07">
        <w:rPr>
          <w:snapToGrid w:val="0"/>
        </w:rPr>
        <w:t>governmental</w:t>
      </w:r>
      <w:r w:rsidR="00FC147B">
        <w:rPr>
          <w:snapToGrid w:val="0"/>
        </w:rPr>
        <w:t xml:space="preserve"> and non-governmental sources</w:t>
      </w:r>
      <w:r w:rsidR="002D0DCB">
        <w:rPr>
          <w:snapToGrid w:val="0"/>
        </w:rPr>
        <w:t>,</w:t>
      </w:r>
      <w:r w:rsidR="008F4B84">
        <w:rPr>
          <w:rStyle w:val="FootnoteReference"/>
          <w:snapToGrid w:val="0"/>
        </w:rPr>
        <w:footnoteReference w:id="7"/>
      </w:r>
      <w:r w:rsidR="008F4B84">
        <w:rPr>
          <w:snapToGrid w:val="0"/>
        </w:rPr>
        <w:t xml:space="preserve"> </w:t>
      </w:r>
      <w:r w:rsidR="007A491A">
        <w:rPr>
          <w:snapToGrid w:val="0"/>
        </w:rPr>
        <w:t>according to which</w:t>
      </w:r>
      <w:r w:rsidR="002D0DCB">
        <w:rPr>
          <w:snapToGrid w:val="0"/>
        </w:rPr>
        <w:t>,</w:t>
      </w:r>
      <w:r w:rsidR="007A491A">
        <w:rPr>
          <w:snapToGrid w:val="0"/>
        </w:rPr>
        <w:t xml:space="preserve"> only Sri Lankan nationals with family links to </w:t>
      </w:r>
      <w:r w:rsidR="00FC147B">
        <w:rPr>
          <w:snapToGrid w:val="0"/>
        </w:rPr>
        <w:t xml:space="preserve">high profile </w:t>
      </w:r>
      <w:r w:rsidR="007A491A">
        <w:rPr>
          <w:snapToGrid w:val="0"/>
        </w:rPr>
        <w:t>LTTE sympathi</w:t>
      </w:r>
      <w:r w:rsidR="00BC1195">
        <w:rPr>
          <w:snapToGrid w:val="0"/>
        </w:rPr>
        <w:t>z</w:t>
      </w:r>
      <w:r w:rsidR="007A491A">
        <w:rPr>
          <w:snapToGrid w:val="0"/>
        </w:rPr>
        <w:t xml:space="preserve">ers might come to the authorities’ attention and be at risk of significant harm. The complainant </w:t>
      </w:r>
      <w:r w:rsidR="00BC1195">
        <w:rPr>
          <w:snapToGrid w:val="0"/>
        </w:rPr>
        <w:t>did</w:t>
      </w:r>
      <w:r w:rsidR="007A491A">
        <w:rPr>
          <w:snapToGrid w:val="0"/>
        </w:rPr>
        <w:t xml:space="preserve"> not provide</w:t>
      </w:r>
      <w:r w:rsidR="00BC1195">
        <w:rPr>
          <w:snapToGrid w:val="0"/>
        </w:rPr>
        <w:t xml:space="preserve"> the State party with</w:t>
      </w:r>
      <w:r w:rsidR="007A491A">
        <w:rPr>
          <w:snapToGrid w:val="0"/>
        </w:rPr>
        <w:t xml:space="preserve"> </w:t>
      </w:r>
      <w:r w:rsidR="00BC1195">
        <w:rPr>
          <w:snapToGrid w:val="0"/>
        </w:rPr>
        <w:t xml:space="preserve">any </w:t>
      </w:r>
      <w:r w:rsidR="007A491A">
        <w:rPr>
          <w:snapToGrid w:val="0"/>
        </w:rPr>
        <w:t>evidence that he ha</w:t>
      </w:r>
      <w:r w:rsidR="00BC1195">
        <w:rPr>
          <w:snapToGrid w:val="0"/>
        </w:rPr>
        <w:t>d</w:t>
      </w:r>
      <w:r w:rsidR="007A491A">
        <w:rPr>
          <w:snapToGrid w:val="0"/>
        </w:rPr>
        <w:t xml:space="preserve"> family links with a</w:t>
      </w:r>
      <w:r w:rsidR="00BC1195">
        <w:rPr>
          <w:snapToGrid w:val="0"/>
        </w:rPr>
        <w:t xml:space="preserve"> high-profile</w:t>
      </w:r>
      <w:r w:rsidR="007A491A">
        <w:rPr>
          <w:snapToGrid w:val="0"/>
        </w:rPr>
        <w:t xml:space="preserve"> LTTE member or suspected member that would </w:t>
      </w:r>
      <w:r w:rsidR="00BC1195">
        <w:rPr>
          <w:snapToGrid w:val="0"/>
        </w:rPr>
        <w:t>put him</w:t>
      </w:r>
      <w:r w:rsidR="007A491A">
        <w:rPr>
          <w:snapToGrid w:val="0"/>
        </w:rPr>
        <w:t xml:space="preserve"> in danger of being subjected to torture</w:t>
      </w:r>
      <w:r w:rsidR="00BC1195">
        <w:rPr>
          <w:snapToGrid w:val="0"/>
        </w:rPr>
        <w:t xml:space="preserve"> in Sri Lanka</w:t>
      </w:r>
      <w:r w:rsidR="007A491A">
        <w:rPr>
          <w:snapToGrid w:val="0"/>
        </w:rPr>
        <w:t>.</w:t>
      </w:r>
    </w:p>
    <w:p w:rsidR="00CB6AEA" w:rsidRPr="00DF23DE" w:rsidRDefault="00775D23" w:rsidP="00240CD4">
      <w:pPr>
        <w:pStyle w:val="H23G"/>
        <w:rPr>
          <w:rFonts w:eastAsia="Cambria"/>
          <w:snapToGrid w:val="0"/>
        </w:rPr>
      </w:pPr>
      <w:r w:rsidRPr="00DF23DE">
        <w:rPr>
          <w:snapToGrid w:val="0"/>
        </w:rPr>
        <w:tab/>
      </w:r>
      <w:r w:rsidRPr="00DF23DE">
        <w:rPr>
          <w:snapToGrid w:val="0"/>
        </w:rPr>
        <w:tab/>
      </w:r>
      <w:r w:rsidR="00CB6AEA" w:rsidRPr="00B935C0">
        <w:rPr>
          <w:rFonts w:eastAsia="Cambria"/>
          <w:snapToGrid w:val="0"/>
        </w:rPr>
        <w:t>Issues and</w:t>
      </w:r>
      <w:r w:rsidR="00CB6AEA" w:rsidRPr="00DF23DE">
        <w:rPr>
          <w:rFonts w:eastAsia="Cambria"/>
          <w:snapToGrid w:val="0"/>
        </w:rPr>
        <w:t xml:space="preserve"> proceedings before the Committee</w:t>
      </w:r>
    </w:p>
    <w:p w:rsidR="00C31926" w:rsidRPr="00DF23DE" w:rsidRDefault="00D91B02" w:rsidP="00240CD4">
      <w:pPr>
        <w:pStyle w:val="H4G"/>
        <w:rPr>
          <w:rFonts w:eastAsia="Cambria"/>
          <w:snapToGrid w:val="0"/>
        </w:rPr>
      </w:pPr>
      <w:r w:rsidRPr="00DF23DE">
        <w:tab/>
      </w:r>
      <w:r w:rsidR="002E38E2">
        <w:tab/>
      </w:r>
      <w:r w:rsidR="00C31926" w:rsidRPr="00DF23DE">
        <w:rPr>
          <w:rFonts w:eastAsia="Calibri"/>
          <w:kern w:val="3"/>
          <w:lang w:eastAsia="zh-CN"/>
        </w:rPr>
        <w:t>Consideration of admissibility</w:t>
      </w:r>
      <w:r w:rsidR="00C31926" w:rsidRPr="00DF23DE">
        <w:rPr>
          <w:rFonts w:eastAsia="Cambria"/>
          <w:snapToGrid w:val="0"/>
        </w:rPr>
        <w:t xml:space="preserve"> </w:t>
      </w:r>
    </w:p>
    <w:p w:rsidR="00C31926" w:rsidRPr="00DF23DE" w:rsidRDefault="0030538D" w:rsidP="00597408">
      <w:pPr>
        <w:pStyle w:val="SingleTxtG"/>
        <w:rPr>
          <w:lang w:eastAsia="zh-CN"/>
        </w:rPr>
      </w:pPr>
      <w:r>
        <w:rPr>
          <w:rFonts w:eastAsia="Cambria"/>
          <w:snapToGrid w:val="0"/>
        </w:rPr>
        <w:t>7</w:t>
      </w:r>
      <w:r w:rsidR="00C31926" w:rsidRPr="00DF23DE">
        <w:rPr>
          <w:rFonts w:eastAsia="Cambria"/>
          <w:snapToGrid w:val="0"/>
        </w:rPr>
        <w:t>.1</w:t>
      </w:r>
      <w:r w:rsidR="00C31926" w:rsidRPr="00DF23DE">
        <w:rPr>
          <w:rFonts w:eastAsia="Cambria"/>
          <w:i/>
          <w:snapToGrid w:val="0"/>
        </w:rPr>
        <w:tab/>
      </w:r>
      <w:r w:rsidR="00C31926" w:rsidRPr="00DF23DE">
        <w:rPr>
          <w:lang w:eastAsia="zh-CN"/>
        </w:rPr>
        <w:t xml:space="preserve">Before considering any complaint submitted in a communication, the Committee must decide whether it is admissible under article 22 of the Convention. The Committee has ascertained, as </w:t>
      </w:r>
      <w:r w:rsidR="00597408">
        <w:rPr>
          <w:lang w:eastAsia="zh-CN"/>
        </w:rPr>
        <w:t xml:space="preserve">it is </w:t>
      </w:r>
      <w:r w:rsidR="00C31926" w:rsidRPr="00DF23DE">
        <w:rPr>
          <w:lang w:eastAsia="zh-CN"/>
        </w:rPr>
        <w:t>required</w:t>
      </w:r>
      <w:r w:rsidR="00597408">
        <w:rPr>
          <w:lang w:eastAsia="zh-CN"/>
        </w:rPr>
        <w:t xml:space="preserve"> to do </w:t>
      </w:r>
      <w:r w:rsidR="00C31926" w:rsidRPr="00DF23DE">
        <w:rPr>
          <w:lang w:eastAsia="zh-CN"/>
        </w:rPr>
        <w:t>under article 22</w:t>
      </w:r>
      <w:r w:rsidR="00FF6EB6" w:rsidRPr="00DF23DE">
        <w:rPr>
          <w:lang w:eastAsia="zh-CN"/>
        </w:rPr>
        <w:t xml:space="preserve"> (5) (a)</w:t>
      </w:r>
      <w:r w:rsidR="00C31926" w:rsidRPr="00DF23DE">
        <w:rPr>
          <w:lang w:eastAsia="zh-CN"/>
        </w:rPr>
        <w:t xml:space="preserve"> of the Convention, that the same matter has not been and is not being examined under another procedure of international investigation or settlement. </w:t>
      </w:r>
    </w:p>
    <w:p w:rsidR="00C31926" w:rsidRDefault="008767E5" w:rsidP="00CA410D">
      <w:pPr>
        <w:pStyle w:val="SingleTxtG"/>
      </w:pPr>
      <w:r>
        <w:rPr>
          <w:lang w:eastAsia="zh-CN"/>
        </w:rPr>
        <w:t>7</w:t>
      </w:r>
      <w:r w:rsidR="00C31926" w:rsidRPr="00DF23DE">
        <w:rPr>
          <w:lang w:eastAsia="zh-CN"/>
        </w:rPr>
        <w:t>.</w:t>
      </w:r>
      <w:r w:rsidR="00456837">
        <w:rPr>
          <w:lang w:eastAsia="zh-CN"/>
        </w:rPr>
        <w:t>2</w:t>
      </w:r>
      <w:r w:rsidR="002B6BD4">
        <w:rPr>
          <w:lang w:eastAsia="zh-CN"/>
        </w:rPr>
        <w:t xml:space="preserve"> </w:t>
      </w:r>
      <w:r w:rsidR="00A3259A">
        <w:rPr>
          <w:color w:val="FF0000"/>
          <w:lang w:eastAsia="zh-CN"/>
        </w:rPr>
        <w:tab/>
      </w:r>
      <w:r w:rsidR="00A3259A" w:rsidRPr="00EC7ABC">
        <w:rPr>
          <w:kern w:val="3"/>
          <w:lang w:eastAsia="zh-CN"/>
        </w:rPr>
        <w:t>The Committee recalls that,</w:t>
      </w:r>
      <w:r w:rsidR="00A3259A">
        <w:rPr>
          <w:kern w:val="3"/>
          <w:lang w:eastAsia="zh-CN"/>
        </w:rPr>
        <w:t xml:space="preserve"> in accordance with article 22 (</w:t>
      </w:r>
      <w:r w:rsidR="00A3259A" w:rsidRPr="00EC7ABC">
        <w:rPr>
          <w:kern w:val="3"/>
          <w:lang w:eastAsia="zh-CN"/>
        </w:rPr>
        <w:t>5</w:t>
      </w:r>
      <w:r w:rsidR="00A3259A">
        <w:rPr>
          <w:kern w:val="3"/>
          <w:lang w:eastAsia="zh-CN"/>
        </w:rPr>
        <w:t>)</w:t>
      </w:r>
      <w:r w:rsidR="00A3259A" w:rsidRPr="00EC7ABC">
        <w:rPr>
          <w:kern w:val="3"/>
          <w:lang w:eastAsia="zh-CN"/>
        </w:rPr>
        <w:t xml:space="preserve"> (b)</w:t>
      </w:r>
      <w:r w:rsidR="00A3259A">
        <w:rPr>
          <w:kern w:val="3"/>
          <w:lang w:eastAsia="zh-CN"/>
        </w:rPr>
        <w:t>,</w:t>
      </w:r>
      <w:r w:rsidR="00A3259A" w:rsidRPr="00EC7ABC">
        <w:rPr>
          <w:kern w:val="3"/>
          <w:lang w:eastAsia="zh-CN"/>
        </w:rPr>
        <w:t xml:space="preserve"> of the Convention, it shall not consider any </w:t>
      </w:r>
      <w:r w:rsidR="00A3259A">
        <w:rPr>
          <w:kern w:val="3"/>
          <w:lang w:eastAsia="zh-CN"/>
        </w:rPr>
        <w:t xml:space="preserve">complaint </w:t>
      </w:r>
      <w:r w:rsidR="00A3259A" w:rsidRPr="00EC7ABC">
        <w:rPr>
          <w:kern w:val="3"/>
          <w:lang w:eastAsia="zh-CN"/>
        </w:rPr>
        <w:t xml:space="preserve">unless it has ascertained that </w:t>
      </w:r>
      <w:r w:rsidR="00CA410D">
        <w:rPr>
          <w:kern w:val="3"/>
          <w:lang w:eastAsia="zh-CN"/>
        </w:rPr>
        <w:t xml:space="preserve">the complainant has exhausted </w:t>
      </w:r>
      <w:r w:rsidR="00A3259A" w:rsidRPr="00EC7ABC">
        <w:rPr>
          <w:kern w:val="3"/>
          <w:lang w:eastAsia="zh-CN"/>
        </w:rPr>
        <w:t xml:space="preserve">all available domestic remedies. The Committee notes that, in the present case, the State party </w:t>
      </w:r>
      <w:r w:rsidR="00A3259A">
        <w:rPr>
          <w:kern w:val="3"/>
          <w:lang w:eastAsia="zh-CN"/>
        </w:rPr>
        <w:t>has not challenged the admissibility of the complaint on th</w:t>
      </w:r>
      <w:r w:rsidR="00CA410D">
        <w:rPr>
          <w:kern w:val="3"/>
          <w:lang w:eastAsia="zh-CN"/>
        </w:rPr>
        <w:t>ese</w:t>
      </w:r>
      <w:r w:rsidR="00A3259A">
        <w:rPr>
          <w:kern w:val="3"/>
          <w:lang w:eastAsia="zh-CN"/>
        </w:rPr>
        <w:t xml:space="preserve"> ground</w:t>
      </w:r>
      <w:r w:rsidR="00CA410D">
        <w:rPr>
          <w:kern w:val="3"/>
          <w:lang w:eastAsia="zh-CN"/>
        </w:rPr>
        <w:t>s</w:t>
      </w:r>
      <w:r w:rsidR="00A3259A" w:rsidRPr="005700FF">
        <w:rPr>
          <w:kern w:val="3"/>
          <w:lang w:eastAsia="zh-CN"/>
        </w:rPr>
        <w:t>.</w:t>
      </w:r>
      <w:r w:rsidR="00264EB1" w:rsidRPr="00DF23DE">
        <w:t xml:space="preserve"> </w:t>
      </w:r>
    </w:p>
    <w:p w:rsidR="00AB5682" w:rsidRDefault="008436C6" w:rsidP="00AB5682">
      <w:pPr>
        <w:pStyle w:val="SingleTxtG"/>
        <w:rPr>
          <w:kern w:val="3"/>
          <w:lang w:eastAsia="zh-CN"/>
        </w:rPr>
      </w:pPr>
      <w:r w:rsidRPr="008436C6">
        <w:t>7.3</w:t>
      </w:r>
      <w:r w:rsidR="008F3F70">
        <w:t xml:space="preserve"> </w:t>
      </w:r>
      <w:r w:rsidR="008F3F70">
        <w:tab/>
      </w:r>
      <w:r w:rsidR="00FC147B">
        <w:t xml:space="preserve">The complainant has claimed that his forcible removal to Sri Lanka would amount to a violation, by the State party, of article 3 of the Convention. </w:t>
      </w:r>
      <w:r w:rsidR="00A3259A">
        <w:rPr>
          <w:lang w:eastAsia="zh-CN"/>
        </w:rPr>
        <w:t>The Committee takes note o</w:t>
      </w:r>
      <w:r w:rsidR="00A3259A">
        <w:t xml:space="preserve">f the State party’s submission that the complainant failed to establish a prima facie </w:t>
      </w:r>
      <w:r w:rsidR="00B935C0">
        <w:t>case</w:t>
      </w:r>
      <w:r w:rsidR="00AB5682">
        <w:t>;</w:t>
      </w:r>
      <w:r w:rsidR="00A3259A" w:rsidRPr="00DF23DE">
        <w:t xml:space="preserve"> </w:t>
      </w:r>
      <w:r w:rsidR="00A3259A">
        <w:t>however</w:t>
      </w:r>
      <w:r w:rsidR="00AB5682">
        <w:t>, it</w:t>
      </w:r>
      <w:r w:rsidR="00A3259A">
        <w:t xml:space="preserve"> </w:t>
      </w:r>
      <w:r w:rsidR="00AB5682">
        <w:t>considers</w:t>
      </w:r>
      <w:r w:rsidR="00A3259A">
        <w:t xml:space="preserve"> that the claims submitted by the </w:t>
      </w:r>
      <w:r w:rsidR="00FC147B">
        <w:t>complainant</w:t>
      </w:r>
      <w:r w:rsidR="00A3259A">
        <w:t xml:space="preserve"> </w:t>
      </w:r>
      <w:r w:rsidR="00A3259A">
        <w:rPr>
          <w:kern w:val="3"/>
          <w:lang w:eastAsia="zh-CN"/>
        </w:rPr>
        <w:t xml:space="preserve">are closely related to the merits of the </w:t>
      </w:r>
      <w:r w:rsidR="00AB5682">
        <w:rPr>
          <w:kern w:val="3"/>
          <w:lang w:eastAsia="zh-CN"/>
        </w:rPr>
        <w:t>communication</w:t>
      </w:r>
      <w:r w:rsidR="00A3259A">
        <w:rPr>
          <w:kern w:val="3"/>
          <w:lang w:eastAsia="zh-CN"/>
        </w:rPr>
        <w:t xml:space="preserve"> and </w:t>
      </w:r>
      <w:r w:rsidR="00AB5682">
        <w:rPr>
          <w:kern w:val="3"/>
          <w:lang w:eastAsia="zh-CN"/>
        </w:rPr>
        <w:t xml:space="preserve">should be considered at that stage. </w:t>
      </w:r>
    </w:p>
    <w:p w:rsidR="00A3259A" w:rsidRDefault="00AB5682" w:rsidP="00937322">
      <w:pPr>
        <w:pStyle w:val="SingleTxtG"/>
      </w:pPr>
      <w:r>
        <w:rPr>
          <w:kern w:val="3"/>
          <w:lang w:eastAsia="zh-CN"/>
        </w:rPr>
        <w:t>7.4</w:t>
      </w:r>
      <w:r>
        <w:rPr>
          <w:kern w:val="3"/>
          <w:lang w:eastAsia="zh-CN"/>
        </w:rPr>
        <w:tab/>
      </w:r>
      <w:r w:rsidR="00A3259A" w:rsidRPr="00DF23DE">
        <w:t xml:space="preserve">As the Committee finds no further obstacles to admissibility, it declares the communication admissible </w:t>
      </w:r>
      <w:r w:rsidR="00FC147B">
        <w:t xml:space="preserve">under article 3 of the Convention </w:t>
      </w:r>
      <w:r w:rsidR="00A3259A" w:rsidRPr="00DF23DE">
        <w:t xml:space="preserve">and proceeds with its </w:t>
      </w:r>
      <w:r w:rsidR="00A3259A">
        <w:t>consideration o</w:t>
      </w:r>
      <w:r w:rsidR="00937322">
        <w:t>f</w:t>
      </w:r>
      <w:r w:rsidR="00A3259A" w:rsidRPr="00DF23DE">
        <w:t xml:space="preserve"> the merits.</w:t>
      </w:r>
    </w:p>
    <w:p w:rsidR="00CB6AEA" w:rsidRPr="005E4862" w:rsidRDefault="008436C6" w:rsidP="008436C6">
      <w:pPr>
        <w:pStyle w:val="H4G"/>
        <w:ind w:left="0" w:firstLine="0"/>
        <w:rPr>
          <w:rFonts w:eastAsia="Cambria"/>
        </w:rPr>
      </w:pPr>
      <w:r>
        <w:rPr>
          <w:i w:val="0"/>
        </w:rPr>
        <w:tab/>
      </w:r>
      <w:r>
        <w:rPr>
          <w:i w:val="0"/>
        </w:rPr>
        <w:tab/>
      </w:r>
      <w:r w:rsidR="00CB6AEA" w:rsidRPr="00DF23DE">
        <w:rPr>
          <w:rFonts w:eastAsia="Cambria"/>
          <w:snapToGrid w:val="0"/>
        </w:rPr>
        <w:t>Consideration of the merits</w:t>
      </w:r>
    </w:p>
    <w:p w:rsidR="00CB6AEA" w:rsidRPr="005E4862" w:rsidRDefault="00421C7A" w:rsidP="00F15518">
      <w:pPr>
        <w:pStyle w:val="SingleTxtG"/>
        <w:rPr>
          <w:rFonts w:eastAsia="Cambria"/>
        </w:rPr>
      </w:pPr>
      <w:r>
        <w:rPr>
          <w:rFonts w:eastAsia="Cambria"/>
          <w:snapToGrid w:val="0"/>
        </w:rPr>
        <w:t>8</w:t>
      </w:r>
      <w:r w:rsidR="00CB6AEA" w:rsidRPr="00DF23DE">
        <w:rPr>
          <w:rFonts w:eastAsia="Cambria"/>
          <w:snapToGrid w:val="0"/>
        </w:rPr>
        <w:t>.1</w:t>
      </w:r>
      <w:r w:rsidR="00CB6AEA" w:rsidRPr="00DF23DE">
        <w:rPr>
          <w:rFonts w:eastAsia="Cambria"/>
          <w:snapToGrid w:val="0"/>
        </w:rPr>
        <w:tab/>
        <w:t>The Committee has considered the communication in the light of all the information made available to it by the parties, in accordance with article 22</w:t>
      </w:r>
      <w:r w:rsidR="007C3033" w:rsidRPr="00DF23DE">
        <w:rPr>
          <w:rFonts w:eastAsia="Cambria"/>
          <w:snapToGrid w:val="0"/>
        </w:rPr>
        <w:t xml:space="preserve"> (</w:t>
      </w:r>
      <w:r w:rsidR="00CB6AEA" w:rsidRPr="00DF23DE">
        <w:rPr>
          <w:rFonts w:eastAsia="Cambria"/>
          <w:snapToGrid w:val="0"/>
        </w:rPr>
        <w:t>4</w:t>
      </w:r>
      <w:r w:rsidR="007C3033" w:rsidRPr="00DF23DE">
        <w:rPr>
          <w:rFonts w:eastAsia="Cambria"/>
          <w:snapToGrid w:val="0"/>
        </w:rPr>
        <w:t>)</w:t>
      </w:r>
      <w:r w:rsidR="00CB6AEA" w:rsidRPr="00DF23DE">
        <w:rPr>
          <w:rFonts w:eastAsia="Cambria"/>
          <w:snapToGrid w:val="0"/>
        </w:rPr>
        <w:t xml:space="preserve"> of the Convention.</w:t>
      </w:r>
    </w:p>
    <w:p w:rsidR="00CB6AEA" w:rsidRPr="00DF23DE" w:rsidRDefault="00421C7A" w:rsidP="00F15518">
      <w:pPr>
        <w:pStyle w:val="SingleTxtG"/>
      </w:pPr>
      <w:r>
        <w:rPr>
          <w:rFonts w:eastAsia="Cambria"/>
        </w:rPr>
        <w:t>8</w:t>
      </w:r>
      <w:r w:rsidR="00CB6AEA" w:rsidRPr="00DF23DE">
        <w:rPr>
          <w:rFonts w:eastAsia="Cambria"/>
        </w:rPr>
        <w:t>.2</w:t>
      </w:r>
      <w:r w:rsidR="00CB6AEA" w:rsidRPr="00DF23DE">
        <w:rPr>
          <w:rFonts w:eastAsia="Cambria"/>
        </w:rPr>
        <w:tab/>
      </w:r>
      <w:r w:rsidR="00AF0E54" w:rsidRPr="00015B99">
        <w:t xml:space="preserve">In the present case, the issue before the Committee is whether the </w:t>
      </w:r>
      <w:r w:rsidR="00AF0E54">
        <w:t>return</w:t>
      </w:r>
      <w:r w:rsidR="00AF0E54" w:rsidRPr="00015B99">
        <w:t xml:space="preserve"> of the complainant to Sri Lanka would constitute a violation</w:t>
      </w:r>
      <w:r w:rsidR="00AF0E54">
        <w:t xml:space="preserve"> of </w:t>
      </w:r>
      <w:r w:rsidR="00AF0E54" w:rsidRPr="00015B99">
        <w:t>the State party</w:t>
      </w:r>
      <w:r w:rsidR="00AF0E54">
        <w:t>’s</w:t>
      </w:r>
      <w:r w:rsidR="00AF0E54" w:rsidRPr="00015B99">
        <w:t xml:space="preserve"> obligation under article 3 of the Convention not to expel or to return (</w:t>
      </w:r>
      <w:r w:rsidR="00AF0E54">
        <w:t>“</w:t>
      </w:r>
      <w:proofErr w:type="spellStart"/>
      <w:r w:rsidR="00AF0E54" w:rsidRPr="00015B99">
        <w:t>refouler</w:t>
      </w:r>
      <w:proofErr w:type="spellEnd"/>
      <w:r w:rsidR="00AF0E54">
        <w:t>”</w:t>
      </w:r>
      <w:r w:rsidR="00AF0E54" w:rsidRPr="00015B99">
        <w:t>) a person to another State where there are substantial grounds for believing that he or she would be in danger of being subjected to torture.</w:t>
      </w:r>
    </w:p>
    <w:p w:rsidR="00CB6AEA" w:rsidRDefault="00421C7A" w:rsidP="00F15518">
      <w:pPr>
        <w:pStyle w:val="SingleTxtG"/>
      </w:pPr>
      <w:r>
        <w:rPr>
          <w:rFonts w:eastAsia="Cambria"/>
          <w:snapToGrid w:val="0"/>
        </w:rPr>
        <w:t>8</w:t>
      </w:r>
      <w:r w:rsidR="00BA07E1">
        <w:rPr>
          <w:rFonts w:eastAsia="Cambria"/>
          <w:snapToGrid w:val="0"/>
        </w:rPr>
        <w:t>.3</w:t>
      </w:r>
      <w:r w:rsidR="00BA07E1">
        <w:rPr>
          <w:rFonts w:eastAsia="Cambria"/>
          <w:snapToGrid w:val="0"/>
        </w:rPr>
        <w:tab/>
      </w:r>
      <w:r w:rsidR="00AF0E54" w:rsidRPr="00015B99">
        <w:t xml:space="preserve">The Committee must evaluate whether there are substantial grounds for believing that the complainant would be personally in danger of being subjected to torture upon return to </w:t>
      </w:r>
      <w:r w:rsidR="00AF0E54">
        <w:t>Sri Lanka</w:t>
      </w:r>
      <w:r w:rsidR="00AF0E54" w:rsidRPr="00015B99">
        <w:t>. In assessing that risk, the Committee must take into account all relevant considerations, pursuant to article 3</w:t>
      </w:r>
      <w:r w:rsidR="00AF0E54">
        <w:t xml:space="preserve"> (</w:t>
      </w:r>
      <w:r w:rsidR="00AF0E54" w:rsidRPr="00015B99">
        <w:t>2</w:t>
      </w:r>
      <w:r w:rsidR="00AF0E54">
        <w:t>)</w:t>
      </w:r>
      <w:r w:rsidR="00AF0E54" w:rsidRPr="00015B99">
        <w:t xml:space="preserve"> of the Convention, including the existence of a consistent pattern of gross, flagrant or mass violations of human rights. However, </w:t>
      </w:r>
      <w:r w:rsidR="00AF0E54">
        <w:t xml:space="preserve">the Committee recalls that </w:t>
      </w:r>
      <w:r w:rsidR="00AF0E54" w:rsidRPr="00015B99">
        <w:t>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AF0E54">
        <w:t>.</w:t>
      </w:r>
      <w:r w:rsidR="00AF0E54">
        <w:rPr>
          <w:rStyle w:val="FootnoteReference"/>
        </w:rPr>
        <w:footnoteReference w:id="8"/>
      </w:r>
    </w:p>
    <w:p w:rsidR="00AF0E54" w:rsidRDefault="00AF0E54" w:rsidP="00F15518">
      <w:pPr>
        <w:pStyle w:val="SingleTxtG"/>
        <w:rPr>
          <w:spacing w:val="4"/>
          <w:w w:val="103"/>
          <w:kern w:val="14"/>
        </w:rPr>
      </w:pPr>
      <w:r>
        <w:t>8.4</w:t>
      </w:r>
      <w:r>
        <w:tab/>
      </w:r>
      <w:r w:rsidRPr="00015B99">
        <w:rPr>
          <w:w w:val="103"/>
        </w:rPr>
        <w:t>The Committee recalls its general comment No. 1 (1997) on the implementation of article 3</w:t>
      </w:r>
      <w:r>
        <w:rPr>
          <w:w w:val="103"/>
        </w:rPr>
        <w:t xml:space="preserve"> of the Convention</w:t>
      </w:r>
      <w:r w:rsidRPr="007F4384">
        <w:rPr>
          <w:w w:val="103"/>
        </w:rPr>
        <w:t>, according to</w:t>
      </w:r>
      <w:r w:rsidRPr="00015B99">
        <w:rPr>
          <w:w w:val="103"/>
        </w:rPr>
        <w:t xml:space="preserve"> which the risk of torture must be assessed on grounds that go beyond mere theory or suspicion. While the risk does not have to meet the test of being highly probable</w:t>
      </w:r>
      <w:r>
        <w:rPr>
          <w:w w:val="103"/>
        </w:rPr>
        <w:t xml:space="preserve"> (para. 6),</w:t>
      </w:r>
      <w:r w:rsidR="002B6BD4">
        <w:rPr>
          <w:rStyle w:val="FootnoteReference"/>
          <w:w w:val="103"/>
        </w:rPr>
        <w:t xml:space="preserve"> </w:t>
      </w:r>
      <w:r w:rsidRPr="00015B99">
        <w:rPr>
          <w:w w:val="103"/>
        </w:rPr>
        <w:t>the Committee recalls that the burden of proof generally falls on the complainant, who must present an arguable case that he or she faces a foreseeable, real and personal risk</w:t>
      </w:r>
      <w:r>
        <w:rPr>
          <w:w w:val="103"/>
        </w:rPr>
        <w:t>.</w:t>
      </w:r>
      <w:r>
        <w:rPr>
          <w:rStyle w:val="FootnoteReference"/>
          <w:w w:val="103"/>
        </w:rPr>
        <w:footnoteReference w:id="9"/>
      </w:r>
      <w:r w:rsidRPr="00015B99">
        <w:rPr>
          <w:w w:val="103"/>
        </w:rPr>
        <w:t xml:space="preserve"> </w:t>
      </w:r>
      <w:r>
        <w:rPr>
          <w:w w:val="103"/>
        </w:rPr>
        <w:t>Although,</w:t>
      </w:r>
      <w:r w:rsidRPr="00015B99">
        <w:rPr>
          <w:w w:val="103"/>
        </w:rPr>
        <w:t xml:space="preserve"> under the terms of its general comment</w:t>
      </w:r>
      <w:r>
        <w:rPr>
          <w:w w:val="103"/>
        </w:rPr>
        <w:t xml:space="preserve"> No.</w:t>
      </w:r>
      <w:r w:rsidR="00466DC6">
        <w:rPr>
          <w:w w:val="103"/>
        </w:rPr>
        <w:t> </w:t>
      </w:r>
      <w:r>
        <w:rPr>
          <w:w w:val="103"/>
        </w:rPr>
        <w:t>1,</w:t>
      </w:r>
      <w:r w:rsidRPr="00015B99">
        <w:rPr>
          <w:w w:val="103"/>
        </w:rPr>
        <w:t xml:space="preserve"> the Committee is free to assess the facts on the basis of the full set of circumstances in </w:t>
      </w:r>
      <w:r w:rsidRPr="001F7D63">
        <w:rPr>
          <w:w w:val="103"/>
        </w:rPr>
        <w:t xml:space="preserve">every case, </w:t>
      </w:r>
      <w:r w:rsidRPr="001F7D63">
        <w:rPr>
          <w:spacing w:val="4"/>
          <w:w w:val="103"/>
          <w:kern w:val="14"/>
        </w:rPr>
        <w:t>considerable weight is given to the findings of fact that are made by organs of the State party concerned (para. 9)</w:t>
      </w:r>
      <w:r>
        <w:rPr>
          <w:spacing w:val="4"/>
          <w:w w:val="103"/>
          <w:kern w:val="14"/>
        </w:rPr>
        <w:t>.</w:t>
      </w:r>
      <w:r>
        <w:rPr>
          <w:rStyle w:val="FootnoteReference"/>
          <w:spacing w:val="4"/>
          <w:w w:val="103"/>
          <w:kern w:val="14"/>
        </w:rPr>
        <w:footnoteReference w:id="10"/>
      </w:r>
    </w:p>
    <w:p w:rsidR="00AF0E54" w:rsidRDefault="00AF0E54" w:rsidP="00FB0136">
      <w:pPr>
        <w:pStyle w:val="SingleTxtG"/>
        <w:rPr>
          <w:bCs/>
        </w:rPr>
      </w:pPr>
      <w:r>
        <w:rPr>
          <w:spacing w:val="4"/>
          <w:w w:val="103"/>
          <w:kern w:val="14"/>
        </w:rPr>
        <w:t>8.5</w:t>
      </w:r>
      <w:r>
        <w:rPr>
          <w:spacing w:val="4"/>
          <w:w w:val="103"/>
          <w:kern w:val="14"/>
        </w:rPr>
        <w:tab/>
      </w:r>
      <w:r w:rsidR="001F7D63">
        <w:rPr>
          <w:spacing w:val="4"/>
          <w:w w:val="103"/>
          <w:kern w:val="14"/>
        </w:rPr>
        <w:t>The Committee notes</w:t>
      </w:r>
      <w:r w:rsidR="00063E48">
        <w:rPr>
          <w:spacing w:val="4"/>
          <w:w w:val="103"/>
          <w:kern w:val="14"/>
        </w:rPr>
        <w:t xml:space="preserve"> the complainant</w:t>
      </w:r>
      <w:r w:rsidR="001F7D63">
        <w:rPr>
          <w:spacing w:val="4"/>
          <w:w w:val="103"/>
          <w:kern w:val="14"/>
        </w:rPr>
        <w:t>’s</w:t>
      </w:r>
      <w:r w:rsidR="00063E48">
        <w:rPr>
          <w:spacing w:val="4"/>
          <w:w w:val="103"/>
          <w:kern w:val="14"/>
        </w:rPr>
        <w:t xml:space="preserve"> claims that he will be detained and tortured if returned to Sri Lanka as a failed asylum seeker and </w:t>
      </w:r>
      <w:r w:rsidR="001F7D63">
        <w:rPr>
          <w:spacing w:val="4"/>
          <w:w w:val="103"/>
          <w:kern w:val="14"/>
        </w:rPr>
        <w:t>owing</w:t>
      </w:r>
      <w:r w:rsidR="00063E48">
        <w:rPr>
          <w:spacing w:val="4"/>
          <w:w w:val="103"/>
          <w:kern w:val="14"/>
        </w:rPr>
        <w:t xml:space="preserve"> to his and his </w:t>
      </w:r>
      <w:r w:rsidR="004424C1">
        <w:rPr>
          <w:spacing w:val="4"/>
          <w:w w:val="103"/>
          <w:kern w:val="14"/>
        </w:rPr>
        <w:t>relatives’</w:t>
      </w:r>
      <w:r w:rsidR="00063E48">
        <w:rPr>
          <w:spacing w:val="4"/>
          <w:w w:val="103"/>
          <w:kern w:val="14"/>
        </w:rPr>
        <w:t xml:space="preserve"> association with LTTE. </w:t>
      </w:r>
      <w:r w:rsidR="00063E48" w:rsidRPr="00FA2CC3">
        <w:rPr>
          <w:bCs/>
        </w:rPr>
        <w:t xml:space="preserve">The Committee </w:t>
      </w:r>
      <w:r w:rsidR="00FB0136">
        <w:rPr>
          <w:bCs/>
        </w:rPr>
        <w:t>also</w:t>
      </w:r>
      <w:r w:rsidR="00063E48" w:rsidRPr="00FA2CC3">
        <w:rPr>
          <w:bCs/>
        </w:rPr>
        <w:t xml:space="preserve"> note</w:t>
      </w:r>
      <w:r w:rsidR="00FB0136">
        <w:rPr>
          <w:bCs/>
        </w:rPr>
        <w:t>s</w:t>
      </w:r>
      <w:r w:rsidR="00063E48" w:rsidRPr="00FA2CC3">
        <w:rPr>
          <w:bCs/>
        </w:rPr>
        <w:t xml:space="preserve"> the State party’s submission that</w:t>
      </w:r>
      <w:r w:rsidR="00063E48">
        <w:rPr>
          <w:bCs/>
        </w:rPr>
        <w:t xml:space="preserve"> </w:t>
      </w:r>
      <w:r w:rsidR="00063E48" w:rsidRPr="00FA2CC3">
        <w:rPr>
          <w:bCs/>
        </w:rPr>
        <w:t xml:space="preserve">the complainant </w:t>
      </w:r>
      <w:r w:rsidR="00063E48">
        <w:rPr>
          <w:bCs/>
        </w:rPr>
        <w:t xml:space="preserve">failed to establish a prima facie case for the purposes of admissibility, </w:t>
      </w:r>
      <w:r w:rsidR="00FB0136">
        <w:rPr>
          <w:bCs/>
        </w:rPr>
        <w:t>he did</w:t>
      </w:r>
      <w:r w:rsidR="00063E48">
        <w:rPr>
          <w:bCs/>
        </w:rPr>
        <w:t xml:space="preserve"> </w:t>
      </w:r>
      <w:r w:rsidR="00063E48" w:rsidRPr="00FA2CC3">
        <w:rPr>
          <w:bCs/>
        </w:rPr>
        <w:t>not provide credible evidence and h</w:t>
      </w:r>
      <w:r w:rsidR="00FB0136">
        <w:rPr>
          <w:bCs/>
        </w:rPr>
        <w:t>e</w:t>
      </w:r>
      <w:r w:rsidR="00063E48" w:rsidRPr="00FA2CC3">
        <w:rPr>
          <w:bCs/>
        </w:rPr>
        <w:t xml:space="preserve"> failed to substantiate that there was a foreseeable, real and personal risk that he would be subjected to torture by the authorities if returned to Sri Lanka</w:t>
      </w:r>
      <w:r w:rsidR="00FB0136">
        <w:rPr>
          <w:bCs/>
        </w:rPr>
        <w:t>. The State party also submitted</w:t>
      </w:r>
      <w:r w:rsidR="00063E48" w:rsidRPr="00FA2CC3">
        <w:rPr>
          <w:bCs/>
        </w:rPr>
        <w:t xml:space="preserve"> that </w:t>
      </w:r>
      <w:r w:rsidR="00FB0136">
        <w:rPr>
          <w:bCs/>
        </w:rPr>
        <w:t>the complainant’s</w:t>
      </w:r>
      <w:r w:rsidR="00063E48" w:rsidRPr="00FA2CC3">
        <w:rPr>
          <w:bCs/>
        </w:rPr>
        <w:t xml:space="preserve"> claims </w:t>
      </w:r>
      <w:r w:rsidR="00FB0136">
        <w:rPr>
          <w:bCs/>
        </w:rPr>
        <w:t>were</w:t>
      </w:r>
      <w:r w:rsidR="00063E48" w:rsidRPr="00FA2CC3">
        <w:rPr>
          <w:bCs/>
        </w:rPr>
        <w:t xml:space="preserve"> </w:t>
      </w:r>
      <w:r w:rsidR="00FC147B">
        <w:rPr>
          <w:bCs/>
        </w:rPr>
        <w:t xml:space="preserve">thoroughly </w:t>
      </w:r>
      <w:r w:rsidR="00063E48" w:rsidRPr="00FA2CC3">
        <w:rPr>
          <w:bCs/>
        </w:rPr>
        <w:t>reviewed by the competent domestic authorities</w:t>
      </w:r>
      <w:r w:rsidR="00FC147B">
        <w:rPr>
          <w:bCs/>
        </w:rPr>
        <w:t xml:space="preserve"> and courts</w:t>
      </w:r>
      <w:r w:rsidR="00063E48">
        <w:rPr>
          <w:bCs/>
        </w:rPr>
        <w:t>,</w:t>
      </w:r>
      <w:r w:rsidR="00063E48" w:rsidRPr="00FA2CC3">
        <w:rPr>
          <w:bCs/>
        </w:rPr>
        <w:t xml:space="preserve"> in accordance with domestic legislation</w:t>
      </w:r>
      <w:r w:rsidR="00FC147B">
        <w:rPr>
          <w:bCs/>
        </w:rPr>
        <w:t>,</w:t>
      </w:r>
      <w:r w:rsidR="00063E48" w:rsidRPr="00FA2CC3">
        <w:rPr>
          <w:bCs/>
        </w:rPr>
        <w:t xml:space="preserve"> and </w:t>
      </w:r>
      <w:r w:rsidR="00FB0136">
        <w:rPr>
          <w:bCs/>
        </w:rPr>
        <w:t xml:space="preserve">that </w:t>
      </w:r>
      <w:r w:rsidR="00063E48">
        <w:rPr>
          <w:bCs/>
        </w:rPr>
        <w:t xml:space="preserve">the </w:t>
      </w:r>
      <w:r w:rsidR="00063E48" w:rsidRPr="00FA2CC3">
        <w:rPr>
          <w:bCs/>
        </w:rPr>
        <w:t>current huma</w:t>
      </w:r>
      <w:r w:rsidR="00063E48">
        <w:rPr>
          <w:bCs/>
        </w:rPr>
        <w:t>n rights situation in Sri Lanka</w:t>
      </w:r>
      <w:r w:rsidR="00FB0136">
        <w:rPr>
          <w:bCs/>
        </w:rPr>
        <w:t xml:space="preserve"> was taken into account</w:t>
      </w:r>
      <w:r w:rsidR="00063E48" w:rsidRPr="00FA2CC3">
        <w:rPr>
          <w:bCs/>
        </w:rPr>
        <w:t>.</w:t>
      </w:r>
    </w:p>
    <w:p w:rsidR="00063E48" w:rsidRDefault="00063E48" w:rsidP="00E008F8">
      <w:pPr>
        <w:pStyle w:val="SingleTxtG"/>
        <w:keepLines/>
        <w:rPr>
          <w:snapToGrid w:val="0"/>
        </w:rPr>
      </w:pPr>
      <w:r>
        <w:rPr>
          <w:bCs/>
        </w:rPr>
        <w:t>8.6</w:t>
      </w:r>
      <w:r>
        <w:rPr>
          <w:bCs/>
        </w:rPr>
        <w:tab/>
      </w:r>
      <w:r w:rsidR="00E81390">
        <w:rPr>
          <w:lang w:val="en-US"/>
        </w:rPr>
        <w:t>T</w:t>
      </w:r>
      <w:r w:rsidR="00E81390" w:rsidRPr="007E6C6C">
        <w:t>he Committee recalls that the occurrence of</w:t>
      </w:r>
      <w:r w:rsidR="00E81390">
        <w:rPr>
          <w:lang w:val="en-US"/>
        </w:rPr>
        <w:t xml:space="preserve"> a consistent pattern</w:t>
      </w:r>
      <w:r w:rsidR="00E81390" w:rsidRPr="007E6C6C">
        <w:t xml:space="preserve"> </w:t>
      </w:r>
      <w:r w:rsidR="00E81390">
        <w:rPr>
          <w:lang w:val="en-US"/>
        </w:rPr>
        <w:t xml:space="preserve">of gross </w:t>
      </w:r>
      <w:r w:rsidR="00E81390" w:rsidRPr="007E6C6C">
        <w:t>human rights violations in his</w:t>
      </w:r>
      <w:r w:rsidR="00FB0136">
        <w:t xml:space="preserve"> or </w:t>
      </w:r>
      <w:r w:rsidR="00E81390" w:rsidRPr="007E6C6C">
        <w:t>her country of origin is not in itself</w:t>
      </w:r>
      <w:r w:rsidR="004C0584">
        <w:t xml:space="preserve"> a sufficient basis</w:t>
      </w:r>
      <w:r w:rsidR="00E81390" w:rsidRPr="007E6C6C">
        <w:t xml:space="preserve"> </w:t>
      </w:r>
      <w:r w:rsidR="00E81390" w:rsidRPr="007E6C6C">
        <w:rPr>
          <w:lang w:val="en-US"/>
        </w:rPr>
        <w:t>for it</w:t>
      </w:r>
      <w:r w:rsidR="00E81390" w:rsidRPr="007E6C6C">
        <w:t xml:space="preserve"> to conclude that a</w:t>
      </w:r>
      <w:r w:rsidR="004C0584">
        <w:t>n individual</w:t>
      </w:r>
      <w:r w:rsidR="00E81390" w:rsidRPr="007E6C6C">
        <w:t xml:space="preserve"> runs a </w:t>
      </w:r>
      <w:r w:rsidR="00E81390" w:rsidRPr="007E6C6C">
        <w:rPr>
          <w:lang w:val="en-US"/>
        </w:rPr>
        <w:t xml:space="preserve">personal </w:t>
      </w:r>
      <w:r w:rsidR="00E81390" w:rsidRPr="007E6C6C">
        <w:t xml:space="preserve">risk of </w:t>
      </w:r>
      <w:r w:rsidR="004C0584">
        <w:t xml:space="preserve">being subjected to </w:t>
      </w:r>
      <w:r w:rsidR="00E81390" w:rsidRPr="007E6C6C">
        <w:t>torture</w:t>
      </w:r>
      <w:r w:rsidR="00E81390" w:rsidRPr="00F612BA">
        <w:t xml:space="preserve"> </w:t>
      </w:r>
      <w:r w:rsidR="004C0584">
        <w:t>upon return</w:t>
      </w:r>
      <w:r w:rsidR="00E81390" w:rsidRPr="004B077D">
        <w:t>.</w:t>
      </w:r>
      <w:r w:rsidR="00E81390">
        <w:rPr>
          <w:rStyle w:val="FootnoteReference"/>
        </w:rPr>
        <w:footnoteReference w:id="11"/>
      </w:r>
      <w:r w:rsidR="00E81390">
        <w:t xml:space="preserve"> </w:t>
      </w:r>
      <w:r w:rsidR="00E81390">
        <w:rPr>
          <w:bCs/>
        </w:rPr>
        <w:t xml:space="preserve">In this context, the Committee refers to its concluding observations </w:t>
      </w:r>
      <w:r w:rsidR="004C0584">
        <w:rPr>
          <w:bCs/>
        </w:rPr>
        <w:t>on</w:t>
      </w:r>
      <w:r w:rsidR="00E81390">
        <w:rPr>
          <w:bCs/>
        </w:rPr>
        <w:t xml:space="preserve"> the combined third and fourth periodic reports of Sri Lanka, </w:t>
      </w:r>
      <w:r w:rsidR="004C0584">
        <w:rPr>
          <w:bCs/>
        </w:rPr>
        <w:t>in which</w:t>
      </w:r>
      <w:r w:rsidR="00E81390">
        <w:rPr>
          <w:bCs/>
        </w:rPr>
        <w:t xml:space="preserve"> </w:t>
      </w:r>
      <w:r w:rsidR="00E81390">
        <w:t>it expressed serious concern about</w:t>
      </w:r>
      <w:r w:rsidR="00E81390">
        <w:rPr>
          <w:lang w:val="en-US"/>
        </w:rPr>
        <w:t xml:space="preserve"> </w:t>
      </w:r>
      <w:r w:rsidR="00E81390">
        <w:t>reports suggest</w:t>
      </w:r>
      <w:r w:rsidR="00E81390" w:rsidRPr="00E008F8">
        <w:t>ing</w:t>
      </w:r>
      <w:r w:rsidR="00E81390">
        <w:t xml:space="preserve"> that torture and ill-treatment perpetrated by State actors</w:t>
      </w:r>
      <w:r w:rsidR="00E81390" w:rsidRPr="00456088">
        <w:t xml:space="preserve"> in Sri Lanka</w:t>
      </w:r>
      <w:r w:rsidR="00E81390">
        <w:t>, both the military and the police, h</w:t>
      </w:r>
      <w:r w:rsidR="00E81390">
        <w:rPr>
          <w:lang w:val="en-US"/>
        </w:rPr>
        <w:t>ad</w:t>
      </w:r>
      <w:r w:rsidR="00E81390">
        <w:t xml:space="preserve"> continued in many parts of the country after the conflict</w:t>
      </w:r>
      <w:r w:rsidR="00E81390">
        <w:rPr>
          <w:lang w:val="en-US"/>
        </w:rPr>
        <w:t xml:space="preserve"> with LTTE</w:t>
      </w:r>
      <w:r w:rsidR="00E81390">
        <w:t xml:space="preserve"> </w:t>
      </w:r>
      <w:r w:rsidR="004C0584">
        <w:t xml:space="preserve">that </w:t>
      </w:r>
      <w:r w:rsidR="00E81390">
        <w:t>ended in May 2009</w:t>
      </w:r>
      <w:r w:rsidR="00E81390" w:rsidRPr="00456088">
        <w:t>.</w:t>
      </w:r>
      <w:r w:rsidR="00E81390">
        <w:rPr>
          <w:rStyle w:val="FootnoteReference"/>
        </w:rPr>
        <w:footnoteReference w:id="12"/>
      </w:r>
      <w:r w:rsidR="00E81390">
        <w:t xml:space="preserve"> The Committee also refers to its concluding observations o</w:t>
      </w:r>
      <w:r w:rsidR="004C0584">
        <w:t>n</w:t>
      </w:r>
      <w:r w:rsidR="00E81390">
        <w:t xml:space="preserve"> the fifth periodic report of the United Kingdom of Great Britain and Northern Ireland, in which </w:t>
      </w:r>
      <w:r w:rsidR="004C0584">
        <w:t>it</w:t>
      </w:r>
      <w:r w:rsidR="00F07D5C">
        <w:t xml:space="preserve"> </w:t>
      </w:r>
      <w:r w:rsidR="00E81390">
        <w:t>noted evidence that some Sri Lankan Tamils ha</w:t>
      </w:r>
      <w:r w:rsidR="00E81390">
        <w:rPr>
          <w:lang w:val="en-US"/>
        </w:rPr>
        <w:t>d</w:t>
      </w:r>
      <w:r w:rsidR="00E81390">
        <w:t xml:space="preserve"> been victims of torture and ill-treatment following their forced or voluntary removal from the State party</w:t>
      </w:r>
      <w:r w:rsidR="00E81390" w:rsidRPr="00E10461">
        <w:t xml:space="preserve"> </w:t>
      </w:r>
      <w:r w:rsidR="00E81390">
        <w:t>to Sri Lanka</w:t>
      </w:r>
      <w:r w:rsidR="00E81390">
        <w:rPr>
          <w:lang w:val="en-US"/>
        </w:rPr>
        <w:t>.</w:t>
      </w:r>
      <w:r w:rsidR="00E81390">
        <w:rPr>
          <w:rStyle w:val="FootnoteReference"/>
          <w:lang w:val="en-US"/>
        </w:rPr>
        <w:footnoteReference w:id="13"/>
      </w:r>
      <w:r w:rsidR="00E81390">
        <w:rPr>
          <w:lang w:val="en-US"/>
        </w:rPr>
        <w:t xml:space="preserve"> The Committee further refers to the </w:t>
      </w:r>
      <w:r w:rsidR="00F07D5C">
        <w:rPr>
          <w:lang w:val="en-US"/>
        </w:rPr>
        <w:t>p</w:t>
      </w:r>
      <w:r w:rsidR="00E81390">
        <w:rPr>
          <w:lang w:val="en-US"/>
        </w:rPr>
        <w:t xml:space="preserve">reliminary observations and recommendations of the Special Rapporteur on torture and other cruel, inhuman and degrading treatment or punishment </w:t>
      </w:r>
      <w:r w:rsidR="00F07D5C">
        <w:rPr>
          <w:lang w:val="en-US"/>
        </w:rPr>
        <w:t>on</w:t>
      </w:r>
      <w:r w:rsidR="00E81390">
        <w:rPr>
          <w:lang w:val="en-US"/>
        </w:rPr>
        <w:t xml:space="preserve"> </w:t>
      </w:r>
      <w:r w:rsidR="00F07D5C">
        <w:rPr>
          <w:lang w:val="en-US"/>
        </w:rPr>
        <w:t>his</w:t>
      </w:r>
      <w:r w:rsidR="00E81390">
        <w:rPr>
          <w:lang w:val="en-US"/>
        </w:rPr>
        <w:t xml:space="preserve"> official joint visit </w:t>
      </w:r>
      <w:r w:rsidR="00F07D5C">
        <w:rPr>
          <w:lang w:val="en-US"/>
        </w:rPr>
        <w:t xml:space="preserve">to Sri Lanka </w:t>
      </w:r>
      <w:r w:rsidR="00E81390">
        <w:rPr>
          <w:lang w:val="en-US"/>
        </w:rPr>
        <w:t>with the Special Rapporteur on the independence of judges and lawyers</w:t>
      </w:r>
      <w:r w:rsidR="00F07D5C">
        <w:rPr>
          <w:lang w:val="en-US"/>
        </w:rPr>
        <w:t>,</w:t>
      </w:r>
      <w:r w:rsidR="00E81390">
        <w:rPr>
          <w:lang w:val="en-US"/>
        </w:rPr>
        <w:t xml:space="preserve"> from 29 April to 7 May 2016, in</w:t>
      </w:r>
      <w:r w:rsidR="00F07D5C">
        <w:rPr>
          <w:lang w:val="en-US"/>
        </w:rPr>
        <w:t xml:space="preserve"> which</w:t>
      </w:r>
      <w:r w:rsidR="00E81390">
        <w:rPr>
          <w:lang w:val="en-US"/>
        </w:rPr>
        <w:t xml:space="preserve"> it </w:t>
      </w:r>
      <w:r w:rsidR="00F07D5C">
        <w:rPr>
          <w:lang w:val="en-US"/>
        </w:rPr>
        <w:t>is</w:t>
      </w:r>
      <w:r w:rsidR="00E81390">
        <w:rPr>
          <w:lang w:val="en-US"/>
        </w:rPr>
        <w:t xml:space="preserve"> noted that “torture is a common practice” and that the “current legal framework and the lack of reform within the structures of the armed forces, police, Attorney-General’s Office and judiciary perpetuate the real risk that the practice of torture will continue.”</w:t>
      </w:r>
      <w:r w:rsidR="00E81390">
        <w:rPr>
          <w:rStyle w:val="FootnoteReference"/>
          <w:lang w:val="en-US"/>
        </w:rPr>
        <w:footnoteReference w:id="14"/>
      </w:r>
      <w:r w:rsidR="00E81390">
        <w:rPr>
          <w:lang w:val="en-US"/>
        </w:rPr>
        <w:t xml:space="preserve"> The Committee also takes note of credible reports published by </w:t>
      </w:r>
      <w:r w:rsidR="00F07D5C">
        <w:rPr>
          <w:lang w:val="en-US"/>
        </w:rPr>
        <w:t>NGOs</w:t>
      </w:r>
      <w:r w:rsidR="00E81390">
        <w:rPr>
          <w:lang w:val="en-US"/>
        </w:rPr>
        <w:t xml:space="preserve"> concerning the treatment </w:t>
      </w:r>
      <w:r w:rsidR="00F07D5C">
        <w:rPr>
          <w:lang w:val="en-US"/>
        </w:rPr>
        <w:t>by the Sri Lankan authorities of</w:t>
      </w:r>
      <w:r w:rsidR="00E81390">
        <w:rPr>
          <w:lang w:val="en-US"/>
        </w:rPr>
        <w:t xml:space="preserve"> individuals returned to Sri Lanka.</w:t>
      </w:r>
      <w:r w:rsidR="00E81390">
        <w:rPr>
          <w:rStyle w:val="FootnoteReference"/>
          <w:lang w:val="en-US"/>
        </w:rPr>
        <w:footnoteReference w:id="15"/>
      </w:r>
      <w:r w:rsidR="00E81390">
        <w:rPr>
          <w:lang w:val="en-US"/>
        </w:rPr>
        <w:t xml:space="preserve"> The Committee considers that all </w:t>
      </w:r>
      <w:r w:rsidR="00F07D5C">
        <w:rPr>
          <w:lang w:val="en-US"/>
        </w:rPr>
        <w:t xml:space="preserve">of </w:t>
      </w:r>
      <w:r w:rsidR="00E81390">
        <w:rPr>
          <w:lang w:val="en-US"/>
        </w:rPr>
        <w:t>the above</w:t>
      </w:r>
      <w:r w:rsidR="00F07D5C">
        <w:rPr>
          <w:lang w:val="en-US"/>
        </w:rPr>
        <w:t>-mentioned reports</w:t>
      </w:r>
      <w:r w:rsidR="00E81390">
        <w:rPr>
          <w:lang w:val="en-US"/>
        </w:rPr>
        <w:t xml:space="preserve"> show that Sri Lankans of Tamil ethnicity with a prior personal or familial connection to LTTE </w:t>
      </w:r>
      <w:r w:rsidR="00F07D5C">
        <w:rPr>
          <w:lang w:val="en-US"/>
        </w:rPr>
        <w:t xml:space="preserve">and </w:t>
      </w:r>
      <w:r w:rsidR="00E81390">
        <w:rPr>
          <w:lang w:val="en-US"/>
        </w:rPr>
        <w:t>facing forcible return to Sri Lanka may face a risk of torture.</w:t>
      </w:r>
      <w:r w:rsidR="00E81390">
        <w:rPr>
          <w:rStyle w:val="FootnoteReference"/>
          <w:lang w:val="en-US"/>
        </w:rPr>
        <w:footnoteReference w:id="16"/>
      </w:r>
    </w:p>
    <w:p w:rsidR="00C90FE4" w:rsidRDefault="00C90FE4" w:rsidP="009A729A">
      <w:pPr>
        <w:pStyle w:val="SingleTxtG"/>
        <w:rPr>
          <w:snapToGrid w:val="0"/>
        </w:rPr>
      </w:pPr>
      <w:r>
        <w:rPr>
          <w:snapToGrid w:val="0"/>
        </w:rPr>
        <w:t>8.7</w:t>
      </w:r>
      <w:r>
        <w:rPr>
          <w:snapToGrid w:val="0"/>
        </w:rPr>
        <w:tab/>
      </w:r>
      <w:r w:rsidR="00177D7B">
        <w:rPr>
          <w:snapToGrid w:val="0"/>
        </w:rPr>
        <w:t>In the present communication, t</w:t>
      </w:r>
      <w:r>
        <w:rPr>
          <w:snapToGrid w:val="0"/>
        </w:rPr>
        <w:t xml:space="preserve">he Committee </w:t>
      </w:r>
      <w:r w:rsidR="00200DA6">
        <w:rPr>
          <w:snapToGrid w:val="0"/>
        </w:rPr>
        <w:t>note</w:t>
      </w:r>
      <w:r w:rsidR="0044450E">
        <w:rPr>
          <w:snapToGrid w:val="0"/>
        </w:rPr>
        <w:t>s</w:t>
      </w:r>
      <w:r w:rsidR="00200DA6">
        <w:rPr>
          <w:snapToGrid w:val="0"/>
        </w:rPr>
        <w:t xml:space="preserve"> the complainant’s claim</w:t>
      </w:r>
      <w:r w:rsidR="00177D7B">
        <w:rPr>
          <w:snapToGrid w:val="0"/>
        </w:rPr>
        <w:t xml:space="preserve"> that one of </w:t>
      </w:r>
      <w:r w:rsidR="00200DA6">
        <w:rPr>
          <w:snapToGrid w:val="0"/>
        </w:rPr>
        <w:t>his</w:t>
      </w:r>
      <w:r w:rsidR="00177D7B">
        <w:rPr>
          <w:snapToGrid w:val="0"/>
        </w:rPr>
        <w:t xml:space="preserve"> brothers </w:t>
      </w:r>
      <w:r w:rsidR="00200DA6">
        <w:rPr>
          <w:snapToGrid w:val="0"/>
        </w:rPr>
        <w:t>was</w:t>
      </w:r>
      <w:r w:rsidR="00177D7B">
        <w:rPr>
          <w:snapToGrid w:val="0"/>
        </w:rPr>
        <w:t xml:space="preserve"> killed </w:t>
      </w:r>
      <w:r w:rsidR="00F07D5C">
        <w:rPr>
          <w:snapToGrid w:val="0"/>
        </w:rPr>
        <w:t xml:space="preserve">in 2001 </w:t>
      </w:r>
      <w:r w:rsidR="00200DA6">
        <w:rPr>
          <w:snapToGrid w:val="0"/>
        </w:rPr>
        <w:t>because of his</w:t>
      </w:r>
      <w:r w:rsidR="00177D7B">
        <w:rPr>
          <w:snapToGrid w:val="0"/>
        </w:rPr>
        <w:t xml:space="preserve"> alleged affiliation with LTTE</w:t>
      </w:r>
      <w:r w:rsidR="00200DA6">
        <w:rPr>
          <w:snapToGrid w:val="0"/>
        </w:rPr>
        <w:t xml:space="preserve"> </w:t>
      </w:r>
      <w:r w:rsidR="0044450E">
        <w:rPr>
          <w:snapToGrid w:val="0"/>
        </w:rPr>
        <w:t xml:space="preserve">and </w:t>
      </w:r>
      <w:r w:rsidR="00200DA6">
        <w:rPr>
          <w:snapToGrid w:val="0"/>
        </w:rPr>
        <w:t xml:space="preserve">that he himself </w:t>
      </w:r>
      <w:r w:rsidR="0044450E">
        <w:rPr>
          <w:snapToGrid w:val="0"/>
        </w:rPr>
        <w:t>is</w:t>
      </w:r>
      <w:r w:rsidR="00200DA6">
        <w:rPr>
          <w:snapToGrid w:val="0"/>
        </w:rPr>
        <w:t xml:space="preserve"> a suspected </w:t>
      </w:r>
      <w:r w:rsidR="00F07D5C">
        <w:rPr>
          <w:snapToGrid w:val="0"/>
        </w:rPr>
        <w:t xml:space="preserve">LTTE </w:t>
      </w:r>
      <w:r w:rsidR="00200DA6">
        <w:rPr>
          <w:snapToGrid w:val="0"/>
        </w:rPr>
        <w:t>supporte</w:t>
      </w:r>
      <w:r w:rsidR="00723BB3">
        <w:rPr>
          <w:snapToGrid w:val="0"/>
        </w:rPr>
        <w:t>r</w:t>
      </w:r>
      <w:r w:rsidR="00200DA6">
        <w:rPr>
          <w:snapToGrid w:val="0"/>
        </w:rPr>
        <w:t xml:space="preserve"> </w:t>
      </w:r>
      <w:r w:rsidR="0044450E">
        <w:rPr>
          <w:snapToGrid w:val="0"/>
        </w:rPr>
        <w:t xml:space="preserve">because he </w:t>
      </w:r>
      <w:r w:rsidR="00F07D5C">
        <w:rPr>
          <w:snapToGrid w:val="0"/>
        </w:rPr>
        <w:t>made</w:t>
      </w:r>
      <w:r w:rsidR="00200DA6">
        <w:rPr>
          <w:snapToGrid w:val="0"/>
        </w:rPr>
        <w:t xml:space="preserve"> clothes for </w:t>
      </w:r>
      <w:r w:rsidR="0044450E">
        <w:rPr>
          <w:snapToGrid w:val="0"/>
        </w:rPr>
        <w:t>LTTE</w:t>
      </w:r>
      <w:r w:rsidR="00177D7B">
        <w:rPr>
          <w:snapToGrid w:val="0"/>
        </w:rPr>
        <w:t xml:space="preserve">. </w:t>
      </w:r>
      <w:r w:rsidR="000F46CC">
        <w:rPr>
          <w:snapToGrid w:val="0"/>
        </w:rPr>
        <w:t>At the same time, the Committee</w:t>
      </w:r>
      <w:r w:rsidR="00177D7B">
        <w:rPr>
          <w:snapToGrid w:val="0"/>
        </w:rPr>
        <w:t xml:space="preserve"> </w:t>
      </w:r>
      <w:r w:rsidR="00336161">
        <w:rPr>
          <w:snapToGrid w:val="0"/>
        </w:rPr>
        <w:t>notes</w:t>
      </w:r>
      <w:r w:rsidR="00177D7B">
        <w:rPr>
          <w:snapToGrid w:val="0"/>
        </w:rPr>
        <w:t xml:space="preserve"> </w:t>
      </w:r>
      <w:r w:rsidR="00336161">
        <w:rPr>
          <w:snapToGrid w:val="0"/>
        </w:rPr>
        <w:t xml:space="preserve">that </w:t>
      </w:r>
      <w:r w:rsidR="00F07D5C">
        <w:rPr>
          <w:snapToGrid w:val="0"/>
        </w:rPr>
        <w:t>the complainant has not submitted any</w:t>
      </w:r>
      <w:r w:rsidR="00177D7B">
        <w:rPr>
          <w:snapToGrid w:val="0"/>
        </w:rPr>
        <w:t xml:space="preserve"> </w:t>
      </w:r>
      <w:r w:rsidR="00336161">
        <w:rPr>
          <w:snapToGrid w:val="0"/>
        </w:rPr>
        <w:t xml:space="preserve">concrete </w:t>
      </w:r>
      <w:r w:rsidR="00177D7B">
        <w:rPr>
          <w:snapToGrid w:val="0"/>
        </w:rPr>
        <w:t xml:space="preserve">information </w:t>
      </w:r>
      <w:r w:rsidR="00F07D5C">
        <w:rPr>
          <w:snapToGrid w:val="0"/>
        </w:rPr>
        <w:t xml:space="preserve">about </w:t>
      </w:r>
      <w:r w:rsidR="00177D7B">
        <w:rPr>
          <w:snapToGrid w:val="0"/>
        </w:rPr>
        <w:t>his brother</w:t>
      </w:r>
      <w:r w:rsidR="00F07D5C">
        <w:rPr>
          <w:snapToGrid w:val="0"/>
        </w:rPr>
        <w:t>’s role</w:t>
      </w:r>
      <w:r w:rsidR="00177D7B">
        <w:rPr>
          <w:snapToGrid w:val="0"/>
        </w:rPr>
        <w:t xml:space="preserve"> in LTTE</w:t>
      </w:r>
      <w:r w:rsidR="00F07D5C">
        <w:rPr>
          <w:snapToGrid w:val="0"/>
        </w:rPr>
        <w:t xml:space="preserve"> n</w:t>
      </w:r>
      <w:r w:rsidR="00723BB3">
        <w:rPr>
          <w:snapToGrid w:val="0"/>
        </w:rPr>
        <w:t>or</w:t>
      </w:r>
      <w:r w:rsidR="00200DA6">
        <w:rPr>
          <w:snapToGrid w:val="0"/>
        </w:rPr>
        <w:t xml:space="preserve"> any report of any harassment </w:t>
      </w:r>
      <w:r w:rsidR="00F07D5C">
        <w:rPr>
          <w:snapToGrid w:val="0"/>
        </w:rPr>
        <w:t xml:space="preserve">that </w:t>
      </w:r>
      <w:r w:rsidR="0044450E">
        <w:rPr>
          <w:snapToGrid w:val="0"/>
        </w:rPr>
        <w:t xml:space="preserve">he or </w:t>
      </w:r>
      <w:r w:rsidR="00200DA6">
        <w:rPr>
          <w:snapToGrid w:val="0"/>
        </w:rPr>
        <w:t xml:space="preserve">his family members experienced on account of his brother’s affiliation with LTTE, especially taking into account that </w:t>
      </w:r>
      <w:r w:rsidR="00177D7B">
        <w:rPr>
          <w:snapToGrid w:val="0"/>
        </w:rPr>
        <w:t xml:space="preserve">the </w:t>
      </w:r>
      <w:r w:rsidR="00F07D5C">
        <w:rPr>
          <w:snapToGrid w:val="0"/>
        </w:rPr>
        <w:t xml:space="preserve">Sri Lanka </w:t>
      </w:r>
      <w:r w:rsidR="00177D7B">
        <w:rPr>
          <w:snapToGrid w:val="0"/>
        </w:rPr>
        <w:t xml:space="preserve">Army </w:t>
      </w:r>
      <w:r w:rsidR="000F46CC">
        <w:rPr>
          <w:snapToGrid w:val="0"/>
        </w:rPr>
        <w:t xml:space="preserve">was based </w:t>
      </w:r>
      <w:r w:rsidR="00F07D5C">
        <w:rPr>
          <w:snapToGrid w:val="0"/>
        </w:rPr>
        <w:t>on</w:t>
      </w:r>
      <w:r w:rsidR="00177D7B">
        <w:rPr>
          <w:snapToGrid w:val="0"/>
        </w:rPr>
        <w:t xml:space="preserve"> part of the</w:t>
      </w:r>
      <w:r w:rsidR="00200DA6">
        <w:rPr>
          <w:snapToGrid w:val="0"/>
        </w:rPr>
        <w:t>ir</w:t>
      </w:r>
      <w:r w:rsidR="00177D7B">
        <w:rPr>
          <w:snapToGrid w:val="0"/>
        </w:rPr>
        <w:t xml:space="preserve"> land </w:t>
      </w:r>
      <w:r w:rsidR="00200DA6">
        <w:rPr>
          <w:snapToGrid w:val="0"/>
        </w:rPr>
        <w:t>since the</w:t>
      </w:r>
      <w:r w:rsidR="00336161">
        <w:rPr>
          <w:snapToGrid w:val="0"/>
        </w:rPr>
        <w:t xml:space="preserve"> beginning of the </w:t>
      </w:r>
      <w:r w:rsidR="00200DA6">
        <w:rPr>
          <w:snapToGrid w:val="0"/>
        </w:rPr>
        <w:t>conflict</w:t>
      </w:r>
      <w:r w:rsidR="000F46CC">
        <w:rPr>
          <w:snapToGrid w:val="0"/>
        </w:rPr>
        <w:t xml:space="preserve">. The Committee </w:t>
      </w:r>
      <w:r w:rsidR="00F07D5C">
        <w:rPr>
          <w:snapToGrid w:val="0"/>
        </w:rPr>
        <w:t xml:space="preserve">also </w:t>
      </w:r>
      <w:r w:rsidR="000F46CC">
        <w:rPr>
          <w:snapToGrid w:val="0"/>
        </w:rPr>
        <w:t>notes</w:t>
      </w:r>
      <w:r>
        <w:rPr>
          <w:snapToGrid w:val="0"/>
        </w:rPr>
        <w:t xml:space="preserve"> that</w:t>
      </w:r>
      <w:r w:rsidR="00F07D5C">
        <w:rPr>
          <w:snapToGrid w:val="0"/>
        </w:rPr>
        <w:t>,</w:t>
      </w:r>
      <w:r>
        <w:rPr>
          <w:snapToGrid w:val="0"/>
        </w:rPr>
        <w:t xml:space="preserve"> </w:t>
      </w:r>
      <w:r>
        <w:t xml:space="preserve">since 2001, when his brother was killed, the complainant </w:t>
      </w:r>
      <w:r w:rsidR="00F07D5C">
        <w:t xml:space="preserve">continued to </w:t>
      </w:r>
      <w:r>
        <w:t xml:space="preserve">live in Sri Lanka for </w:t>
      </w:r>
      <w:r w:rsidR="00F07D5C">
        <w:t xml:space="preserve">eight </w:t>
      </w:r>
      <w:r>
        <w:t>years before leaving</w:t>
      </w:r>
      <w:r w:rsidRPr="004F016B">
        <w:t xml:space="preserve"> </w:t>
      </w:r>
      <w:r w:rsidR="00F07D5C">
        <w:t>for</w:t>
      </w:r>
      <w:r>
        <w:t xml:space="preserve"> India</w:t>
      </w:r>
      <w:r w:rsidR="005A787C">
        <w:t xml:space="preserve"> </w:t>
      </w:r>
      <w:r w:rsidR="00F07D5C">
        <w:t>from</w:t>
      </w:r>
      <w:r w:rsidR="005A787C">
        <w:t xml:space="preserve"> the airport</w:t>
      </w:r>
      <w:r>
        <w:t xml:space="preserve"> </w:t>
      </w:r>
      <w:r w:rsidR="00F07D5C">
        <w:t>with</w:t>
      </w:r>
      <w:r>
        <w:t xml:space="preserve"> a valid passport and visa. </w:t>
      </w:r>
      <w:r w:rsidR="009A729A">
        <w:t>Furthermore, n</w:t>
      </w:r>
      <w:r>
        <w:t xml:space="preserve">othing </w:t>
      </w:r>
      <w:r w:rsidR="00786C77">
        <w:t xml:space="preserve">on file </w:t>
      </w:r>
      <w:r>
        <w:t>suggest</w:t>
      </w:r>
      <w:r w:rsidR="00786C77">
        <w:t>s</w:t>
      </w:r>
      <w:r>
        <w:t xml:space="preserve"> that the complainant ha</w:t>
      </w:r>
      <w:r w:rsidR="009A729A">
        <w:t>d</w:t>
      </w:r>
      <w:r>
        <w:t xml:space="preserve"> ever been </w:t>
      </w:r>
      <w:proofErr w:type="gramStart"/>
      <w:r>
        <w:t>arrested,</w:t>
      </w:r>
      <w:proofErr w:type="gramEnd"/>
      <w:r>
        <w:t xml:space="preserve"> tortured or persecuted by the authorities or that the</w:t>
      </w:r>
      <w:r w:rsidR="009A729A">
        <w:t>y</w:t>
      </w:r>
      <w:r>
        <w:t xml:space="preserve"> have looked for him before or after </w:t>
      </w:r>
      <w:r w:rsidR="00C26FB6">
        <w:t>his departure</w:t>
      </w:r>
      <w:r>
        <w:t xml:space="preserve"> in 2009. </w:t>
      </w:r>
      <w:r w:rsidR="00200DA6">
        <w:t xml:space="preserve">The complainant’s relatives still live in their family house in </w:t>
      </w:r>
      <w:proofErr w:type="spellStart"/>
      <w:r w:rsidR="00200DA6">
        <w:rPr>
          <w:snapToGrid w:val="0"/>
        </w:rPr>
        <w:t>Trincomalee</w:t>
      </w:r>
      <w:proofErr w:type="spellEnd"/>
      <w:r w:rsidR="00200DA6">
        <w:t xml:space="preserve"> and the complainant has not reported any problems </w:t>
      </w:r>
      <w:r w:rsidR="009A729A">
        <w:t xml:space="preserve">that </w:t>
      </w:r>
      <w:r w:rsidR="00200DA6">
        <w:t xml:space="preserve">they might have encountered after he left the country. </w:t>
      </w:r>
      <w:r>
        <w:t xml:space="preserve">The complainant has not adduced reasons </w:t>
      </w:r>
      <w:r w:rsidR="00786C77">
        <w:t xml:space="preserve">as to </w:t>
      </w:r>
      <w:r>
        <w:t xml:space="preserve">why the authorities </w:t>
      </w:r>
      <w:r w:rsidR="000F46CC">
        <w:t xml:space="preserve">would </w:t>
      </w:r>
      <w:r>
        <w:t xml:space="preserve">start being interested in him 15 years </w:t>
      </w:r>
      <w:r w:rsidR="009A729A">
        <w:t>after</w:t>
      </w:r>
      <w:r w:rsidR="00786C77">
        <w:t xml:space="preserve"> </w:t>
      </w:r>
      <w:r>
        <w:t xml:space="preserve">the death of his brother. </w:t>
      </w:r>
      <w:r w:rsidR="009A729A">
        <w:t>T</w:t>
      </w:r>
      <w:r>
        <w:t xml:space="preserve">he Committee </w:t>
      </w:r>
      <w:r w:rsidR="009A729A">
        <w:t xml:space="preserve">therefore </w:t>
      </w:r>
      <w:r>
        <w:t>concludes that the complainant</w:t>
      </w:r>
      <w:r w:rsidR="000F46CC">
        <w:t xml:space="preserve"> has not provided evidence of </w:t>
      </w:r>
      <w:r w:rsidR="009A729A">
        <w:t>any</w:t>
      </w:r>
      <w:r w:rsidR="000F46CC">
        <w:t xml:space="preserve"> connection with LTTE </w:t>
      </w:r>
      <w:r w:rsidR="009A729A">
        <w:t>that</w:t>
      </w:r>
      <w:r w:rsidR="00821754">
        <w:t xml:space="preserve"> would put him </w:t>
      </w:r>
      <w:r w:rsidR="009A729A">
        <w:t>at</w:t>
      </w:r>
      <w:r>
        <w:t xml:space="preserve"> personal risk of torture</w:t>
      </w:r>
      <w:r w:rsidR="00786C77">
        <w:t xml:space="preserve"> in Sri Lanka</w:t>
      </w:r>
      <w:r>
        <w:t>.</w:t>
      </w:r>
    </w:p>
    <w:p w:rsidR="00B96FBD" w:rsidRPr="005E4862" w:rsidRDefault="002537CB" w:rsidP="009A729A">
      <w:pPr>
        <w:pStyle w:val="SingleTxtG"/>
        <w:rPr>
          <w:rFonts w:eastAsia="Cambria"/>
        </w:rPr>
      </w:pPr>
      <w:r>
        <w:rPr>
          <w:snapToGrid w:val="0"/>
        </w:rPr>
        <w:t>8.8</w:t>
      </w:r>
      <w:r w:rsidR="00B96FBD">
        <w:rPr>
          <w:snapToGrid w:val="0"/>
        </w:rPr>
        <w:tab/>
      </w:r>
      <w:r w:rsidR="009A729A">
        <w:t>T</w:t>
      </w:r>
      <w:r w:rsidR="004853E0" w:rsidRPr="00B47EBB">
        <w:t>he Committee recalls that</w:t>
      </w:r>
      <w:r w:rsidR="009A729A">
        <w:t>,</w:t>
      </w:r>
      <w:r w:rsidR="004853E0" w:rsidRPr="00B47EBB">
        <w:t xml:space="preserve"> according to </w:t>
      </w:r>
      <w:r w:rsidR="004853E0">
        <w:t xml:space="preserve">its </w:t>
      </w:r>
      <w:r w:rsidR="004853E0" w:rsidRPr="00B47EBB">
        <w:t>general comment No.</w:t>
      </w:r>
      <w:r w:rsidR="00466DC6">
        <w:t> </w:t>
      </w:r>
      <w:r w:rsidR="004853E0" w:rsidRPr="00B47EBB">
        <w:t xml:space="preserve">1, the burden of presenting an arguable case lies with the </w:t>
      </w:r>
      <w:r w:rsidR="009A729A">
        <w:t>complainant</w:t>
      </w:r>
      <w:r w:rsidR="004853E0">
        <w:t xml:space="preserve"> (para. 5)</w:t>
      </w:r>
      <w:r w:rsidR="004853E0" w:rsidRPr="00B47EBB">
        <w:t>. In the Committee’s opinion, in the present case, the complainant has not discharged this burden of proof</w:t>
      </w:r>
      <w:r w:rsidR="004853E0">
        <w:t>.</w:t>
      </w:r>
      <w:r w:rsidR="004853E0">
        <w:rPr>
          <w:rStyle w:val="FootnoteReference"/>
        </w:rPr>
        <w:footnoteReference w:id="17"/>
      </w:r>
      <w:r w:rsidR="004853E0" w:rsidRPr="00B47EBB">
        <w:t xml:space="preserve"> </w:t>
      </w:r>
    </w:p>
    <w:p w:rsidR="00786C77" w:rsidRDefault="00421C7A" w:rsidP="001D21A7">
      <w:pPr>
        <w:pStyle w:val="SingleTxtG"/>
      </w:pPr>
      <w:r>
        <w:rPr>
          <w:rFonts w:eastAsia="Cambria"/>
          <w:snapToGrid w:val="0"/>
        </w:rPr>
        <w:t>9</w:t>
      </w:r>
      <w:r w:rsidR="00CB6AEA" w:rsidRPr="00DF23DE">
        <w:rPr>
          <w:rFonts w:eastAsia="Cambria"/>
          <w:snapToGrid w:val="0"/>
        </w:rPr>
        <w:t>.</w:t>
      </w:r>
      <w:r w:rsidR="00CB6AEA" w:rsidRPr="00DF23DE">
        <w:rPr>
          <w:rFonts w:eastAsia="Cambria"/>
          <w:snapToGrid w:val="0"/>
        </w:rPr>
        <w:tab/>
      </w:r>
      <w:r w:rsidR="001D21A7">
        <w:rPr>
          <w:rFonts w:eastAsia="Cambria"/>
          <w:snapToGrid w:val="0"/>
        </w:rPr>
        <w:t>In the light of the above, t</w:t>
      </w:r>
      <w:r w:rsidR="00CB6AEA" w:rsidRPr="00DF23DE">
        <w:rPr>
          <w:rFonts w:eastAsia="Cambria"/>
          <w:snapToGrid w:val="0"/>
        </w:rPr>
        <w:t>he Committee, acting under article 22</w:t>
      </w:r>
      <w:r w:rsidR="0045018F" w:rsidRPr="00DF23DE">
        <w:rPr>
          <w:rFonts w:eastAsia="Cambria"/>
          <w:snapToGrid w:val="0"/>
        </w:rPr>
        <w:t xml:space="preserve"> (7)</w:t>
      </w:r>
      <w:r w:rsidR="00CB6AEA" w:rsidRPr="00DF23DE">
        <w:rPr>
          <w:rFonts w:eastAsia="Cambria"/>
          <w:snapToGrid w:val="0"/>
        </w:rPr>
        <w:t xml:space="preserve"> of the Convention, </w:t>
      </w:r>
      <w:r w:rsidR="001D21A7">
        <w:rPr>
          <w:rFonts w:eastAsia="Cambria"/>
          <w:snapToGrid w:val="0"/>
        </w:rPr>
        <w:t>concludes</w:t>
      </w:r>
      <w:r w:rsidR="00CB6AEA" w:rsidRPr="00DF23DE">
        <w:rPr>
          <w:rFonts w:eastAsia="Cambria"/>
          <w:snapToGrid w:val="0"/>
        </w:rPr>
        <w:t xml:space="preserve"> that </w:t>
      </w:r>
      <w:r w:rsidR="00D326EC">
        <w:t>the complainant’s removal to Sri Lanka by the State party would not constitute a breach of article 3 of the Convention.</w:t>
      </w:r>
    </w:p>
    <w:p w:rsidR="00D326EC" w:rsidRPr="00E008F8" w:rsidRDefault="00DE7327" w:rsidP="00E008F8">
      <w:pPr>
        <w:spacing w:before="240"/>
        <w:ind w:left="1134" w:right="1134"/>
        <w:jc w:val="center"/>
        <w:rPr>
          <w:rFonts w:eastAsia="Cambria"/>
          <w:snapToGrid w:val="0"/>
          <w:u w:val="single"/>
        </w:rPr>
      </w:pPr>
      <w:r>
        <w:rPr>
          <w:rFonts w:eastAsia="Cambria"/>
          <w:snapToGrid w:val="0"/>
          <w:u w:val="single"/>
        </w:rPr>
        <w:tab/>
      </w:r>
      <w:r>
        <w:rPr>
          <w:rFonts w:eastAsia="Cambria"/>
          <w:snapToGrid w:val="0"/>
          <w:u w:val="single"/>
        </w:rPr>
        <w:tab/>
      </w:r>
      <w:r>
        <w:rPr>
          <w:rFonts w:eastAsia="Cambria"/>
          <w:snapToGrid w:val="0"/>
          <w:u w:val="single"/>
        </w:rPr>
        <w:tab/>
      </w:r>
      <w:bookmarkStart w:id="0" w:name="_GoBack"/>
      <w:bookmarkEnd w:id="0"/>
    </w:p>
    <w:sectPr w:rsidR="00D326EC" w:rsidRPr="00E008F8" w:rsidSect="00E008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3E" w:rsidRDefault="00FB3A3E"/>
  </w:endnote>
  <w:endnote w:type="continuationSeparator" w:id="0">
    <w:p w:rsidR="00FB3A3E" w:rsidRDefault="00FB3A3E"/>
  </w:endnote>
  <w:endnote w:type="continuationNotice" w:id="1">
    <w:p w:rsidR="00FB3A3E" w:rsidRDefault="00FB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68" w:rsidRPr="00785A61" w:rsidRDefault="00F12B68"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732F6E">
      <w:rPr>
        <w:b/>
        <w:noProof/>
        <w:sz w:val="18"/>
      </w:rPr>
      <w:t>8</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68" w:rsidRPr="00785A61" w:rsidRDefault="00F12B68"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732F6E">
      <w:rPr>
        <w:b/>
        <w:noProof/>
        <w:sz w:val="18"/>
      </w:rPr>
      <w:t>9</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BA" w:rsidRDefault="006D4330" w:rsidP="006D4330">
    <w:r w:rsidRPr="00DA43F5">
      <w:rPr>
        <w:rFonts w:ascii="C39T30Lfz" w:hAnsi="C39T30Lfz"/>
        <w:noProof/>
        <w:sz w:val="56"/>
        <w:u w:val="single"/>
      </w:rPr>
      <w:drawing>
        <wp:anchor distT="0" distB="0" distL="114300" distR="114300" simplePos="0" relativeHeight="251659264" behindDoc="0" locked="0" layoutInCell="1" allowOverlap="1" wp14:anchorId="1EF594F2" wp14:editId="4E5FCE1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D4330" w:rsidRDefault="006D4330" w:rsidP="006D4330">
    <w:pPr>
      <w:spacing w:line="240" w:lineRule="auto"/>
      <w:ind w:right="1134"/>
    </w:pPr>
    <w:r>
      <w:t>GE.16-16217(E)</w:t>
    </w:r>
  </w:p>
  <w:p w:rsidR="006D4330" w:rsidRPr="006D4330" w:rsidRDefault="006D4330" w:rsidP="006D433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CAT/C/58/D/60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3E" w:rsidRPr="000B175B" w:rsidRDefault="00FB3A3E" w:rsidP="000B175B">
      <w:pPr>
        <w:tabs>
          <w:tab w:val="right" w:pos="2155"/>
        </w:tabs>
        <w:spacing w:after="80"/>
        <w:ind w:left="680"/>
        <w:rPr>
          <w:u w:val="single"/>
        </w:rPr>
      </w:pPr>
      <w:r>
        <w:rPr>
          <w:u w:val="single"/>
        </w:rPr>
        <w:tab/>
      </w:r>
    </w:p>
  </w:footnote>
  <w:footnote w:type="continuationSeparator" w:id="0">
    <w:p w:rsidR="00FB3A3E" w:rsidRPr="00FC68B7" w:rsidRDefault="00FB3A3E" w:rsidP="00FC68B7">
      <w:pPr>
        <w:tabs>
          <w:tab w:val="left" w:pos="2155"/>
        </w:tabs>
        <w:spacing w:after="80"/>
        <w:ind w:left="680"/>
        <w:rPr>
          <w:u w:val="single"/>
        </w:rPr>
      </w:pPr>
      <w:r>
        <w:rPr>
          <w:u w:val="single"/>
        </w:rPr>
        <w:tab/>
      </w:r>
    </w:p>
  </w:footnote>
  <w:footnote w:type="continuationNotice" w:id="1">
    <w:p w:rsidR="00FB3A3E" w:rsidRDefault="00FB3A3E"/>
  </w:footnote>
  <w:footnote w:id="2">
    <w:p w:rsidR="00F12B68" w:rsidRPr="002D01E0" w:rsidRDefault="00F12B68">
      <w:pPr>
        <w:pStyle w:val="FootnoteText"/>
      </w:pPr>
      <w:r w:rsidRPr="00E008F8">
        <w:rPr>
          <w:rStyle w:val="FootnoteReference"/>
          <w:sz w:val="20"/>
          <w:vertAlign w:val="baseline"/>
        </w:rPr>
        <w:tab/>
        <w:t>*</w:t>
      </w:r>
      <w:r>
        <w:rPr>
          <w:rStyle w:val="FootnoteReference"/>
          <w:sz w:val="20"/>
          <w:vertAlign w:val="baseline"/>
        </w:rPr>
        <w:tab/>
      </w:r>
      <w:proofErr w:type="gramStart"/>
      <w:r w:rsidRPr="00342F2F">
        <w:t>Adopted by the Committee at its fifty-eighth session (25 July-12 August 2016).</w:t>
      </w:r>
      <w:proofErr w:type="gramEnd"/>
    </w:p>
  </w:footnote>
  <w:footnote w:id="3">
    <w:p w:rsidR="00F12B68" w:rsidRPr="002D01E0" w:rsidRDefault="00F12B68">
      <w:pPr>
        <w:pStyle w:val="FootnoteText"/>
      </w:pPr>
      <w:r>
        <w:rPr>
          <w:rStyle w:val="FootnoteReference"/>
        </w:rPr>
        <w:tab/>
      </w:r>
      <w:r w:rsidRPr="00E008F8">
        <w:rPr>
          <w:rStyle w:val="FootnoteReference"/>
          <w:sz w:val="20"/>
          <w:vertAlign w:val="baseline"/>
        </w:rPr>
        <w:t>**</w:t>
      </w:r>
      <w:r>
        <w:rPr>
          <w:rStyle w:val="FootnoteReference"/>
          <w:sz w:val="20"/>
          <w:vertAlign w:val="baseline"/>
        </w:rPr>
        <w:tab/>
      </w:r>
      <w:r w:rsidRPr="002D01E0">
        <w:t>The</w:t>
      </w:r>
      <w:r w:rsidRPr="00810B16">
        <w:t xml:space="preserve"> following members of the Committee participated in the consideration of the present communication:</w:t>
      </w:r>
      <w:r w:rsidRPr="003F4589">
        <w:rPr>
          <w:color w:val="000000"/>
          <w:szCs w:val="24"/>
        </w:rPr>
        <w:t xml:space="preserve"> </w:t>
      </w:r>
      <w:proofErr w:type="spellStart"/>
      <w:r w:rsidRPr="006F1E7E">
        <w:rPr>
          <w:color w:val="000000"/>
          <w:szCs w:val="24"/>
        </w:rPr>
        <w:t>Essadia</w:t>
      </w:r>
      <w:proofErr w:type="spellEnd"/>
      <w:r w:rsidRPr="006F1E7E">
        <w:rPr>
          <w:color w:val="000000"/>
          <w:szCs w:val="24"/>
        </w:rPr>
        <w:t xml:space="preserve"> </w:t>
      </w:r>
      <w:proofErr w:type="spellStart"/>
      <w:r w:rsidRPr="006F1E7E">
        <w:rPr>
          <w:color w:val="000000"/>
          <w:szCs w:val="24"/>
        </w:rPr>
        <w:t>Belmir</w:t>
      </w:r>
      <w:proofErr w:type="spellEnd"/>
      <w:r w:rsidRPr="006F1E7E">
        <w:rPr>
          <w:color w:val="000000"/>
          <w:szCs w:val="24"/>
        </w:rPr>
        <w:t xml:space="preserve">, </w:t>
      </w:r>
      <w:proofErr w:type="spellStart"/>
      <w:r w:rsidRPr="006F1E7E">
        <w:rPr>
          <w:szCs w:val="24"/>
        </w:rPr>
        <w:t>Alessio</w:t>
      </w:r>
      <w:proofErr w:type="spellEnd"/>
      <w:r w:rsidRPr="006F1E7E">
        <w:rPr>
          <w:szCs w:val="24"/>
        </w:rPr>
        <w:t xml:space="preserve"> </w:t>
      </w:r>
      <w:proofErr w:type="spellStart"/>
      <w:r>
        <w:rPr>
          <w:szCs w:val="24"/>
        </w:rPr>
        <w:t>Bruni</w:t>
      </w:r>
      <w:proofErr w:type="spellEnd"/>
      <w:r>
        <w:rPr>
          <w:szCs w:val="24"/>
        </w:rPr>
        <w:t xml:space="preserve">, Felice </w:t>
      </w:r>
      <w:proofErr w:type="spellStart"/>
      <w:r>
        <w:rPr>
          <w:szCs w:val="24"/>
        </w:rPr>
        <w:t>Gaer</w:t>
      </w:r>
      <w:proofErr w:type="spellEnd"/>
      <w:r>
        <w:rPr>
          <w:szCs w:val="24"/>
        </w:rPr>
        <w:t xml:space="preserve">, </w:t>
      </w:r>
      <w:proofErr w:type="spellStart"/>
      <w:r w:rsidRPr="00342F2F">
        <w:rPr>
          <w:szCs w:val="24"/>
        </w:rPr>
        <w:t>Abdelwahab</w:t>
      </w:r>
      <w:proofErr w:type="spellEnd"/>
      <w:r w:rsidRPr="00342F2F">
        <w:rPr>
          <w:szCs w:val="24"/>
        </w:rPr>
        <w:t xml:space="preserve"> Hani</w:t>
      </w:r>
      <w:r>
        <w:rPr>
          <w:szCs w:val="24"/>
        </w:rPr>
        <w:t>,</w:t>
      </w:r>
      <w:r w:rsidRPr="00342F2F">
        <w:rPr>
          <w:szCs w:val="24"/>
        </w:rPr>
        <w:t xml:space="preserve"> </w:t>
      </w:r>
      <w:r w:rsidRPr="00C67FCA">
        <w:rPr>
          <w:szCs w:val="24"/>
        </w:rPr>
        <w:t xml:space="preserve">Claude Heller </w:t>
      </w:r>
      <w:proofErr w:type="spellStart"/>
      <w:r w:rsidRPr="00C67FCA">
        <w:rPr>
          <w:szCs w:val="24"/>
        </w:rPr>
        <w:t>Rouassant</w:t>
      </w:r>
      <w:proofErr w:type="spellEnd"/>
      <w:r w:rsidRPr="00C67FCA">
        <w:rPr>
          <w:szCs w:val="24"/>
        </w:rPr>
        <w:t>,</w:t>
      </w:r>
      <w:r>
        <w:rPr>
          <w:szCs w:val="24"/>
        </w:rPr>
        <w:t xml:space="preserve"> </w:t>
      </w:r>
      <w:r w:rsidRPr="00342F2F">
        <w:rPr>
          <w:szCs w:val="24"/>
        </w:rPr>
        <w:t>Jens</w:t>
      </w:r>
      <w:r>
        <w:rPr>
          <w:snapToGrid w:val="0"/>
          <w:szCs w:val="24"/>
        </w:rPr>
        <w:t xml:space="preserve"> </w:t>
      </w:r>
      <w:proofErr w:type="spellStart"/>
      <w:r>
        <w:rPr>
          <w:snapToGrid w:val="0"/>
          <w:szCs w:val="24"/>
        </w:rPr>
        <w:t>Modvig</w:t>
      </w:r>
      <w:proofErr w:type="spellEnd"/>
      <w:r>
        <w:rPr>
          <w:snapToGrid w:val="0"/>
          <w:szCs w:val="24"/>
        </w:rPr>
        <w:t>,</w:t>
      </w:r>
      <w:r w:rsidR="002B6BD4">
        <w:rPr>
          <w:snapToGrid w:val="0"/>
          <w:szCs w:val="24"/>
        </w:rPr>
        <w:t xml:space="preserve"> </w:t>
      </w:r>
      <w:r w:rsidRPr="00C67FCA">
        <w:rPr>
          <w:szCs w:val="24"/>
        </w:rPr>
        <w:t xml:space="preserve">Ana </w:t>
      </w:r>
      <w:proofErr w:type="spellStart"/>
      <w:r w:rsidRPr="00C67FCA">
        <w:rPr>
          <w:szCs w:val="24"/>
        </w:rPr>
        <w:t>Racu</w:t>
      </w:r>
      <w:proofErr w:type="spellEnd"/>
      <w:r w:rsidRPr="00C67FCA">
        <w:rPr>
          <w:szCs w:val="24"/>
        </w:rPr>
        <w:t xml:space="preserve">, </w:t>
      </w:r>
      <w:proofErr w:type="spellStart"/>
      <w:r w:rsidRPr="00C67FCA">
        <w:rPr>
          <w:szCs w:val="24"/>
        </w:rPr>
        <w:t>Sébastien</w:t>
      </w:r>
      <w:proofErr w:type="spellEnd"/>
      <w:r w:rsidRPr="00C67FCA">
        <w:rPr>
          <w:szCs w:val="24"/>
        </w:rPr>
        <w:t xml:space="preserve"> </w:t>
      </w:r>
      <w:proofErr w:type="spellStart"/>
      <w:r w:rsidRPr="00C67FCA">
        <w:rPr>
          <w:szCs w:val="24"/>
        </w:rPr>
        <w:t>Touzé</w:t>
      </w:r>
      <w:proofErr w:type="spellEnd"/>
      <w:r>
        <w:rPr>
          <w:szCs w:val="24"/>
        </w:rPr>
        <w:t xml:space="preserve"> and </w:t>
      </w:r>
      <w:proofErr w:type="spellStart"/>
      <w:r>
        <w:rPr>
          <w:szCs w:val="24"/>
        </w:rPr>
        <w:t>Kening</w:t>
      </w:r>
      <w:proofErr w:type="spellEnd"/>
      <w:r>
        <w:rPr>
          <w:szCs w:val="24"/>
        </w:rPr>
        <w:t xml:space="preserve"> Zhang</w:t>
      </w:r>
      <w:r>
        <w:t>.</w:t>
      </w:r>
    </w:p>
  </w:footnote>
  <w:footnote w:id="4">
    <w:p w:rsidR="00F12B68" w:rsidRDefault="00F12B68" w:rsidP="00E008F8">
      <w:pPr>
        <w:pStyle w:val="FootnoteText"/>
      </w:pPr>
      <w:r>
        <w:tab/>
      </w:r>
      <w:r>
        <w:rPr>
          <w:rStyle w:val="FootnoteReference"/>
        </w:rPr>
        <w:footnoteRef/>
      </w:r>
      <w:r>
        <w:tab/>
        <w:t xml:space="preserve">Reference is made to, inter alia, </w:t>
      </w:r>
      <w:r w:rsidRPr="001D21A7">
        <w:t xml:space="preserve">Office of the United Nations High Commissioner for Refugees, </w:t>
      </w:r>
      <w:r w:rsidRPr="00E008F8">
        <w:rPr>
          <w:i/>
          <w:iCs/>
        </w:rPr>
        <w:t>UNHCR Eligibility Guidelines for Assessing the International Protection Needs of Asylum-Seekers from Sri Lanka</w:t>
      </w:r>
      <w:r>
        <w:t>, 5 July 2010; Denmark, Danish Immigration Service, “</w:t>
      </w:r>
      <w:r w:rsidRPr="00CA1D44">
        <w:t xml:space="preserve">Human </w:t>
      </w:r>
      <w:r>
        <w:t>r</w:t>
      </w:r>
      <w:r w:rsidRPr="00CA1D44">
        <w:t xml:space="preserve">ights and </w:t>
      </w:r>
      <w:r>
        <w:t>s</w:t>
      </w:r>
      <w:r w:rsidRPr="00CA1D44">
        <w:t xml:space="preserve">ecurity </w:t>
      </w:r>
      <w:r>
        <w:t>i</w:t>
      </w:r>
      <w:r w:rsidRPr="00CA1D44">
        <w:t>ssues concerning Tamils in Sri Lanka</w:t>
      </w:r>
      <w:r>
        <w:t>”, October 2010; Australia, Department of Foreign Affairs and Trade, “</w:t>
      </w:r>
      <w:r w:rsidRPr="00CA1D44">
        <w:t xml:space="preserve">Sri Lanka: </w:t>
      </w:r>
      <w:r>
        <w:t>t</w:t>
      </w:r>
      <w:r w:rsidRPr="00CA1D44">
        <w:t>reatment of Tamils</w:t>
      </w:r>
      <w:r>
        <w:t xml:space="preserve">”, </w:t>
      </w:r>
      <w:r w:rsidRPr="00E008F8">
        <w:t>Country Information Report No. 10/58</w:t>
      </w:r>
      <w:r>
        <w:t>, 21 September 2010 (CX249694)</w:t>
      </w:r>
      <w:r w:rsidR="00E008F8">
        <w:t>.</w:t>
      </w:r>
    </w:p>
  </w:footnote>
  <w:footnote w:id="5">
    <w:p w:rsidR="00F12B68" w:rsidRPr="00861CD3" w:rsidRDefault="00F12B68" w:rsidP="00E008F8">
      <w:pPr>
        <w:pStyle w:val="FootnoteText"/>
        <w:rPr>
          <w:b/>
        </w:rPr>
      </w:pPr>
      <w:r>
        <w:tab/>
      </w:r>
      <w:r>
        <w:rPr>
          <w:rStyle w:val="FootnoteReference"/>
        </w:rPr>
        <w:footnoteRef/>
      </w:r>
      <w:r>
        <w:t xml:space="preserve"> </w:t>
      </w:r>
      <w:r>
        <w:tab/>
      </w:r>
      <w:r w:rsidRPr="00F743DD">
        <w:t xml:space="preserve">The </w:t>
      </w:r>
      <w:r>
        <w:t xml:space="preserve">Refugee </w:t>
      </w:r>
      <w:r w:rsidRPr="00F743DD">
        <w:t>Review</w:t>
      </w:r>
      <w:r>
        <w:t xml:space="preserve"> Tribunal</w:t>
      </w:r>
      <w:r w:rsidRPr="00F743DD">
        <w:t xml:space="preserve"> relied</w:t>
      </w:r>
      <w:r>
        <w:t xml:space="preserve"> on, inter alia, </w:t>
      </w:r>
      <w:r>
        <w:rPr>
          <w:snapToGrid w:val="0"/>
        </w:rPr>
        <w:t>the following country reports: Australia, Department of Foreign Affairs and Trade, “</w:t>
      </w:r>
      <w:r w:rsidRPr="00CA1D44">
        <w:rPr>
          <w:snapToGrid w:val="0"/>
        </w:rPr>
        <w:t xml:space="preserve">Sri Lanka: </w:t>
      </w:r>
      <w:r>
        <w:rPr>
          <w:snapToGrid w:val="0"/>
        </w:rPr>
        <w:t>t</w:t>
      </w:r>
      <w:r w:rsidRPr="00CA1D44">
        <w:rPr>
          <w:snapToGrid w:val="0"/>
        </w:rPr>
        <w:t>reatment of Tamils</w:t>
      </w:r>
      <w:r>
        <w:rPr>
          <w:snapToGrid w:val="0"/>
        </w:rPr>
        <w:t>”</w:t>
      </w:r>
      <w:r w:rsidRPr="00CA1D44">
        <w:rPr>
          <w:snapToGrid w:val="0"/>
        </w:rPr>
        <w:t>,</w:t>
      </w:r>
      <w:r>
        <w:rPr>
          <w:snapToGrid w:val="0"/>
        </w:rPr>
        <w:t xml:space="preserve"> </w:t>
      </w:r>
      <w:r w:rsidRPr="00CA1D44">
        <w:rPr>
          <w:snapToGrid w:val="0"/>
        </w:rPr>
        <w:t>Country Information Report No. 10/58,</w:t>
      </w:r>
      <w:r>
        <w:rPr>
          <w:snapToGrid w:val="0"/>
        </w:rPr>
        <w:t xml:space="preserve"> 21 September 2010 (CX249694); Canada, Immigration and Refugee Board, </w:t>
      </w:r>
      <w:r w:rsidRPr="00E008F8">
        <w:rPr>
          <w:i/>
          <w:iCs/>
          <w:snapToGrid w:val="0"/>
        </w:rPr>
        <w:t>Sri</w:t>
      </w:r>
      <w:r w:rsidR="002B6BD4">
        <w:rPr>
          <w:i/>
          <w:iCs/>
          <w:snapToGrid w:val="0"/>
        </w:rPr>
        <w:t> </w:t>
      </w:r>
      <w:r w:rsidRPr="00E008F8">
        <w:rPr>
          <w:i/>
          <w:iCs/>
          <w:snapToGrid w:val="0"/>
        </w:rPr>
        <w:t>Lanka: Information on the treatment of Tamil returnees to Sri Lanka, including failed refugee applicants</w:t>
      </w:r>
      <w:r>
        <w:rPr>
          <w:snapToGrid w:val="0"/>
        </w:rPr>
        <w:t>, 22 August 2011 (LKA103815); and Denmark, Danish Immigration Service, “</w:t>
      </w:r>
      <w:r w:rsidRPr="00CA1D44">
        <w:rPr>
          <w:snapToGrid w:val="0"/>
        </w:rPr>
        <w:t xml:space="preserve">Human </w:t>
      </w:r>
      <w:r>
        <w:rPr>
          <w:snapToGrid w:val="0"/>
        </w:rPr>
        <w:t>r</w:t>
      </w:r>
      <w:r w:rsidRPr="00CA1D44">
        <w:rPr>
          <w:snapToGrid w:val="0"/>
        </w:rPr>
        <w:t xml:space="preserve">ights and </w:t>
      </w:r>
      <w:r>
        <w:rPr>
          <w:snapToGrid w:val="0"/>
        </w:rPr>
        <w:t>s</w:t>
      </w:r>
      <w:r w:rsidRPr="00CA1D44">
        <w:rPr>
          <w:snapToGrid w:val="0"/>
        </w:rPr>
        <w:t xml:space="preserve">ecurity </w:t>
      </w:r>
      <w:r>
        <w:rPr>
          <w:snapToGrid w:val="0"/>
        </w:rPr>
        <w:t>i</w:t>
      </w:r>
      <w:r w:rsidRPr="00CA1D44">
        <w:rPr>
          <w:snapToGrid w:val="0"/>
        </w:rPr>
        <w:t>ssues concerning Tamils in Sri Lanka</w:t>
      </w:r>
      <w:r>
        <w:rPr>
          <w:snapToGrid w:val="0"/>
        </w:rPr>
        <w:t xml:space="preserve">”, October 2010. </w:t>
      </w:r>
    </w:p>
  </w:footnote>
  <w:footnote w:id="6">
    <w:p w:rsidR="00F12B68" w:rsidRDefault="00F12B68" w:rsidP="00E008F8">
      <w:pPr>
        <w:pStyle w:val="FootnoteText"/>
      </w:pPr>
      <w:r>
        <w:tab/>
      </w:r>
      <w:r>
        <w:rPr>
          <w:rStyle w:val="FootnoteReference"/>
        </w:rPr>
        <w:footnoteRef/>
      </w:r>
      <w:r>
        <w:tab/>
        <w:t>See the Committee’s g</w:t>
      </w:r>
      <w:r w:rsidRPr="00B6529C">
        <w:rPr>
          <w:szCs w:val="18"/>
        </w:rPr>
        <w:t>eneral comment No. 1</w:t>
      </w:r>
      <w:r>
        <w:rPr>
          <w:szCs w:val="18"/>
        </w:rPr>
        <w:t xml:space="preserve"> (1997) on the implementation of article 3 of the Convention</w:t>
      </w:r>
      <w:r w:rsidRPr="00B6529C">
        <w:rPr>
          <w:szCs w:val="18"/>
        </w:rPr>
        <w:t xml:space="preserve">, para. </w:t>
      </w:r>
      <w:proofErr w:type="gramStart"/>
      <w:r>
        <w:rPr>
          <w:szCs w:val="18"/>
        </w:rPr>
        <w:t>9 (a)</w:t>
      </w:r>
      <w:r w:rsidRPr="00B6529C">
        <w:rPr>
          <w:szCs w:val="18"/>
        </w:rPr>
        <w:t>.</w:t>
      </w:r>
      <w:proofErr w:type="gramEnd"/>
    </w:p>
  </w:footnote>
  <w:footnote w:id="7">
    <w:p w:rsidR="00F12B68" w:rsidRDefault="00F12B68" w:rsidP="00E008F8">
      <w:pPr>
        <w:pStyle w:val="FootnoteText"/>
      </w:pPr>
      <w:r>
        <w:tab/>
      </w:r>
      <w:r>
        <w:rPr>
          <w:rStyle w:val="FootnoteReference"/>
        </w:rPr>
        <w:footnoteRef/>
      </w:r>
      <w:r>
        <w:tab/>
        <w:t xml:space="preserve">United States of America, Department of State, </w:t>
      </w:r>
      <w:r>
        <w:rPr>
          <w:i/>
        </w:rPr>
        <w:t>2014 Country Report on Human Rights Practice</w:t>
      </w:r>
      <w:r w:rsidRPr="00E008F8">
        <w:rPr>
          <w:iCs/>
        </w:rPr>
        <w:t>, “Sri</w:t>
      </w:r>
      <w:r w:rsidR="002B6BD4">
        <w:rPr>
          <w:iCs/>
        </w:rPr>
        <w:t> </w:t>
      </w:r>
      <w:r w:rsidRPr="00E008F8">
        <w:rPr>
          <w:iCs/>
        </w:rPr>
        <w:t>Lanka”</w:t>
      </w:r>
      <w:r>
        <w:rPr>
          <w:i/>
        </w:rPr>
        <w:t xml:space="preserve">, </w:t>
      </w:r>
      <w:r>
        <w:t>25 June 2015; Amnesty International,</w:t>
      </w:r>
      <w:r w:rsidR="002B6BD4">
        <w:t xml:space="preserve"> </w:t>
      </w:r>
      <w:r w:rsidRPr="008F4B84">
        <w:rPr>
          <w:i/>
        </w:rPr>
        <w:t>Amnesty International</w:t>
      </w:r>
      <w:r>
        <w:rPr>
          <w:i/>
        </w:rPr>
        <w:t xml:space="preserve"> Report 2014/15</w:t>
      </w:r>
      <w:r w:rsidRPr="00E008F8">
        <w:rPr>
          <w:iCs/>
        </w:rPr>
        <w:t>, “</w:t>
      </w:r>
      <w:r w:rsidR="00E008F8">
        <w:rPr>
          <w:iCs/>
        </w:rPr>
        <w:t>Sri </w:t>
      </w:r>
      <w:r w:rsidRPr="00E008F8">
        <w:rPr>
          <w:iCs/>
        </w:rPr>
        <w:t>Lanka”,</w:t>
      </w:r>
      <w:r>
        <w:rPr>
          <w:i/>
        </w:rPr>
        <w:t xml:space="preserve"> </w:t>
      </w:r>
      <w:r>
        <w:t>25 February 2015.</w:t>
      </w:r>
    </w:p>
  </w:footnote>
  <w:footnote w:id="8">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235392">
        <w:rPr>
          <w:szCs w:val="18"/>
        </w:rPr>
        <w:t xml:space="preserve">See communication No. </w:t>
      </w:r>
      <w:r w:rsidRPr="002F1613">
        <w:t>550/2013</w:t>
      </w:r>
      <w:r>
        <w:t xml:space="preserve">, </w:t>
      </w:r>
      <w:r w:rsidRPr="00C877AA">
        <w:rPr>
          <w:i/>
          <w:szCs w:val="18"/>
        </w:rPr>
        <w:t>S.K. and others v. Sweden</w:t>
      </w:r>
      <w:r w:rsidRPr="00235392">
        <w:rPr>
          <w:szCs w:val="18"/>
        </w:rPr>
        <w:t xml:space="preserve">, decision </w:t>
      </w:r>
      <w:r>
        <w:rPr>
          <w:szCs w:val="18"/>
        </w:rPr>
        <w:t>adopted on</w:t>
      </w:r>
      <w:r w:rsidRPr="00235392">
        <w:rPr>
          <w:szCs w:val="18"/>
        </w:rPr>
        <w:t xml:space="preserve"> 8 May 2015, para</w:t>
      </w:r>
      <w:r>
        <w:rPr>
          <w:szCs w:val="18"/>
        </w:rPr>
        <w:t>.</w:t>
      </w:r>
      <w:r w:rsidR="002B6BD4">
        <w:rPr>
          <w:szCs w:val="18"/>
        </w:rPr>
        <w:t> </w:t>
      </w:r>
      <w:r>
        <w:rPr>
          <w:szCs w:val="18"/>
        </w:rPr>
        <w:t xml:space="preserve">7.3. </w:t>
      </w:r>
    </w:p>
  </w:footnote>
  <w:footnote w:id="9">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510162">
        <w:rPr>
          <w:szCs w:val="18"/>
        </w:rPr>
        <w:t xml:space="preserve">See </w:t>
      </w:r>
      <w:r w:rsidR="005065F3">
        <w:rPr>
          <w:szCs w:val="18"/>
        </w:rPr>
        <w:t>communication No. 203/2002,</w:t>
      </w:r>
      <w:r w:rsidR="002B6BD4">
        <w:rPr>
          <w:szCs w:val="18"/>
        </w:rPr>
        <w:t xml:space="preserve"> </w:t>
      </w:r>
      <w:r w:rsidRPr="00510162">
        <w:rPr>
          <w:i/>
          <w:iCs/>
          <w:szCs w:val="18"/>
        </w:rPr>
        <w:t>A.R.</w:t>
      </w:r>
      <w:r w:rsidRPr="009175E0">
        <w:rPr>
          <w:i/>
          <w:iCs/>
          <w:szCs w:val="18"/>
        </w:rPr>
        <w:t xml:space="preserve"> v. </w:t>
      </w:r>
      <w:r w:rsidRPr="00510162">
        <w:rPr>
          <w:i/>
          <w:iCs/>
          <w:szCs w:val="18"/>
        </w:rPr>
        <w:t>Netherlands</w:t>
      </w:r>
      <w:r w:rsidRPr="00510162">
        <w:rPr>
          <w:szCs w:val="18"/>
        </w:rPr>
        <w:t xml:space="preserve">, </w:t>
      </w:r>
      <w:r w:rsidR="005065F3">
        <w:rPr>
          <w:szCs w:val="18"/>
        </w:rPr>
        <w:t xml:space="preserve">decision adopted on 14 November 2003, </w:t>
      </w:r>
      <w:r w:rsidRPr="00510162">
        <w:rPr>
          <w:szCs w:val="18"/>
        </w:rPr>
        <w:t>para. </w:t>
      </w:r>
      <w:r w:rsidRPr="00DA6DAD">
        <w:rPr>
          <w:szCs w:val="18"/>
        </w:rPr>
        <w:t>7.3.</w:t>
      </w:r>
      <w:r>
        <w:rPr>
          <w:szCs w:val="18"/>
        </w:rPr>
        <w:t xml:space="preserve"> </w:t>
      </w:r>
    </w:p>
  </w:footnote>
  <w:footnote w:id="10">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A14B18">
        <w:rPr>
          <w:szCs w:val="18"/>
        </w:rPr>
        <w:t>See</w:t>
      </w:r>
      <w:r w:rsidR="000B3047">
        <w:rPr>
          <w:szCs w:val="18"/>
        </w:rPr>
        <w:t xml:space="preserve"> </w:t>
      </w:r>
      <w:r w:rsidRPr="00A14B18">
        <w:rPr>
          <w:szCs w:val="18"/>
        </w:rPr>
        <w:t xml:space="preserve">communication No. 356/2008, </w:t>
      </w:r>
      <w:r w:rsidRPr="00B23A14">
        <w:rPr>
          <w:i/>
          <w:iCs/>
          <w:szCs w:val="18"/>
        </w:rPr>
        <w:t>N.S. v. Switzerland</w:t>
      </w:r>
      <w:r w:rsidRPr="00A14B18">
        <w:rPr>
          <w:szCs w:val="18"/>
        </w:rPr>
        <w:t>, decision adopted on 6 May 2010, para. 7.3</w:t>
      </w:r>
      <w:r>
        <w:rPr>
          <w:szCs w:val="18"/>
        </w:rPr>
        <w:t>.</w:t>
      </w:r>
      <w:r>
        <w:t xml:space="preserve"> </w:t>
      </w:r>
    </w:p>
  </w:footnote>
  <w:footnote w:id="11">
    <w:p w:rsidR="00F12B68" w:rsidRPr="00253A06" w:rsidRDefault="00F12B68" w:rsidP="00E008F8">
      <w:pPr>
        <w:pStyle w:val="FootnoteText"/>
        <w:widowControl w:val="0"/>
        <w:tabs>
          <w:tab w:val="clear" w:pos="1021"/>
          <w:tab w:val="right" w:pos="1020"/>
        </w:tabs>
      </w:pPr>
      <w:r>
        <w:tab/>
      </w:r>
      <w:r>
        <w:rPr>
          <w:rStyle w:val="FootnoteReference"/>
        </w:rPr>
        <w:footnoteRef/>
      </w:r>
      <w:r>
        <w:tab/>
      </w:r>
      <w:r w:rsidRPr="00510162">
        <w:rPr>
          <w:szCs w:val="18"/>
        </w:rPr>
        <w:t>See for example</w:t>
      </w:r>
      <w:r w:rsidR="005065F3">
        <w:rPr>
          <w:szCs w:val="18"/>
        </w:rPr>
        <w:t>, communications</w:t>
      </w:r>
      <w:r w:rsidRPr="00510162">
        <w:rPr>
          <w:szCs w:val="18"/>
        </w:rPr>
        <w:t xml:space="preserve"> No. 426/2010, </w:t>
      </w:r>
      <w:r w:rsidRPr="00510162">
        <w:rPr>
          <w:i/>
          <w:iCs/>
          <w:szCs w:val="18"/>
        </w:rPr>
        <w:t xml:space="preserve">R.D. </w:t>
      </w:r>
      <w:r w:rsidRPr="00510162">
        <w:rPr>
          <w:szCs w:val="18"/>
        </w:rPr>
        <w:t>v.</w:t>
      </w:r>
      <w:r w:rsidRPr="00510162">
        <w:rPr>
          <w:i/>
          <w:iCs/>
          <w:szCs w:val="18"/>
        </w:rPr>
        <w:t xml:space="preserve"> Switzerland</w:t>
      </w:r>
      <w:r w:rsidRPr="00510162">
        <w:rPr>
          <w:szCs w:val="18"/>
        </w:rPr>
        <w:t>, decisio</w:t>
      </w:r>
      <w:r>
        <w:rPr>
          <w:szCs w:val="18"/>
        </w:rPr>
        <w:t>n of 8 November 2013, para. </w:t>
      </w:r>
      <w:proofErr w:type="gramStart"/>
      <w:r>
        <w:rPr>
          <w:szCs w:val="18"/>
        </w:rPr>
        <w:t>9.2</w:t>
      </w:r>
      <w:r w:rsidRPr="002456E4">
        <w:rPr>
          <w:szCs w:val="18"/>
        </w:rPr>
        <w:t>; No.</w:t>
      </w:r>
      <w:r w:rsidR="005065F3">
        <w:rPr>
          <w:szCs w:val="18"/>
        </w:rPr>
        <w:t xml:space="preserve"> </w:t>
      </w:r>
      <w:r w:rsidRPr="002456E4">
        <w:rPr>
          <w:szCs w:val="18"/>
        </w:rPr>
        <w:t>591/2014</w:t>
      </w:r>
      <w:r>
        <w:rPr>
          <w:szCs w:val="18"/>
        </w:rPr>
        <w:t>,</w:t>
      </w:r>
      <w:r w:rsidRPr="002456E4">
        <w:rPr>
          <w:szCs w:val="18"/>
        </w:rPr>
        <w:t xml:space="preserve"> </w:t>
      </w:r>
      <w:r w:rsidRPr="002456E4">
        <w:rPr>
          <w:i/>
          <w:szCs w:val="18"/>
        </w:rPr>
        <w:t>K. v. Australia</w:t>
      </w:r>
      <w:r w:rsidRPr="002456E4">
        <w:rPr>
          <w:szCs w:val="18"/>
        </w:rPr>
        <w:t xml:space="preserve">, decision of </w:t>
      </w:r>
      <w:r>
        <w:rPr>
          <w:szCs w:val="18"/>
        </w:rPr>
        <w:t>25 November 2015, para.10.11</w:t>
      </w:r>
      <w:r w:rsidRPr="002456E4">
        <w:rPr>
          <w:szCs w:val="18"/>
        </w:rPr>
        <w:t>.</w:t>
      </w:r>
      <w:proofErr w:type="gramEnd"/>
      <w:r>
        <w:t xml:space="preserve"> </w:t>
      </w:r>
    </w:p>
  </w:footnote>
  <w:footnote w:id="12">
    <w:p w:rsidR="00F12B68" w:rsidRPr="00253A06" w:rsidRDefault="00F12B68" w:rsidP="00E008F8">
      <w:pPr>
        <w:pStyle w:val="FootnoteText"/>
        <w:widowControl w:val="0"/>
        <w:tabs>
          <w:tab w:val="clear" w:pos="1021"/>
          <w:tab w:val="right" w:pos="1020"/>
        </w:tabs>
      </w:pPr>
      <w:r>
        <w:tab/>
      </w:r>
      <w:r>
        <w:rPr>
          <w:rStyle w:val="FootnoteReference"/>
        </w:rPr>
        <w:footnoteRef/>
      </w:r>
      <w:r>
        <w:tab/>
      </w:r>
      <w:r w:rsidR="005065F3">
        <w:t xml:space="preserve">See CAT/C/LKA/CO/3-4, </w:t>
      </w:r>
      <w:r w:rsidRPr="00456088">
        <w:rPr>
          <w:bCs/>
          <w:szCs w:val="18"/>
        </w:rPr>
        <w:t>para</w:t>
      </w:r>
      <w:r w:rsidR="00466DC6">
        <w:rPr>
          <w:bCs/>
          <w:szCs w:val="18"/>
        </w:rPr>
        <w:t>.</w:t>
      </w:r>
      <w:r w:rsidRPr="00456088">
        <w:rPr>
          <w:bCs/>
          <w:szCs w:val="18"/>
        </w:rPr>
        <w:t xml:space="preserve"> 6.</w:t>
      </w:r>
      <w:r>
        <w:t xml:space="preserve"> </w:t>
      </w:r>
    </w:p>
  </w:footnote>
  <w:footnote w:id="13">
    <w:p w:rsidR="00F12B68" w:rsidRPr="00253A06" w:rsidRDefault="00F12B68" w:rsidP="00E008F8">
      <w:pPr>
        <w:pStyle w:val="FootnoteText"/>
        <w:widowControl w:val="0"/>
        <w:tabs>
          <w:tab w:val="clear" w:pos="1021"/>
          <w:tab w:val="right" w:pos="1020"/>
        </w:tabs>
      </w:pPr>
      <w:r>
        <w:tab/>
      </w:r>
      <w:r>
        <w:rPr>
          <w:rStyle w:val="FootnoteReference"/>
        </w:rPr>
        <w:footnoteRef/>
      </w:r>
      <w:r>
        <w:tab/>
      </w:r>
      <w:r w:rsidRPr="00DC638F">
        <w:rPr>
          <w:szCs w:val="18"/>
        </w:rPr>
        <w:t xml:space="preserve">See </w:t>
      </w:r>
      <w:r w:rsidRPr="00456088">
        <w:rPr>
          <w:bCs/>
          <w:szCs w:val="18"/>
        </w:rPr>
        <w:t>CAT/C/</w:t>
      </w:r>
      <w:r>
        <w:rPr>
          <w:bCs/>
          <w:szCs w:val="18"/>
        </w:rPr>
        <w:t>GBR</w:t>
      </w:r>
      <w:r w:rsidRPr="00456088">
        <w:rPr>
          <w:bCs/>
          <w:szCs w:val="18"/>
        </w:rPr>
        <w:t>/CO/</w:t>
      </w:r>
      <w:r>
        <w:rPr>
          <w:bCs/>
          <w:szCs w:val="18"/>
        </w:rPr>
        <w:t>5</w:t>
      </w:r>
      <w:r w:rsidRPr="00456088">
        <w:rPr>
          <w:bCs/>
          <w:szCs w:val="18"/>
        </w:rPr>
        <w:t>, para</w:t>
      </w:r>
      <w:r w:rsidR="005065F3">
        <w:rPr>
          <w:bCs/>
          <w:szCs w:val="18"/>
        </w:rPr>
        <w:t>.</w:t>
      </w:r>
      <w:r w:rsidRPr="00456088">
        <w:rPr>
          <w:bCs/>
          <w:szCs w:val="18"/>
        </w:rPr>
        <w:t xml:space="preserve"> </w:t>
      </w:r>
      <w:r>
        <w:rPr>
          <w:bCs/>
          <w:szCs w:val="18"/>
        </w:rPr>
        <w:t>20.</w:t>
      </w:r>
      <w:r>
        <w:t xml:space="preserve"> </w:t>
      </w:r>
    </w:p>
  </w:footnote>
  <w:footnote w:id="14">
    <w:p w:rsidR="00F12B68" w:rsidRPr="00255DA6" w:rsidRDefault="00F12B68" w:rsidP="00E008F8">
      <w:pPr>
        <w:pStyle w:val="FootnoteText"/>
        <w:widowControl w:val="0"/>
        <w:tabs>
          <w:tab w:val="clear" w:pos="1021"/>
          <w:tab w:val="right" w:pos="1020"/>
        </w:tabs>
      </w:pPr>
      <w:r>
        <w:tab/>
      </w:r>
      <w:r>
        <w:rPr>
          <w:rStyle w:val="FootnoteReference"/>
        </w:rPr>
        <w:footnoteRef/>
      </w:r>
      <w:r>
        <w:tab/>
      </w:r>
      <w:r w:rsidR="005065F3">
        <w:t xml:space="preserve">See </w:t>
      </w:r>
      <w:r>
        <w:t xml:space="preserve">Preliminary observations and recommendations of the Special Rapporteur on torture and other cruel, inhuman and degrading treatment or punishment, Mr. Juan E. Mendez, on the </w:t>
      </w:r>
      <w:r w:rsidR="005065F3">
        <w:t>o</w:t>
      </w:r>
      <w:r>
        <w:t>fficial joint visit to Sri Lanka</w:t>
      </w:r>
      <w:r w:rsidR="005065F3">
        <w:t>,</w:t>
      </w:r>
      <w:r>
        <w:t xml:space="preserve"> 29 April </w:t>
      </w:r>
      <w:r w:rsidR="005065F3">
        <w:t>to</w:t>
      </w:r>
      <w:r>
        <w:t xml:space="preserve"> 7 May 2016</w:t>
      </w:r>
      <w:r w:rsidR="005065F3">
        <w:t xml:space="preserve"> (</w:t>
      </w:r>
      <w:r>
        <w:t>Colombo, 7 May 2016</w:t>
      </w:r>
      <w:r w:rsidR="005065F3">
        <w:t>)</w:t>
      </w:r>
      <w:r>
        <w:t xml:space="preserve">. </w:t>
      </w:r>
    </w:p>
  </w:footnote>
  <w:footnote w:id="15">
    <w:p w:rsidR="00F12B68" w:rsidRPr="007A6A9F" w:rsidRDefault="002B6BD4" w:rsidP="00E008F8">
      <w:pPr>
        <w:pStyle w:val="FootnoteText"/>
        <w:widowControl w:val="0"/>
      </w:pPr>
      <w:r>
        <w:tab/>
      </w:r>
      <w:r w:rsidR="00F12B68">
        <w:rPr>
          <w:rStyle w:val="FootnoteReference"/>
        </w:rPr>
        <w:footnoteRef/>
      </w:r>
      <w:r w:rsidR="00F12B68">
        <w:tab/>
      </w:r>
      <w:r w:rsidR="005065F3">
        <w:t xml:space="preserve">See </w:t>
      </w:r>
      <w:r w:rsidR="00F12B68">
        <w:rPr>
          <w:bCs/>
          <w:szCs w:val="18"/>
        </w:rPr>
        <w:t xml:space="preserve">Freedom from Torture, </w:t>
      </w:r>
      <w:r w:rsidR="00F12B68" w:rsidRPr="00737E88">
        <w:rPr>
          <w:bCs/>
          <w:i/>
          <w:szCs w:val="18"/>
        </w:rPr>
        <w:t>Tainted Peace: Torture in Sri Lanka since May 2009</w:t>
      </w:r>
      <w:r w:rsidR="00F12B68">
        <w:rPr>
          <w:bCs/>
          <w:szCs w:val="18"/>
        </w:rPr>
        <w:t>, August 2015, available at</w:t>
      </w:r>
      <w:r w:rsidR="003C1F6B">
        <w:rPr>
          <w:bCs/>
          <w:szCs w:val="18"/>
        </w:rPr>
        <w:t xml:space="preserve"> </w:t>
      </w:r>
      <w:hyperlink r:id="rId1" w:history="1">
        <w:r w:rsidR="003C1F6B" w:rsidRPr="003C1F6B">
          <w:rPr>
            <w:rStyle w:val="Hyperlink"/>
            <w:bCs/>
            <w:szCs w:val="18"/>
          </w:rPr>
          <w:t>www.freedomfromtorture.org/sites/default/files/documents/sl_report_a4_-_final-f-b-web.pdf</w:t>
        </w:r>
      </w:hyperlink>
      <w:r w:rsidR="00F12B68">
        <w:rPr>
          <w:rStyle w:val="Hyperlink"/>
          <w:bCs/>
          <w:szCs w:val="18"/>
        </w:rPr>
        <w:t xml:space="preserve">; and </w:t>
      </w:r>
      <w:r w:rsidR="00F12B68">
        <w:t xml:space="preserve">Yasmin </w:t>
      </w:r>
      <w:proofErr w:type="spellStart"/>
      <w:r w:rsidR="00F12B68">
        <w:t>Sooka</w:t>
      </w:r>
      <w:proofErr w:type="spellEnd"/>
      <w:r w:rsidR="00F12B68">
        <w:t>, The Bar Human Rights Committee of England and Wales (BHRC) and The International Truth and Justice Project, Sri Lanka</w:t>
      </w:r>
      <w:r w:rsidR="003C1F6B">
        <w:t>,</w:t>
      </w:r>
      <w:r w:rsidR="00F12B68">
        <w:t xml:space="preserve"> </w:t>
      </w:r>
      <w:r w:rsidR="00F12B68">
        <w:rPr>
          <w:i/>
        </w:rPr>
        <w:t>An Unfinished War, Torture and Sexual Violence in Sri Lanka 2009-2014</w:t>
      </w:r>
      <w:r w:rsidR="00F12B68">
        <w:t>, March 2014, available at</w:t>
      </w:r>
      <w:r w:rsidR="003C1F6B">
        <w:t xml:space="preserve"> </w:t>
      </w:r>
      <w:r w:rsidR="003C1F6B" w:rsidRPr="003C1F6B">
        <w:t>www.barhumanrights.org.uk/sites/</w:t>
      </w:r>
      <w:r w:rsidR="003C1F6B">
        <w:br/>
      </w:r>
      <w:r w:rsidR="003C1F6B" w:rsidRPr="003C1F6B">
        <w:t>default/files/documents/news/an_unfinihsed_war._torture_and_sexual_violence_in_sri_lanka_2009-2014_0.pdf</w:t>
      </w:r>
      <w:hyperlink w:history="1"/>
      <w:r w:rsidR="00F12B68">
        <w:t>.</w:t>
      </w:r>
    </w:p>
  </w:footnote>
  <w:footnote w:id="16">
    <w:p w:rsidR="00F12B68" w:rsidRPr="007A6A9F" w:rsidRDefault="00E13A70" w:rsidP="00E008F8">
      <w:pPr>
        <w:pStyle w:val="FootnoteText"/>
        <w:widowControl w:val="0"/>
      </w:pPr>
      <w:r>
        <w:tab/>
      </w:r>
      <w:r w:rsidR="00F12B68">
        <w:rPr>
          <w:rStyle w:val="FootnoteReference"/>
        </w:rPr>
        <w:footnoteRef/>
      </w:r>
      <w:r w:rsidR="00F12B68">
        <w:tab/>
      </w:r>
      <w:r w:rsidR="00F12B68" w:rsidRPr="007A6A9F">
        <w:t xml:space="preserve">See </w:t>
      </w:r>
      <w:r w:rsidR="00F12B68" w:rsidRPr="00162B93">
        <w:t xml:space="preserve">communication No. 628/2014, </w:t>
      </w:r>
      <w:r w:rsidR="00F12B68" w:rsidRPr="00162B93">
        <w:rPr>
          <w:i/>
        </w:rPr>
        <w:t>J.N. v. Denmark</w:t>
      </w:r>
      <w:r w:rsidR="00F12B68" w:rsidRPr="00162B93">
        <w:t xml:space="preserve">, decision </w:t>
      </w:r>
      <w:r w:rsidR="003C1F6B" w:rsidRPr="00162B93">
        <w:t>adopted on</w:t>
      </w:r>
      <w:r w:rsidR="00F12B68" w:rsidRPr="00162B93">
        <w:t xml:space="preserve"> 13 May 2016</w:t>
      </w:r>
      <w:r w:rsidR="00F12B68" w:rsidRPr="007A6A9F">
        <w:t xml:space="preserve">, para. </w:t>
      </w:r>
      <w:r w:rsidR="00F12B68">
        <w:t>7.9.</w:t>
      </w:r>
    </w:p>
  </w:footnote>
  <w:footnote w:id="17">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proofErr w:type="spellStart"/>
      <w:r w:rsidRPr="00E82D63">
        <w:rPr>
          <w:i/>
          <w:iCs/>
          <w:szCs w:val="18"/>
        </w:rPr>
        <w:t>Sivagnanaratnam</w:t>
      </w:r>
      <w:proofErr w:type="spellEnd"/>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sidR="003C1F6B">
        <w:rPr>
          <w:szCs w:val="18"/>
          <w:lang w:val="en"/>
        </w:rPr>
        <w:t>-</w:t>
      </w:r>
      <w:r w:rsidRPr="00315D76">
        <w:rPr>
          <w:szCs w:val="18"/>
          <w:lang w:val="en"/>
        </w:rPr>
        <w:t>10.6.</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68" w:rsidRPr="00785A61" w:rsidRDefault="00F12B68" w:rsidP="00C655B4">
    <w:pPr>
      <w:pStyle w:val="Header"/>
    </w:pPr>
    <w:r>
      <w:t>CAT/C/58/D/609/2014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68" w:rsidRPr="00785A61" w:rsidRDefault="00F12B68" w:rsidP="001814FB">
    <w:pPr>
      <w:pStyle w:val="Header"/>
      <w:jc w:val="right"/>
    </w:pPr>
    <w:r>
      <w:t>CAT/C/58/D/609/2014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5C37"/>
    <w:rsid w:val="00006632"/>
    <w:rsid w:val="000077B8"/>
    <w:rsid w:val="00010311"/>
    <w:rsid w:val="000161B0"/>
    <w:rsid w:val="00016464"/>
    <w:rsid w:val="000218EA"/>
    <w:rsid w:val="000218FE"/>
    <w:rsid w:val="00025126"/>
    <w:rsid w:val="00025F8E"/>
    <w:rsid w:val="00026A50"/>
    <w:rsid w:val="00030A80"/>
    <w:rsid w:val="0003225A"/>
    <w:rsid w:val="0003276C"/>
    <w:rsid w:val="0003386B"/>
    <w:rsid w:val="000360C6"/>
    <w:rsid w:val="00037536"/>
    <w:rsid w:val="00040296"/>
    <w:rsid w:val="000404CF"/>
    <w:rsid w:val="00040659"/>
    <w:rsid w:val="000407ED"/>
    <w:rsid w:val="000425A8"/>
    <w:rsid w:val="000431A6"/>
    <w:rsid w:val="00044076"/>
    <w:rsid w:val="000440EF"/>
    <w:rsid w:val="00045224"/>
    <w:rsid w:val="000465D1"/>
    <w:rsid w:val="00050F6B"/>
    <w:rsid w:val="00051496"/>
    <w:rsid w:val="0005248B"/>
    <w:rsid w:val="00055D93"/>
    <w:rsid w:val="00057926"/>
    <w:rsid w:val="00057E97"/>
    <w:rsid w:val="00061F70"/>
    <w:rsid w:val="000620B7"/>
    <w:rsid w:val="00063E48"/>
    <w:rsid w:val="000653B2"/>
    <w:rsid w:val="000707C1"/>
    <w:rsid w:val="00072C8C"/>
    <w:rsid w:val="000732DE"/>
    <w:rsid w:val="000733B5"/>
    <w:rsid w:val="00076017"/>
    <w:rsid w:val="00080555"/>
    <w:rsid w:val="00081815"/>
    <w:rsid w:val="00084A20"/>
    <w:rsid w:val="000926FA"/>
    <w:rsid w:val="000931C0"/>
    <w:rsid w:val="00094A47"/>
    <w:rsid w:val="00094B47"/>
    <w:rsid w:val="00095FA9"/>
    <w:rsid w:val="00096278"/>
    <w:rsid w:val="000964F6"/>
    <w:rsid w:val="0009681D"/>
    <w:rsid w:val="000976D9"/>
    <w:rsid w:val="000A284D"/>
    <w:rsid w:val="000B175B"/>
    <w:rsid w:val="000B3047"/>
    <w:rsid w:val="000B3672"/>
    <w:rsid w:val="000B3A0F"/>
    <w:rsid w:val="000B3C2B"/>
    <w:rsid w:val="000B4EF7"/>
    <w:rsid w:val="000C28B7"/>
    <w:rsid w:val="000C2C03"/>
    <w:rsid w:val="000C2C07"/>
    <w:rsid w:val="000C2D2E"/>
    <w:rsid w:val="000C3611"/>
    <w:rsid w:val="000C37A8"/>
    <w:rsid w:val="000C4331"/>
    <w:rsid w:val="000C705B"/>
    <w:rsid w:val="000D020F"/>
    <w:rsid w:val="000D0639"/>
    <w:rsid w:val="000D342F"/>
    <w:rsid w:val="000D6A51"/>
    <w:rsid w:val="000D6CFD"/>
    <w:rsid w:val="000E01F5"/>
    <w:rsid w:val="000E0415"/>
    <w:rsid w:val="000E210C"/>
    <w:rsid w:val="000E47F0"/>
    <w:rsid w:val="000E5354"/>
    <w:rsid w:val="000E7C3D"/>
    <w:rsid w:val="000E7CA0"/>
    <w:rsid w:val="000F15E1"/>
    <w:rsid w:val="000F2318"/>
    <w:rsid w:val="000F4619"/>
    <w:rsid w:val="000F46CC"/>
    <w:rsid w:val="000F5257"/>
    <w:rsid w:val="000F6D48"/>
    <w:rsid w:val="0010113D"/>
    <w:rsid w:val="0010186A"/>
    <w:rsid w:val="001051BF"/>
    <w:rsid w:val="001101EB"/>
    <w:rsid w:val="001103AA"/>
    <w:rsid w:val="001119BE"/>
    <w:rsid w:val="00114FA0"/>
    <w:rsid w:val="00115DA8"/>
    <w:rsid w:val="00115E3A"/>
    <w:rsid w:val="001162D4"/>
    <w:rsid w:val="00117576"/>
    <w:rsid w:val="001203E5"/>
    <w:rsid w:val="00120B2E"/>
    <w:rsid w:val="00122EBE"/>
    <w:rsid w:val="00124A72"/>
    <w:rsid w:val="001255FA"/>
    <w:rsid w:val="00125AB0"/>
    <w:rsid w:val="00126520"/>
    <w:rsid w:val="001275E2"/>
    <w:rsid w:val="00127DE9"/>
    <w:rsid w:val="00131211"/>
    <w:rsid w:val="00131E66"/>
    <w:rsid w:val="00132792"/>
    <w:rsid w:val="00133158"/>
    <w:rsid w:val="001360DB"/>
    <w:rsid w:val="00141919"/>
    <w:rsid w:val="00143907"/>
    <w:rsid w:val="001450BD"/>
    <w:rsid w:val="00147B55"/>
    <w:rsid w:val="001516F0"/>
    <w:rsid w:val="00153179"/>
    <w:rsid w:val="00153E70"/>
    <w:rsid w:val="001541A1"/>
    <w:rsid w:val="001553CE"/>
    <w:rsid w:val="00156A3E"/>
    <w:rsid w:val="00161D69"/>
    <w:rsid w:val="00162B93"/>
    <w:rsid w:val="00164501"/>
    <w:rsid w:val="00165F3A"/>
    <w:rsid w:val="0016627D"/>
    <w:rsid w:val="00170096"/>
    <w:rsid w:val="001774E9"/>
    <w:rsid w:val="00177D7B"/>
    <w:rsid w:val="00177F76"/>
    <w:rsid w:val="001814FB"/>
    <w:rsid w:val="001818E0"/>
    <w:rsid w:val="00181B4D"/>
    <w:rsid w:val="00182B7C"/>
    <w:rsid w:val="00183227"/>
    <w:rsid w:val="00184DE1"/>
    <w:rsid w:val="00185FC6"/>
    <w:rsid w:val="00187078"/>
    <w:rsid w:val="00191C9C"/>
    <w:rsid w:val="0019432A"/>
    <w:rsid w:val="0019442B"/>
    <w:rsid w:val="00194CC7"/>
    <w:rsid w:val="001978A6"/>
    <w:rsid w:val="0019793D"/>
    <w:rsid w:val="00197B02"/>
    <w:rsid w:val="001A03E6"/>
    <w:rsid w:val="001A20C4"/>
    <w:rsid w:val="001A3AB7"/>
    <w:rsid w:val="001A3D74"/>
    <w:rsid w:val="001A7E38"/>
    <w:rsid w:val="001A7F19"/>
    <w:rsid w:val="001A7FDB"/>
    <w:rsid w:val="001B14E9"/>
    <w:rsid w:val="001B1858"/>
    <w:rsid w:val="001B1AE4"/>
    <w:rsid w:val="001B1BD3"/>
    <w:rsid w:val="001B1FE3"/>
    <w:rsid w:val="001B2046"/>
    <w:rsid w:val="001B26BA"/>
    <w:rsid w:val="001B28F6"/>
    <w:rsid w:val="001B3C5D"/>
    <w:rsid w:val="001B4588"/>
    <w:rsid w:val="001B4B04"/>
    <w:rsid w:val="001B51BE"/>
    <w:rsid w:val="001B63F8"/>
    <w:rsid w:val="001B69EC"/>
    <w:rsid w:val="001C1CD1"/>
    <w:rsid w:val="001C1D4E"/>
    <w:rsid w:val="001C3527"/>
    <w:rsid w:val="001C5F3F"/>
    <w:rsid w:val="001C6663"/>
    <w:rsid w:val="001C7895"/>
    <w:rsid w:val="001D0C8C"/>
    <w:rsid w:val="001D21A7"/>
    <w:rsid w:val="001D26DF"/>
    <w:rsid w:val="001D31C5"/>
    <w:rsid w:val="001D3852"/>
    <w:rsid w:val="001D3A03"/>
    <w:rsid w:val="001D602B"/>
    <w:rsid w:val="001E1188"/>
    <w:rsid w:val="001E2457"/>
    <w:rsid w:val="001E2856"/>
    <w:rsid w:val="001E2B6D"/>
    <w:rsid w:val="001E350B"/>
    <w:rsid w:val="001E414E"/>
    <w:rsid w:val="001F0220"/>
    <w:rsid w:val="001F0F0B"/>
    <w:rsid w:val="001F0F61"/>
    <w:rsid w:val="001F17D1"/>
    <w:rsid w:val="001F19C1"/>
    <w:rsid w:val="001F2BAB"/>
    <w:rsid w:val="001F3BCA"/>
    <w:rsid w:val="001F4BD8"/>
    <w:rsid w:val="001F6885"/>
    <w:rsid w:val="001F7D63"/>
    <w:rsid w:val="00200DA6"/>
    <w:rsid w:val="00201120"/>
    <w:rsid w:val="00202DA8"/>
    <w:rsid w:val="00202F3D"/>
    <w:rsid w:val="0020302F"/>
    <w:rsid w:val="00205AD1"/>
    <w:rsid w:val="002117B3"/>
    <w:rsid w:val="00211E0B"/>
    <w:rsid w:val="00212F38"/>
    <w:rsid w:val="00213695"/>
    <w:rsid w:val="00214161"/>
    <w:rsid w:val="002149B4"/>
    <w:rsid w:val="00215C4A"/>
    <w:rsid w:val="002178F2"/>
    <w:rsid w:val="00220622"/>
    <w:rsid w:val="00222B37"/>
    <w:rsid w:val="0022571C"/>
    <w:rsid w:val="00226752"/>
    <w:rsid w:val="00231149"/>
    <w:rsid w:val="00231394"/>
    <w:rsid w:val="00233774"/>
    <w:rsid w:val="00233D4D"/>
    <w:rsid w:val="00234705"/>
    <w:rsid w:val="002356F2"/>
    <w:rsid w:val="00237410"/>
    <w:rsid w:val="00240CD4"/>
    <w:rsid w:val="00241811"/>
    <w:rsid w:val="00244166"/>
    <w:rsid w:val="00244D95"/>
    <w:rsid w:val="00247200"/>
    <w:rsid w:val="00247E03"/>
    <w:rsid w:val="00250BD3"/>
    <w:rsid w:val="00251186"/>
    <w:rsid w:val="002537CB"/>
    <w:rsid w:val="00254021"/>
    <w:rsid w:val="002554DD"/>
    <w:rsid w:val="002564D6"/>
    <w:rsid w:val="00256C5E"/>
    <w:rsid w:val="00257ECF"/>
    <w:rsid w:val="0026218D"/>
    <w:rsid w:val="00264EB1"/>
    <w:rsid w:val="00265340"/>
    <w:rsid w:val="002667AE"/>
    <w:rsid w:val="00267CF0"/>
    <w:rsid w:val="00267F5F"/>
    <w:rsid w:val="002737FF"/>
    <w:rsid w:val="00275BB9"/>
    <w:rsid w:val="002762A4"/>
    <w:rsid w:val="002771DB"/>
    <w:rsid w:val="0027730D"/>
    <w:rsid w:val="002809C5"/>
    <w:rsid w:val="002834B6"/>
    <w:rsid w:val="00283EDD"/>
    <w:rsid w:val="00285580"/>
    <w:rsid w:val="0028582C"/>
    <w:rsid w:val="0028626B"/>
    <w:rsid w:val="00286B4D"/>
    <w:rsid w:val="00286C54"/>
    <w:rsid w:val="0028771D"/>
    <w:rsid w:val="00291663"/>
    <w:rsid w:val="00294215"/>
    <w:rsid w:val="002955D6"/>
    <w:rsid w:val="00297799"/>
    <w:rsid w:val="002A004D"/>
    <w:rsid w:val="002A36EB"/>
    <w:rsid w:val="002A45E1"/>
    <w:rsid w:val="002A54E3"/>
    <w:rsid w:val="002A6615"/>
    <w:rsid w:val="002A683C"/>
    <w:rsid w:val="002B3C39"/>
    <w:rsid w:val="002B466B"/>
    <w:rsid w:val="002B6BD4"/>
    <w:rsid w:val="002B71F7"/>
    <w:rsid w:val="002B7465"/>
    <w:rsid w:val="002C2857"/>
    <w:rsid w:val="002C3239"/>
    <w:rsid w:val="002D01E0"/>
    <w:rsid w:val="002D05C2"/>
    <w:rsid w:val="002D0A13"/>
    <w:rsid w:val="002D0C17"/>
    <w:rsid w:val="002D0DCB"/>
    <w:rsid w:val="002D3031"/>
    <w:rsid w:val="002D45D8"/>
    <w:rsid w:val="002D511C"/>
    <w:rsid w:val="002D5515"/>
    <w:rsid w:val="002D7846"/>
    <w:rsid w:val="002E38E2"/>
    <w:rsid w:val="002F0D9F"/>
    <w:rsid w:val="002F1546"/>
    <w:rsid w:val="002F175C"/>
    <w:rsid w:val="002F1A00"/>
    <w:rsid w:val="002F4A6E"/>
    <w:rsid w:val="002F55B4"/>
    <w:rsid w:val="002F6F0F"/>
    <w:rsid w:val="002F73A0"/>
    <w:rsid w:val="0030196E"/>
    <w:rsid w:val="00303FC2"/>
    <w:rsid w:val="003046C1"/>
    <w:rsid w:val="00304A81"/>
    <w:rsid w:val="00305210"/>
    <w:rsid w:val="0030538D"/>
    <w:rsid w:val="00307A89"/>
    <w:rsid w:val="0031141D"/>
    <w:rsid w:val="00311AA1"/>
    <w:rsid w:val="0031435D"/>
    <w:rsid w:val="00314AEE"/>
    <w:rsid w:val="00314F7A"/>
    <w:rsid w:val="003165BD"/>
    <w:rsid w:val="00317E64"/>
    <w:rsid w:val="003202D5"/>
    <w:rsid w:val="00320888"/>
    <w:rsid w:val="00320E27"/>
    <w:rsid w:val="003229D8"/>
    <w:rsid w:val="00323B6C"/>
    <w:rsid w:val="0032453D"/>
    <w:rsid w:val="003279E5"/>
    <w:rsid w:val="00331BDA"/>
    <w:rsid w:val="003331F6"/>
    <w:rsid w:val="00334863"/>
    <w:rsid w:val="003351BF"/>
    <w:rsid w:val="00336161"/>
    <w:rsid w:val="003370D9"/>
    <w:rsid w:val="0033745E"/>
    <w:rsid w:val="00337473"/>
    <w:rsid w:val="00337E17"/>
    <w:rsid w:val="00340548"/>
    <w:rsid w:val="00341118"/>
    <w:rsid w:val="0034254A"/>
    <w:rsid w:val="0034364D"/>
    <w:rsid w:val="0034428F"/>
    <w:rsid w:val="00346358"/>
    <w:rsid w:val="00347C0E"/>
    <w:rsid w:val="00352709"/>
    <w:rsid w:val="00353D26"/>
    <w:rsid w:val="00354302"/>
    <w:rsid w:val="00357D7C"/>
    <w:rsid w:val="0036426A"/>
    <w:rsid w:val="0036586F"/>
    <w:rsid w:val="003659C5"/>
    <w:rsid w:val="003710E7"/>
    <w:rsid w:val="00371178"/>
    <w:rsid w:val="00374108"/>
    <w:rsid w:val="0037556C"/>
    <w:rsid w:val="00375E9B"/>
    <w:rsid w:val="00376654"/>
    <w:rsid w:val="00381A41"/>
    <w:rsid w:val="00383364"/>
    <w:rsid w:val="003850DF"/>
    <w:rsid w:val="00390DD6"/>
    <w:rsid w:val="00390E97"/>
    <w:rsid w:val="00392A43"/>
    <w:rsid w:val="00395F31"/>
    <w:rsid w:val="00396BAC"/>
    <w:rsid w:val="003A0945"/>
    <w:rsid w:val="003A1E6E"/>
    <w:rsid w:val="003A408F"/>
    <w:rsid w:val="003A48CB"/>
    <w:rsid w:val="003A552B"/>
    <w:rsid w:val="003A6810"/>
    <w:rsid w:val="003A701B"/>
    <w:rsid w:val="003B022C"/>
    <w:rsid w:val="003B1D53"/>
    <w:rsid w:val="003B20D4"/>
    <w:rsid w:val="003B4314"/>
    <w:rsid w:val="003C002F"/>
    <w:rsid w:val="003C1586"/>
    <w:rsid w:val="003C1F6B"/>
    <w:rsid w:val="003C2CC4"/>
    <w:rsid w:val="003C3975"/>
    <w:rsid w:val="003C3F2B"/>
    <w:rsid w:val="003C3F5A"/>
    <w:rsid w:val="003C6111"/>
    <w:rsid w:val="003D1F3E"/>
    <w:rsid w:val="003D2FFD"/>
    <w:rsid w:val="003D4253"/>
    <w:rsid w:val="003D4861"/>
    <w:rsid w:val="003D4B23"/>
    <w:rsid w:val="003D4DE7"/>
    <w:rsid w:val="003D79A9"/>
    <w:rsid w:val="003E2F9B"/>
    <w:rsid w:val="003E3057"/>
    <w:rsid w:val="003E4BE2"/>
    <w:rsid w:val="003E7D7D"/>
    <w:rsid w:val="003F3814"/>
    <w:rsid w:val="003F4553"/>
    <w:rsid w:val="003F4589"/>
    <w:rsid w:val="003F7618"/>
    <w:rsid w:val="003F7DFF"/>
    <w:rsid w:val="00406B87"/>
    <w:rsid w:val="00407B05"/>
    <w:rsid w:val="004109C5"/>
    <w:rsid w:val="00410C89"/>
    <w:rsid w:val="00413CEC"/>
    <w:rsid w:val="00414771"/>
    <w:rsid w:val="00416EAF"/>
    <w:rsid w:val="004217CC"/>
    <w:rsid w:val="00421C7A"/>
    <w:rsid w:val="004221D4"/>
    <w:rsid w:val="0042438D"/>
    <w:rsid w:val="00426B9B"/>
    <w:rsid w:val="004309A3"/>
    <w:rsid w:val="00431C6E"/>
    <w:rsid w:val="00431E72"/>
    <w:rsid w:val="0043207E"/>
    <w:rsid w:val="004325CB"/>
    <w:rsid w:val="0043276D"/>
    <w:rsid w:val="00432822"/>
    <w:rsid w:val="004347AE"/>
    <w:rsid w:val="00436114"/>
    <w:rsid w:val="00436F54"/>
    <w:rsid w:val="00437047"/>
    <w:rsid w:val="004424C1"/>
    <w:rsid w:val="00442A83"/>
    <w:rsid w:val="004437F2"/>
    <w:rsid w:val="0044450E"/>
    <w:rsid w:val="00444E73"/>
    <w:rsid w:val="00444FDE"/>
    <w:rsid w:val="0045018F"/>
    <w:rsid w:val="00451C9B"/>
    <w:rsid w:val="00452CAF"/>
    <w:rsid w:val="0045495B"/>
    <w:rsid w:val="004559F9"/>
    <w:rsid w:val="00456837"/>
    <w:rsid w:val="004605BC"/>
    <w:rsid w:val="00461F0D"/>
    <w:rsid w:val="0046348A"/>
    <w:rsid w:val="00466BCB"/>
    <w:rsid w:val="00466DC6"/>
    <w:rsid w:val="00467A4C"/>
    <w:rsid w:val="004711D9"/>
    <w:rsid w:val="00472839"/>
    <w:rsid w:val="004735BD"/>
    <w:rsid w:val="0047366A"/>
    <w:rsid w:val="0047398D"/>
    <w:rsid w:val="00475072"/>
    <w:rsid w:val="00476DF5"/>
    <w:rsid w:val="00482F11"/>
    <w:rsid w:val="00483264"/>
    <w:rsid w:val="004853E0"/>
    <w:rsid w:val="0048541D"/>
    <w:rsid w:val="00485DF1"/>
    <w:rsid w:val="0048765F"/>
    <w:rsid w:val="00494E19"/>
    <w:rsid w:val="00497A6A"/>
    <w:rsid w:val="004A4699"/>
    <w:rsid w:val="004A57F0"/>
    <w:rsid w:val="004A57F8"/>
    <w:rsid w:val="004A63C3"/>
    <w:rsid w:val="004B07D8"/>
    <w:rsid w:val="004B2B84"/>
    <w:rsid w:val="004B473F"/>
    <w:rsid w:val="004B4C23"/>
    <w:rsid w:val="004B4E89"/>
    <w:rsid w:val="004B5A15"/>
    <w:rsid w:val="004B6683"/>
    <w:rsid w:val="004B6FF9"/>
    <w:rsid w:val="004B7802"/>
    <w:rsid w:val="004B7D8A"/>
    <w:rsid w:val="004C0584"/>
    <w:rsid w:val="004C0DF7"/>
    <w:rsid w:val="004C1E30"/>
    <w:rsid w:val="004C4D86"/>
    <w:rsid w:val="004C6343"/>
    <w:rsid w:val="004C7ED7"/>
    <w:rsid w:val="004D0D0F"/>
    <w:rsid w:val="004D32EF"/>
    <w:rsid w:val="004D37F4"/>
    <w:rsid w:val="004D4F87"/>
    <w:rsid w:val="004E0A2D"/>
    <w:rsid w:val="004E22EF"/>
    <w:rsid w:val="004E3783"/>
    <w:rsid w:val="004E380E"/>
    <w:rsid w:val="004E4810"/>
    <w:rsid w:val="004E5846"/>
    <w:rsid w:val="004E5D93"/>
    <w:rsid w:val="004E6B36"/>
    <w:rsid w:val="004F016B"/>
    <w:rsid w:val="004F4E52"/>
    <w:rsid w:val="00503A46"/>
    <w:rsid w:val="005045AB"/>
    <w:rsid w:val="0050529E"/>
    <w:rsid w:val="00505919"/>
    <w:rsid w:val="00506447"/>
    <w:rsid w:val="005065F3"/>
    <w:rsid w:val="0050701A"/>
    <w:rsid w:val="0051042E"/>
    <w:rsid w:val="00510ECA"/>
    <w:rsid w:val="005119FD"/>
    <w:rsid w:val="00514338"/>
    <w:rsid w:val="00516043"/>
    <w:rsid w:val="00516EBF"/>
    <w:rsid w:val="0052136D"/>
    <w:rsid w:val="005214F6"/>
    <w:rsid w:val="00522740"/>
    <w:rsid w:val="00522E7C"/>
    <w:rsid w:val="00523C5D"/>
    <w:rsid w:val="00526898"/>
    <w:rsid w:val="0052775E"/>
    <w:rsid w:val="005307A0"/>
    <w:rsid w:val="0053354C"/>
    <w:rsid w:val="00533F55"/>
    <w:rsid w:val="0053422B"/>
    <w:rsid w:val="005356F4"/>
    <w:rsid w:val="00536EAF"/>
    <w:rsid w:val="00540EFE"/>
    <w:rsid w:val="005420F2"/>
    <w:rsid w:val="00544C14"/>
    <w:rsid w:val="00545389"/>
    <w:rsid w:val="00545A68"/>
    <w:rsid w:val="00545C95"/>
    <w:rsid w:val="00545EEB"/>
    <w:rsid w:val="00547855"/>
    <w:rsid w:val="00551027"/>
    <w:rsid w:val="0055274C"/>
    <w:rsid w:val="005556BF"/>
    <w:rsid w:val="00561759"/>
    <w:rsid w:val="0056249B"/>
    <w:rsid w:val="005628B6"/>
    <w:rsid w:val="005636C7"/>
    <w:rsid w:val="00564F50"/>
    <w:rsid w:val="00565CEE"/>
    <w:rsid w:val="005668D9"/>
    <w:rsid w:val="00566B76"/>
    <w:rsid w:val="00567E09"/>
    <w:rsid w:val="00570419"/>
    <w:rsid w:val="00571184"/>
    <w:rsid w:val="005715BB"/>
    <w:rsid w:val="00573AFD"/>
    <w:rsid w:val="00576268"/>
    <w:rsid w:val="00586664"/>
    <w:rsid w:val="00586B44"/>
    <w:rsid w:val="005875F6"/>
    <w:rsid w:val="00590CD4"/>
    <w:rsid w:val="00591835"/>
    <w:rsid w:val="00591EEF"/>
    <w:rsid w:val="005923C0"/>
    <w:rsid w:val="0059347A"/>
    <w:rsid w:val="00594A73"/>
    <w:rsid w:val="00594B48"/>
    <w:rsid w:val="0059567B"/>
    <w:rsid w:val="00597408"/>
    <w:rsid w:val="005A06DC"/>
    <w:rsid w:val="005A1975"/>
    <w:rsid w:val="005A3A05"/>
    <w:rsid w:val="005A43C9"/>
    <w:rsid w:val="005A787C"/>
    <w:rsid w:val="005B1388"/>
    <w:rsid w:val="005B3DB3"/>
    <w:rsid w:val="005B57F4"/>
    <w:rsid w:val="005C185C"/>
    <w:rsid w:val="005C3812"/>
    <w:rsid w:val="005C45E3"/>
    <w:rsid w:val="005C6710"/>
    <w:rsid w:val="005D0FDF"/>
    <w:rsid w:val="005D21E5"/>
    <w:rsid w:val="005D2FD3"/>
    <w:rsid w:val="005D44B0"/>
    <w:rsid w:val="005D57EB"/>
    <w:rsid w:val="005D5AC7"/>
    <w:rsid w:val="005D63C2"/>
    <w:rsid w:val="005D6D06"/>
    <w:rsid w:val="005E0F10"/>
    <w:rsid w:val="005E11C1"/>
    <w:rsid w:val="005E4862"/>
    <w:rsid w:val="005E6B99"/>
    <w:rsid w:val="005E70DE"/>
    <w:rsid w:val="005E7AC6"/>
    <w:rsid w:val="005F3D09"/>
    <w:rsid w:val="005F63F2"/>
    <w:rsid w:val="005F7B75"/>
    <w:rsid w:val="005F7BCE"/>
    <w:rsid w:val="005F7E8D"/>
    <w:rsid w:val="006001EE"/>
    <w:rsid w:val="00604051"/>
    <w:rsid w:val="00605042"/>
    <w:rsid w:val="00606C59"/>
    <w:rsid w:val="00607063"/>
    <w:rsid w:val="00607B2D"/>
    <w:rsid w:val="00610918"/>
    <w:rsid w:val="00611960"/>
    <w:rsid w:val="00611FC4"/>
    <w:rsid w:val="00612984"/>
    <w:rsid w:val="00617666"/>
    <w:rsid w:val="006176FB"/>
    <w:rsid w:val="00617729"/>
    <w:rsid w:val="00617744"/>
    <w:rsid w:val="006241A2"/>
    <w:rsid w:val="00630255"/>
    <w:rsid w:val="00630551"/>
    <w:rsid w:val="00630D71"/>
    <w:rsid w:val="006327A9"/>
    <w:rsid w:val="0063611C"/>
    <w:rsid w:val="006366F4"/>
    <w:rsid w:val="006368EB"/>
    <w:rsid w:val="00640123"/>
    <w:rsid w:val="00640B26"/>
    <w:rsid w:val="00640D0A"/>
    <w:rsid w:val="006425FF"/>
    <w:rsid w:val="00642E79"/>
    <w:rsid w:val="00642F32"/>
    <w:rsid w:val="00646B5B"/>
    <w:rsid w:val="00647EB5"/>
    <w:rsid w:val="00651AFE"/>
    <w:rsid w:val="00652D0A"/>
    <w:rsid w:val="00655A09"/>
    <w:rsid w:val="006561EC"/>
    <w:rsid w:val="0065674C"/>
    <w:rsid w:val="006574D6"/>
    <w:rsid w:val="00660479"/>
    <w:rsid w:val="00662BB6"/>
    <w:rsid w:val="006632E2"/>
    <w:rsid w:val="0066384C"/>
    <w:rsid w:val="00663AC6"/>
    <w:rsid w:val="006642B1"/>
    <w:rsid w:val="00665519"/>
    <w:rsid w:val="00665B89"/>
    <w:rsid w:val="00670A6F"/>
    <w:rsid w:val="006710B6"/>
    <w:rsid w:val="00671848"/>
    <w:rsid w:val="006721BA"/>
    <w:rsid w:val="00673C52"/>
    <w:rsid w:val="00673E15"/>
    <w:rsid w:val="00684C21"/>
    <w:rsid w:val="006850DE"/>
    <w:rsid w:val="00687553"/>
    <w:rsid w:val="006879A4"/>
    <w:rsid w:val="00687E46"/>
    <w:rsid w:val="0069269E"/>
    <w:rsid w:val="006938D7"/>
    <w:rsid w:val="006945DC"/>
    <w:rsid w:val="00694F01"/>
    <w:rsid w:val="00695491"/>
    <w:rsid w:val="006970AD"/>
    <w:rsid w:val="006A2B5E"/>
    <w:rsid w:val="006A2CF9"/>
    <w:rsid w:val="006A4445"/>
    <w:rsid w:val="006A4EA3"/>
    <w:rsid w:val="006A57E6"/>
    <w:rsid w:val="006A77AC"/>
    <w:rsid w:val="006B2584"/>
    <w:rsid w:val="006B2B77"/>
    <w:rsid w:val="006B4766"/>
    <w:rsid w:val="006B540A"/>
    <w:rsid w:val="006B60F3"/>
    <w:rsid w:val="006B6695"/>
    <w:rsid w:val="006B7360"/>
    <w:rsid w:val="006B7805"/>
    <w:rsid w:val="006C044D"/>
    <w:rsid w:val="006C19AB"/>
    <w:rsid w:val="006C386B"/>
    <w:rsid w:val="006C40E8"/>
    <w:rsid w:val="006C5D61"/>
    <w:rsid w:val="006D37AF"/>
    <w:rsid w:val="006D3DD8"/>
    <w:rsid w:val="006D4330"/>
    <w:rsid w:val="006D47B4"/>
    <w:rsid w:val="006D49CE"/>
    <w:rsid w:val="006D4AB3"/>
    <w:rsid w:val="006D51D0"/>
    <w:rsid w:val="006D6D8B"/>
    <w:rsid w:val="006E3202"/>
    <w:rsid w:val="006E39BA"/>
    <w:rsid w:val="006E564B"/>
    <w:rsid w:val="006E7191"/>
    <w:rsid w:val="006F5689"/>
    <w:rsid w:val="006F63A7"/>
    <w:rsid w:val="006F7096"/>
    <w:rsid w:val="00700431"/>
    <w:rsid w:val="007019E5"/>
    <w:rsid w:val="00703577"/>
    <w:rsid w:val="00703E95"/>
    <w:rsid w:val="00707420"/>
    <w:rsid w:val="0070769A"/>
    <w:rsid w:val="007107CD"/>
    <w:rsid w:val="00710A7E"/>
    <w:rsid w:val="0071573F"/>
    <w:rsid w:val="00717B83"/>
    <w:rsid w:val="00723BB3"/>
    <w:rsid w:val="00723D2B"/>
    <w:rsid w:val="0072632A"/>
    <w:rsid w:val="007304C9"/>
    <w:rsid w:val="007327D5"/>
    <w:rsid w:val="00732F6E"/>
    <w:rsid w:val="00733D14"/>
    <w:rsid w:val="00734376"/>
    <w:rsid w:val="0073586F"/>
    <w:rsid w:val="00735BFE"/>
    <w:rsid w:val="00741DBD"/>
    <w:rsid w:val="00746A6B"/>
    <w:rsid w:val="0075141A"/>
    <w:rsid w:val="007629C8"/>
    <w:rsid w:val="00764D3F"/>
    <w:rsid w:val="007669C7"/>
    <w:rsid w:val="007733FD"/>
    <w:rsid w:val="00774BE8"/>
    <w:rsid w:val="00774F88"/>
    <w:rsid w:val="00775D23"/>
    <w:rsid w:val="00776D09"/>
    <w:rsid w:val="00780301"/>
    <w:rsid w:val="007821E7"/>
    <w:rsid w:val="0078413D"/>
    <w:rsid w:val="00785A61"/>
    <w:rsid w:val="00786C77"/>
    <w:rsid w:val="00787C8E"/>
    <w:rsid w:val="00790862"/>
    <w:rsid w:val="0079139D"/>
    <w:rsid w:val="00792338"/>
    <w:rsid w:val="00795724"/>
    <w:rsid w:val="007A0EEE"/>
    <w:rsid w:val="007A2C8E"/>
    <w:rsid w:val="007A491A"/>
    <w:rsid w:val="007A4CA3"/>
    <w:rsid w:val="007A7AA7"/>
    <w:rsid w:val="007B09AE"/>
    <w:rsid w:val="007B1F8F"/>
    <w:rsid w:val="007B42E3"/>
    <w:rsid w:val="007B5467"/>
    <w:rsid w:val="007B6BA5"/>
    <w:rsid w:val="007B70BB"/>
    <w:rsid w:val="007B7291"/>
    <w:rsid w:val="007C1D00"/>
    <w:rsid w:val="007C2D7A"/>
    <w:rsid w:val="007C3033"/>
    <w:rsid w:val="007C3390"/>
    <w:rsid w:val="007C36FB"/>
    <w:rsid w:val="007C3FAA"/>
    <w:rsid w:val="007C4F4B"/>
    <w:rsid w:val="007D3CD2"/>
    <w:rsid w:val="007D7E03"/>
    <w:rsid w:val="007E0DF9"/>
    <w:rsid w:val="007E7952"/>
    <w:rsid w:val="007F1728"/>
    <w:rsid w:val="007F368C"/>
    <w:rsid w:val="007F6611"/>
    <w:rsid w:val="007F6FF8"/>
    <w:rsid w:val="007F7B15"/>
    <w:rsid w:val="00800B26"/>
    <w:rsid w:val="00806279"/>
    <w:rsid w:val="00806534"/>
    <w:rsid w:val="00806691"/>
    <w:rsid w:val="008103D1"/>
    <w:rsid w:val="008121F7"/>
    <w:rsid w:val="00813BDB"/>
    <w:rsid w:val="00821754"/>
    <w:rsid w:val="008242D7"/>
    <w:rsid w:val="008244AB"/>
    <w:rsid w:val="00824F67"/>
    <w:rsid w:val="008257B1"/>
    <w:rsid w:val="00826119"/>
    <w:rsid w:val="008265E3"/>
    <w:rsid w:val="008306AF"/>
    <w:rsid w:val="00830B10"/>
    <w:rsid w:val="008314DD"/>
    <w:rsid w:val="008326D5"/>
    <w:rsid w:val="0083337F"/>
    <w:rsid w:val="00834E26"/>
    <w:rsid w:val="00836769"/>
    <w:rsid w:val="00836B63"/>
    <w:rsid w:val="00836D1B"/>
    <w:rsid w:val="00841B90"/>
    <w:rsid w:val="00843086"/>
    <w:rsid w:val="008436C6"/>
    <w:rsid w:val="00843767"/>
    <w:rsid w:val="0084575D"/>
    <w:rsid w:val="008472A9"/>
    <w:rsid w:val="00847B9F"/>
    <w:rsid w:val="00852CEC"/>
    <w:rsid w:val="00852F87"/>
    <w:rsid w:val="008536B7"/>
    <w:rsid w:val="008579BB"/>
    <w:rsid w:val="00857A8A"/>
    <w:rsid w:val="00861CD3"/>
    <w:rsid w:val="00862194"/>
    <w:rsid w:val="00862A3D"/>
    <w:rsid w:val="00863C85"/>
    <w:rsid w:val="00864804"/>
    <w:rsid w:val="00865D49"/>
    <w:rsid w:val="008676EC"/>
    <w:rsid w:val="008679D9"/>
    <w:rsid w:val="008702D6"/>
    <w:rsid w:val="00870E1B"/>
    <w:rsid w:val="0087361A"/>
    <w:rsid w:val="008767E5"/>
    <w:rsid w:val="008814D2"/>
    <w:rsid w:val="008816CB"/>
    <w:rsid w:val="00882F2B"/>
    <w:rsid w:val="00883E11"/>
    <w:rsid w:val="00884E30"/>
    <w:rsid w:val="00885249"/>
    <w:rsid w:val="00886660"/>
    <w:rsid w:val="0088739E"/>
    <w:rsid w:val="00890240"/>
    <w:rsid w:val="008918F3"/>
    <w:rsid w:val="0089225C"/>
    <w:rsid w:val="00892376"/>
    <w:rsid w:val="008923C7"/>
    <w:rsid w:val="00893007"/>
    <w:rsid w:val="008942A2"/>
    <w:rsid w:val="00896F54"/>
    <w:rsid w:val="00896F5C"/>
    <w:rsid w:val="008976B8"/>
    <w:rsid w:val="008979B1"/>
    <w:rsid w:val="008A29F3"/>
    <w:rsid w:val="008A3D89"/>
    <w:rsid w:val="008A4939"/>
    <w:rsid w:val="008A697D"/>
    <w:rsid w:val="008A6B25"/>
    <w:rsid w:val="008A6C4F"/>
    <w:rsid w:val="008A6CD1"/>
    <w:rsid w:val="008A726F"/>
    <w:rsid w:val="008B0C2D"/>
    <w:rsid w:val="008B18AE"/>
    <w:rsid w:val="008B2335"/>
    <w:rsid w:val="008B368C"/>
    <w:rsid w:val="008B3C8D"/>
    <w:rsid w:val="008B3CAD"/>
    <w:rsid w:val="008B419E"/>
    <w:rsid w:val="008B4E93"/>
    <w:rsid w:val="008B6971"/>
    <w:rsid w:val="008B6DB6"/>
    <w:rsid w:val="008B7C8C"/>
    <w:rsid w:val="008C01BC"/>
    <w:rsid w:val="008C25B1"/>
    <w:rsid w:val="008C336C"/>
    <w:rsid w:val="008C42FE"/>
    <w:rsid w:val="008C530C"/>
    <w:rsid w:val="008C7C8F"/>
    <w:rsid w:val="008D06FE"/>
    <w:rsid w:val="008D3847"/>
    <w:rsid w:val="008D3E95"/>
    <w:rsid w:val="008D66CA"/>
    <w:rsid w:val="008E0678"/>
    <w:rsid w:val="008E0882"/>
    <w:rsid w:val="008E1F07"/>
    <w:rsid w:val="008E2F37"/>
    <w:rsid w:val="008E3A34"/>
    <w:rsid w:val="008E4285"/>
    <w:rsid w:val="008E5DD2"/>
    <w:rsid w:val="008F0D4C"/>
    <w:rsid w:val="008F0E54"/>
    <w:rsid w:val="008F1834"/>
    <w:rsid w:val="008F3F70"/>
    <w:rsid w:val="008F4B84"/>
    <w:rsid w:val="00900E34"/>
    <w:rsid w:val="00901748"/>
    <w:rsid w:val="00902968"/>
    <w:rsid w:val="00903232"/>
    <w:rsid w:val="009067E1"/>
    <w:rsid w:val="00907347"/>
    <w:rsid w:val="00910707"/>
    <w:rsid w:val="009111AA"/>
    <w:rsid w:val="00916F1E"/>
    <w:rsid w:val="00917D15"/>
    <w:rsid w:val="009223CA"/>
    <w:rsid w:val="009227F4"/>
    <w:rsid w:val="00923116"/>
    <w:rsid w:val="00924130"/>
    <w:rsid w:val="009248FC"/>
    <w:rsid w:val="00930173"/>
    <w:rsid w:val="0093193D"/>
    <w:rsid w:val="00934A20"/>
    <w:rsid w:val="00937322"/>
    <w:rsid w:val="00940F93"/>
    <w:rsid w:val="00941411"/>
    <w:rsid w:val="009419FA"/>
    <w:rsid w:val="00944260"/>
    <w:rsid w:val="00945D3C"/>
    <w:rsid w:val="009462F6"/>
    <w:rsid w:val="0094645A"/>
    <w:rsid w:val="0095157F"/>
    <w:rsid w:val="00953B82"/>
    <w:rsid w:val="00954527"/>
    <w:rsid w:val="009602E1"/>
    <w:rsid w:val="00960527"/>
    <w:rsid w:val="00961B7F"/>
    <w:rsid w:val="00964A81"/>
    <w:rsid w:val="009668CA"/>
    <w:rsid w:val="00966CDA"/>
    <w:rsid w:val="009671F1"/>
    <w:rsid w:val="009673D9"/>
    <w:rsid w:val="0097079E"/>
    <w:rsid w:val="00972314"/>
    <w:rsid w:val="009723C9"/>
    <w:rsid w:val="00973FE7"/>
    <w:rsid w:val="00974749"/>
    <w:rsid w:val="00974974"/>
    <w:rsid w:val="009749C7"/>
    <w:rsid w:val="009760F3"/>
    <w:rsid w:val="009774D4"/>
    <w:rsid w:val="00977D4A"/>
    <w:rsid w:val="00980B3B"/>
    <w:rsid w:val="00982B11"/>
    <w:rsid w:val="00982B71"/>
    <w:rsid w:val="00984734"/>
    <w:rsid w:val="009852FA"/>
    <w:rsid w:val="009878EA"/>
    <w:rsid w:val="00987DA7"/>
    <w:rsid w:val="00991F66"/>
    <w:rsid w:val="00993E03"/>
    <w:rsid w:val="00994206"/>
    <w:rsid w:val="00995E1C"/>
    <w:rsid w:val="009965C8"/>
    <w:rsid w:val="0099794D"/>
    <w:rsid w:val="009A0E8D"/>
    <w:rsid w:val="009A196C"/>
    <w:rsid w:val="009A414A"/>
    <w:rsid w:val="009A5997"/>
    <w:rsid w:val="009A6BF4"/>
    <w:rsid w:val="009A729A"/>
    <w:rsid w:val="009A746F"/>
    <w:rsid w:val="009A7B68"/>
    <w:rsid w:val="009B06B3"/>
    <w:rsid w:val="009B26E7"/>
    <w:rsid w:val="009B3A80"/>
    <w:rsid w:val="009B5609"/>
    <w:rsid w:val="009C0574"/>
    <w:rsid w:val="009C064A"/>
    <w:rsid w:val="009C28BC"/>
    <w:rsid w:val="009C3B5C"/>
    <w:rsid w:val="009C40B0"/>
    <w:rsid w:val="009C49D3"/>
    <w:rsid w:val="009C4AD2"/>
    <w:rsid w:val="009D1C5F"/>
    <w:rsid w:val="009D1FD4"/>
    <w:rsid w:val="009D4F9B"/>
    <w:rsid w:val="009D682E"/>
    <w:rsid w:val="009E1298"/>
    <w:rsid w:val="009E12D0"/>
    <w:rsid w:val="009E2A24"/>
    <w:rsid w:val="009E31B5"/>
    <w:rsid w:val="009E3DA1"/>
    <w:rsid w:val="009E3F3B"/>
    <w:rsid w:val="009E5C79"/>
    <w:rsid w:val="009F23F4"/>
    <w:rsid w:val="009F28F0"/>
    <w:rsid w:val="009F56EF"/>
    <w:rsid w:val="009F572F"/>
    <w:rsid w:val="009F5B1C"/>
    <w:rsid w:val="009F5B46"/>
    <w:rsid w:val="009F6ED3"/>
    <w:rsid w:val="009F7150"/>
    <w:rsid w:val="00A00A3F"/>
    <w:rsid w:val="00A01489"/>
    <w:rsid w:val="00A017BE"/>
    <w:rsid w:val="00A03A7E"/>
    <w:rsid w:val="00A04BEC"/>
    <w:rsid w:val="00A06117"/>
    <w:rsid w:val="00A069A6"/>
    <w:rsid w:val="00A149E6"/>
    <w:rsid w:val="00A21DE3"/>
    <w:rsid w:val="00A25891"/>
    <w:rsid w:val="00A25EC5"/>
    <w:rsid w:val="00A26D66"/>
    <w:rsid w:val="00A27329"/>
    <w:rsid w:val="00A31244"/>
    <w:rsid w:val="00A3259A"/>
    <w:rsid w:val="00A32B60"/>
    <w:rsid w:val="00A32EA2"/>
    <w:rsid w:val="00A338F1"/>
    <w:rsid w:val="00A33CAF"/>
    <w:rsid w:val="00A37804"/>
    <w:rsid w:val="00A401A3"/>
    <w:rsid w:val="00A420B0"/>
    <w:rsid w:val="00A43432"/>
    <w:rsid w:val="00A43512"/>
    <w:rsid w:val="00A44971"/>
    <w:rsid w:val="00A44CC0"/>
    <w:rsid w:val="00A5214F"/>
    <w:rsid w:val="00A5297F"/>
    <w:rsid w:val="00A53CD6"/>
    <w:rsid w:val="00A54142"/>
    <w:rsid w:val="00A544AA"/>
    <w:rsid w:val="00A55169"/>
    <w:rsid w:val="00A615C9"/>
    <w:rsid w:val="00A618E1"/>
    <w:rsid w:val="00A61B32"/>
    <w:rsid w:val="00A62A23"/>
    <w:rsid w:val="00A64C9B"/>
    <w:rsid w:val="00A67A71"/>
    <w:rsid w:val="00A67F3A"/>
    <w:rsid w:val="00A7036F"/>
    <w:rsid w:val="00A70E86"/>
    <w:rsid w:val="00A72F22"/>
    <w:rsid w:val="00A7357A"/>
    <w:rsid w:val="00A7360F"/>
    <w:rsid w:val="00A7372D"/>
    <w:rsid w:val="00A73F02"/>
    <w:rsid w:val="00A74571"/>
    <w:rsid w:val="00A747CF"/>
    <w:rsid w:val="00A748A6"/>
    <w:rsid w:val="00A76746"/>
    <w:rsid w:val="00A769F4"/>
    <w:rsid w:val="00A776B4"/>
    <w:rsid w:val="00A77A48"/>
    <w:rsid w:val="00A86702"/>
    <w:rsid w:val="00A90815"/>
    <w:rsid w:val="00A90EFF"/>
    <w:rsid w:val="00A94361"/>
    <w:rsid w:val="00A94975"/>
    <w:rsid w:val="00A94A7D"/>
    <w:rsid w:val="00A964C9"/>
    <w:rsid w:val="00AA10E3"/>
    <w:rsid w:val="00AA1846"/>
    <w:rsid w:val="00AA19AC"/>
    <w:rsid w:val="00AA293C"/>
    <w:rsid w:val="00AA451C"/>
    <w:rsid w:val="00AA5EC9"/>
    <w:rsid w:val="00AA654F"/>
    <w:rsid w:val="00AA7578"/>
    <w:rsid w:val="00AB1033"/>
    <w:rsid w:val="00AB1123"/>
    <w:rsid w:val="00AB4617"/>
    <w:rsid w:val="00AB5682"/>
    <w:rsid w:val="00AC1811"/>
    <w:rsid w:val="00AC1F8D"/>
    <w:rsid w:val="00AC24F2"/>
    <w:rsid w:val="00AC3551"/>
    <w:rsid w:val="00AC639E"/>
    <w:rsid w:val="00AC647C"/>
    <w:rsid w:val="00AD2038"/>
    <w:rsid w:val="00AD60F0"/>
    <w:rsid w:val="00AD7AB3"/>
    <w:rsid w:val="00AE0CE8"/>
    <w:rsid w:val="00AE3317"/>
    <w:rsid w:val="00AE382C"/>
    <w:rsid w:val="00AE41A7"/>
    <w:rsid w:val="00AE4AAE"/>
    <w:rsid w:val="00AE5125"/>
    <w:rsid w:val="00AE7328"/>
    <w:rsid w:val="00AF0E54"/>
    <w:rsid w:val="00AF1C7B"/>
    <w:rsid w:val="00AF1E53"/>
    <w:rsid w:val="00AF29E9"/>
    <w:rsid w:val="00AF4A5C"/>
    <w:rsid w:val="00AF5670"/>
    <w:rsid w:val="00AF657A"/>
    <w:rsid w:val="00AF67D6"/>
    <w:rsid w:val="00AF75D9"/>
    <w:rsid w:val="00AF7A8D"/>
    <w:rsid w:val="00B02F55"/>
    <w:rsid w:val="00B039A9"/>
    <w:rsid w:val="00B064F8"/>
    <w:rsid w:val="00B0741E"/>
    <w:rsid w:val="00B120D7"/>
    <w:rsid w:val="00B13608"/>
    <w:rsid w:val="00B13B54"/>
    <w:rsid w:val="00B16619"/>
    <w:rsid w:val="00B1695E"/>
    <w:rsid w:val="00B225A1"/>
    <w:rsid w:val="00B22C8A"/>
    <w:rsid w:val="00B24943"/>
    <w:rsid w:val="00B25F3D"/>
    <w:rsid w:val="00B271D3"/>
    <w:rsid w:val="00B30179"/>
    <w:rsid w:val="00B34174"/>
    <w:rsid w:val="00B35C0C"/>
    <w:rsid w:val="00B4173A"/>
    <w:rsid w:val="00B42E40"/>
    <w:rsid w:val="00B45098"/>
    <w:rsid w:val="00B502F4"/>
    <w:rsid w:val="00B51ED4"/>
    <w:rsid w:val="00B5356B"/>
    <w:rsid w:val="00B539AA"/>
    <w:rsid w:val="00B54F31"/>
    <w:rsid w:val="00B55C51"/>
    <w:rsid w:val="00B56E4A"/>
    <w:rsid w:val="00B56E9C"/>
    <w:rsid w:val="00B60B7B"/>
    <w:rsid w:val="00B63019"/>
    <w:rsid w:val="00B63D2C"/>
    <w:rsid w:val="00B648D1"/>
    <w:rsid w:val="00B64B1F"/>
    <w:rsid w:val="00B64B23"/>
    <w:rsid w:val="00B6529C"/>
    <w:rsid w:val="00B6553F"/>
    <w:rsid w:val="00B67D69"/>
    <w:rsid w:val="00B70101"/>
    <w:rsid w:val="00B735C6"/>
    <w:rsid w:val="00B7409A"/>
    <w:rsid w:val="00B74BA4"/>
    <w:rsid w:val="00B75008"/>
    <w:rsid w:val="00B773A6"/>
    <w:rsid w:val="00B77D05"/>
    <w:rsid w:val="00B81206"/>
    <w:rsid w:val="00B81E12"/>
    <w:rsid w:val="00B82192"/>
    <w:rsid w:val="00B8310E"/>
    <w:rsid w:val="00B84933"/>
    <w:rsid w:val="00B8572E"/>
    <w:rsid w:val="00B90BC8"/>
    <w:rsid w:val="00B911ED"/>
    <w:rsid w:val="00B91E3C"/>
    <w:rsid w:val="00B92937"/>
    <w:rsid w:val="00B93182"/>
    <w:rsid w:val="00B935C0"/>
    <w:rsid w:val="00B9587E"/>
    <w:rsid w:val="00B96FBD"/>
    <w:rsid w:val="00B97A1E"/>
    <w:rsid w:val="00B97EE2"/>
    <w:rsid w:val="00BA07E1"/>
    <w:rsid w:val="00BA0F69"/>
    <w:rsid w:val="00BA24EF"/>
    <w:rsid w:val="00BA2E7A"/>
    <w:rsid w:val="00BB0725"/>
    <w:rsid w:val="00BB409E"/>
    <w:rsid w:val="00BB41D2"/>
    <w:rsid w:val="00BB4587"/>
    <w:rsid w:val="00BB5BCD"/>
    <w:rsid w:val="00BC065B"/>
    <w:rsid w:val="00BC1195"/>
    <w:rsid w:val="00BC2820"/>
    <w:rsid w:val="00BC31A5"/>
    <w:rsid w:val="00BC34B7"/>
    <w:rsid w:val="00BC6261"/>
    <w:rsid w:val="00BC6718"/>
    <w:rsid w:val="00BC74E9"/>
    <w:rsid w:val="00BD1705"/>
    <w:rsid w:val="00BD3455"/>
    <w:rsid w:val="00BD7417"/>
    <w:rsid w:val="00BD77B8"/>
    <w:rsid w:val="00BD7C6A"/>
    <w:rsid w:val="00BE02C9"/>
    <w:rsid w:val="00BE4753"/>
    <w:rsid w:val="00BE7331"/>
    <w:rsid w:val="00BF2B01"/>
    <w:rsid w:val="00BF3DA0"/>
    <w:rsid w:val="00BF4194"/>
    <w:rsid w:val="00BF4E0D"/>
    <w:rsid w:val="00BF604B"/>
    <w:rsid w:val="00BF68A8"/>
    <w:rsid w:val="00BF783D"/>
    <w:rsid w:val="00C002FF"/>
    <w:rsid w:val="00C02D4B"/>
    <w:rsid w:val="00C03A96"/>
    <w:rsid w:val="00C059CD"/>
    <w:rsid w:val="00C11A03"/>
    <w:rsid w:val="00C1613C"/>
    <w:rsid w:val="00C22386"/>
    <w:rsid w:val="00C22890"/>
    <w:rsid w:val="00C22A6A"/>
    <w:rsid w:val="00C24F84"/>
    <w:rsid w:val="00C25817"/>
    <w:rsid w:val="00C25B26"/>
    <w:rsid w:val="00C2603A"/>
    <w:rsid w:val="00C26FB6"/>
    <w:rsid w:val="00C27052"/>
    <w:rsid w:val="00C31519"/>
    <w:rsid w:val="00C31926"/>
    <w:rsid w:val="00C3491F"/>
    <w:rsid w:val="00C359F7"/>
    <w:rsid w:val="00C364D6"/>
    <w:rsid w:val="00C42634"/>
    <w:rsid w:val="00C463DD"/>
    <w:rsid w:val="00C4724C"/>
    <w:rsid w:val="00C537C8"/>
    <w:rsid w:val="00C578F1"/>
    <w:rsid w:val="00C61ADE"/>
    <w:rsid w:val="00C629A0"/>
    <w:rsid w:val="00C655B4"/>
    <w:rsid w:val="00C664E5"/>
    <w:rsid w:val="00C66978"/>
    <w:rsid w:val="00C669CC"/>
    <w:rsid w:val="00C66DFD"/>
    <w:rsid w:val="00C6760E"/>
    <w:rsid w:val="00C7097D"/>
    <w:rsid w:val="00C71AF4"/>
    <w:rsid w:val="00C7421B"/>
    <w:rsid w:val="00C745C3"/>
    <w:rsid w:val="00C802AB"/>
    <w:rsid w:val="00C80C5E"/>
    <w:rsid w:val="00C83A14"/>
    <w:rsid w:val="00C844FB"/>
    <w:rsid w:val="00C87749"/>
    <w:rsid w:val="00C90A5B"/>
    <w:rsid w:val="00C90FE4"/>
    <w:rsid w:val="00C9101C"/>
    <w:rsid w:val="00C9543F"/>
    <w:rsid w:val="00C96E0C"/>
    <w:rsid w:val="00C9704F"/>
    <w:rsid w:val="00CA1D44"/>
    <w:rsid w:val="00CA410D"/>
    <w:rsid w:val="00CB5C40"/>
    <w:rsid w:val="00CB6442"/>
    <w:rsid w:val="00CB6AEA"/>
    <w:rsid w:val="00CB73BE"/>
    <w:rsid w:val="00CC05CF"/>
    <w:rsid w:val="00CC0642"/>
    <w:rsid w:val="00CC151D"/>
    <w:rsid w:val="00CC372C"/>
    <w:rsid w:val="00CC4032"/>
    <w:rsid w:val="00CC4B27"/>
    <w:rsid w:val="00CD0151"/>
    <w:rsid w:val="00CD3AC8"/>
    <w:rsid w:val="00CD4F5F"/>
    <w:rsid w:val="00CD5FC4"/>
    <w:rsid w:val="00CD64D1"/>
    <w:rsid w:val="00CE01AA"/>
    <w:rsid w:val="00CE0AEF"/>
    <w:rsid w:val="00CE0EC6"/>
    <w:rsid w:val="00CE290C"/>
    <w:rsid w:val="00CE4658"/>
    <w:rsid w:val="00CE4A8F"/>
    <w:rsid w:val="00CE70DF"/>
    <w:rsid w:val="00CE720C"/>
    <w:rsid w:val="00CF0457"/>
    <w:rsid w:val="00CF0F87"/>
    <w:rsid w:val="00CF529F"/>
    <w:rsid w:val="00CF702E"/>
    <w:rsid w:val="00CF7301"/>
    <w:rsid w:val="00CF75FB"/>
    <w:rsid w:val="00D030DE"/>
    <w:rsid w:val="00D07338"/>
    <w:rsid w:val="00D10B74"/>
    <w:rsid w:val="00D11158"/>
    <w:rsid w:val="00D1588A"/>
    <w:rsid w:val="00D1623D"/>
    <w:rsid w:val="00D16DEC"/>
    <w:rsid w:val="00D2031B"/>
    <w:rsid w:val="00D20EC6"/>
    <w:rsid w:val="00D21697"/>
    <w:rsid w:val="00D22FC8"/>
    <w:rsid w:val="00D25FE2"/>
    <w:rsid w:val="00D26C4C"/>
    <w:rsid w:val="00D3034F"/>
    <w:rsid w:val="00D303B7"/>
    <w:rsid w:val="00D32217"/>
    <w:rsid w:val="00D3255D"/>
    <w:rsid w:val="00D326EC"/>
    <w:rsid w:val="00D3276F"/>
    <w:rsid w:val="00D32A2D"/>
    <w:rsid w:val="00D3362F"/>
    <w:rsid w:val="00D3615A"/>
    <w:rsid w:val="00D40B65"/>
    <w:rsid w:val="00D41B56"/>
    <w:rsid w:val="00D43252"/>
    <w:rsid w:val="00D43A58"/>
    <w:rsid w:val="00D46717"/>
    <w:rsid w:val="00D47706"/>
    <w:rsid w:val="00D47AC7"/>
    <w:rsid w:val="00D47EEA"/>
    <w:rsid w:val="00D5166F"/>
    <w:rsid w:val="00D5236F"/>
    <w:rsid w:val="00D5288B"/>
    <w:rsid w:val="00D53B6C"/>
    <w:rsid w:val="00D5558F"/>
    <w:rsid w:val="00D55823"/>
    <w:rsid w:val="00D55B97"/>
    <w:rsid w:val="00D5602B"/>
    <w:rsid w:val="00D571EB"/>
    <w:rsid w:val="00D618FE"/>
    <w:rsid w:val="00D633EA"/>
    <w:rsid w:val="00D63904"/>
    <w:rsid w:val="00D63F6F"/>
    <w:rsid w:val="00D64765"/>
    <w:rsid w:val="00D6618D"/>
    <w:rsid w:val="00D668C8"/>
    <w:rsid w:val="00D67D7A"/>
    <w:rsid w:val="00D72653"/>
    <w:rsid w:val="00D7369C"/>
    <w:rsid w:val="00D7481D"/>
    <w:rsid w:val="00D76E67"/>
    <w:rsid w:val="00D77125"/>
    <w:rsid w:val="00D8007B"/>
    <w:rsid w:val="00D813D0"/>
    <w:rsid w:val="00D82C30"/>
    <w:rsid w:val="00D85072"/>
    <w:rsid w:val="00D862FD"/>
    <w:rsid w:val="00D90BC2"/>
    <w:rsid w:val="00D91B02"/>
    <w:rsid w:val="00D9347E"/>
    <w:rsid w:val="00D93CC8"/>
    <w:rsid w:val="00D95303"/>
    <w:rsid w:val="00D95A36"/>
    <w:rsid w:val="00D978C6"/>
    <w:rsid w:val="00DA1866"/>
    <w:rsid w:val="00DA28D8"/>
    <w:rsid w:val="00DA2B51"/>
    <w:rsid w:val="00DA3C1C"/>
    <w:rsid w:val="00DA5DED"/>
    <w:rsid w:val="00DA6285"/>
    <w:rsid w:val="00DA71CB"/>
    <w:rsid w:val="00DA7C42"/>
    <w:rsid w:val="00DB06BA"/>
    <w:rsid w:val="00DB0E68"/>
    <w:rsid w:val="00DB13AB"/>
    <w:rsid w:val="00DB16FC"/>
    <w:rsid w:val="00DB189D"/>
    <w:rsid w:val="00DB26B2"/>
    <w:rsid w:val="00DB41D2"/>
    <w:rsid w:val="00DB4FD8"/>
    <w:rsid w:val="00DB7144"/>
    <w:rsid w:val="00DB7F31"/>
    <w:rsid w:val="00DC0D8F"/>
    <w:rsid w:val="00DC1764"/>
    <w:rsid w:val="00DC20F6"/>
    <w:rsid w:val="00DC2CC4"/>
    <w:rsid w:val="00DC47EB"/>
    <w:rsid w:val="00DC552A"/>
    <w:rsid w:val="00DC56D3"/>
    <w:rsid w:val="00DC7595"/>
    <w:rsid w:val="00DD6AE9"/>
    <w:rsid w:val="00DE086D"/>
    <w:rsid w:val="00DE08FF"/>
    <w:rsid w:val="00DE17F4"/>
    <w:rsid w:val="00DE27B8"/>
    <w:rsid w:val="00DE3F12"/>
    <w:rsid w:val="00DE4E4F"/>
    <w:rsid w:val="00DE5576"/>
    <w:rsid w:val="00DE63DC"/>
    <w:rsid w:val="00DE6D70"/>
    <w:rsid w:val="00DE7327"/>
    <w:rsid w:val="00DF23B6"/>
    <w:rsid w:val="00DF23DE"/>
    <w:rsid w:val="00DF2600"/>
    <w:rsid w:val="00DF319A"/>
    <w:rsid w:val="00DF5B7D"/>
    <w:rsid w:val="00DF7CB0"/>
    <w:rsid w:val="00E00752"/>
    <w:rsid w:val="00E008F8"/>
    <w:rsid w:val="00E01137"/>
    <w:rsid w:val="00E01FBB"/>
    <w:rsid w:val="00E03386"/>
    <w:rsid w:val="00E03CAA"/>
    <w:rsid w:val="00E04264"/>
    <w:rsid w:val="00E046BD"/>
    <w:rsid w:val="00E04C84"/>
    <w:rsid w:val="00E06689"/>
    <w:rsid w:val="00E10201"/>
    <w:rsid w:val="00E1227A"/>
    <w:rsid w:val="00E13A70"/>
    <w:rsid w:val="00E15476"/>
    <w:rsid w:val="00E16444"/>
    <w:rsid w:val="00E16D5D"/>
    <w:rsid w:val="00E16EFC"/>
    <w:rsid w:val="00E20264"/>
    <w:rsid w:val="00E21A27"/>
    <w:rsid w:val="00E24F3D"/>
    <w:rsid w:val="00E25070"/>
    <w:rsid w:val="00E2526B"/>
    <w:rsid w:val="00E2604A"/>
    <w:rsid w:val="00E27346"/>
    <w:rsid w:val="00E32EFC"/>
    <w:rsid w:val="00E3472B"/>
    <w:rsid w:val="00E35236"/>
    <w:rsid w:val="00E41971"/>
    <w:rsid w:val="00E467B0"/>
    <w:rsid w:val="00E46CE2"/>
    <w:rsid w:val="00E525C2"/>
    <w:rsid w:val="00E5408A"/>
    <w:rsid w:val="00E63979"/>
    <w:rsid w:val="00E64279"/>
    <w:rsid w:val="00E666A6"/>
    <w:rsid w:val="00E710C2"/>
    <w:rsid w:val="00E71125"/>
    <w:rsid w:val="00E71B3E"/>
    <w:rsid w:val="00E71BC8"/>
    <w:rsid w:val="00E7260F"/>
    <w:rsid w:val="00E735D6"/>
    <w:rsid w:val="00E737BB"/>
    <w:rsid w:val="00E75863"/>
    <w:rsid w:val="00E807EF"/>
    <w:rsid w:val="00E81390"/>
    <w:rsid w:val="00E8161E"/>
    <w:rsid w:val="00E82196"/>
    <w:rsid w:val="00E854E5"/>
    <w:rsid w:val="00E856B5"/>
    <w:rsid w:val="00E85AD0"/>
    <w:rsid w:val="00E85E7F"/>
    <w:rsid w:val="00E91F65"/>
    <w:rsid w:val="00E959E0"/>
    <w:rsid w:val="00E96630"/>
    <w:rsid w:val="00E96CE0"/>
    <w:rsid w:val="00EA0709"/>
    <w:rsid w:val="00EA4118"/>
    <w:rsid w:val="00EA6049"/>
    <w:rsid w:val="00EA6662"/>
    <w:rsid w:val="00EB08F6"/>
    <w:rsid w:val="00EB1E49"/>
    <w:rsid w:val="00EB4C6E"/>
    <w:rsid w:val="00EB7728"/>
    <w:rsid w:val="00EC153A"/>
    <w:rsid w:val="00EC1739"/>
    <w:rsid w:val="00EC17D9"/>
    <w:rsid w:val="00EC3875"/>
    <w:rsid w:val="00EC765A"/>
    <w:rsid w:val="00ED065E"/>
    <w:rsid w:val="00ED46EB"/>
    <w:rsid w:val="00ED47FF"/>
    <w:rsid w:val="00ED6F5C"/>
    <w:rsid w:val="00ED7A2A"/>
    <w:rsid w:val="00EE16C9"/>
    <w:rsid w:val="00EE2F57"/>
    <w:rsid w:val="00EE3830"/>
    <w:rsid w:val="00EE3A5A"/>
    <w:rsid w:val="00EE4AF8"/>
    <w:rsid w:val="00EE69E1"/>
    <w:rsid w:val="00EF0A9D"/>
    <w:rsid w:val="00EF1D7F"/>
    <w:rsid w:val="00EF2C11"/>
    <w:rsid w:val="00F071E4"/>
    <w:rsid w:val="00F078D7"/>
    <w:rsid w:val="00F07D2F"/>
    <w:rsid w:val="00F07D5C"/>
    <w:rsid w:val="00F12B68"/>
    <w:rsid w:val="00F15518"/>
    <w:rsid w:val="00F1765F"/>
    <w:rsid w:val="00F20C84"/>
    <w:rsid w:val="00F20C99"/>
    <w:rsid w:val="00F2779F"/>
    <w:rsid w:val="00F32383"/>
    <w:rsid w:val="00F33E0F"/>
    <w:rsid w:val="00F34539"/>
    <w:rsid w:val="00F3480C"/>
    <w:rsid w:val="00F412B8"/>
    <w:rsid w:val="00F44E1F"/>
    <w:rsid w:val="00F46CD4"/>
    <w:rsid w:val="00F514DA"/>
    <w:rsid w:val="00F521B4"/>
    <w:rsid w:val="00F52CF8"/>
    <w:rsid w:val="00F52EE1"/>
    <w:rsid w:val="00F5393A"/>
    <w:rsid w:val="00F53D33"/>
    <w:rsid w:val="00F54BE9"/>
    <w:rsid w:val="00F57012"/>
    <w:rsid w:val="00F60A0D"/>
    <w:rsid w:val="00F65158"/>
    <w:rsid w:val="00F70147"/>
    <w:rsid w:val="00F7162C"/>
    <w:rsid w:val="00F71B36"/>
    <w:rsid w:val="00F72A51"/>
    <w:rsid w:val="00F72D60"/>
    <w:rsid w:val="00F738E0"/>
    <w:rsid w:val="00F743DD"/>
    <w:rsid w:val="00F74FE8"/>
    <w:rsid w:val="00F75696"/>
    <w:rsid w:val="00F75D27"/>
    <w:rsid w:val="00F859D5"/>
    <w:rsid w:val="00F87FD3"/>
    <w:rsid w:val="00F906F5"/>
    <w:rsid w:val="00F92ACC"/>
    <w:rsid w:val="00F92AEB"/>
    <w:rsid w:val="00F93781"/>
    <w:rsid w:val="00F94550"/>
    <w:rsid w:val="00F94C3A"/>
    <w:rsid w:val="00FA1C9D"/>
    <w:rsid w:val="00FA1EC8"/>
    <w:rsid w:val="00FA381D"/>
    <w:rsid w:val="00FA4165"/>
    <w:rsid w:val="00FA4CC8"/>
    <w:rsid w:val="00FA5869"/>
    <w:rsid w:val="00FA5AD3"/>
    <w:rsid w:val="00FA7230"/>
    <w:rsid w:val="00FB0136"/>
    <w:rsid w:val="00FB06CC"/>
    <w:rsid w:val="00FB1778"/>
    <w:rsid w:val="00FB3A3E"/>
    <w:rsid w:val="00FB4221"/>
    <w:rsid w:val="00FB613B"/>
    <w:rsid w:val="00FB70C1"/>
    <w:rsid w:val="00FC147B"/>
    <w:rsid w:val="00FC1527"/>
    <w:rsid w:val="00FC187B"/>
    <w:rsid w:val="00FC1897"/>
    <w:rsid w:val="00FC2659"/>
    <w:rsid w:val="00FC2E43"/>
    <w:rsid w:val="00FC2F6F"/>
    <w:rsid w:val="00FC34C8"/>
    <w:rsid w:val="00FC3E6D"/>
    <w:rsid w:val="00FC6503"/>
    <w:rsid w:val="00FC68B7"/>
    <w:rsid w:val="00FD0578"/>
    <w:rsid w:val="00FD5207"/>
    <w:rsid w:val="00FE106A"/>
    <w:rsid w:val="00FE3208"/>
    <w:rsid w:val="00FF0486"/>
    <w:rsid w:val="00FF118F"/>
    <w:rsid w:val="00FF1343"/>
    <w:rsid w:val="00FF168B"/>
    <w:rsid w:val="00FF2DEB"/>
    <w:rsid w:val="00FF42B4"/>
    <w:rsid w:val="00FF46DB"/>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667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2667A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667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2667A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Akai\AppData\Local\Temp\notesFBE665\www.freedomfromtorture.org\sites\default\files\documents\sl_report_a4_-_final-f-b-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AB58-3AB1-4789-9874-03DC7BA7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4436</Words>
  <Characters>22818</Characters>
  <Application>Microsoft Office Word</Application>
  <DocSecurity>0</DocSecurity>
  <Lines>359</Lines>
  <Paragraphs>70</Paragraphs>
  <ScaleCrop>false</ScaleCrop>
  <HeadingPairs>
    <vt:vector size="2" baseType="variant">
      <vt:variant>
        <vt:lpstr>Title</vt:lpstr>
      </vt:variant>
      <vt:variant>
        <vt:i4>1</vt:i4>
      </vt:variant>
    </vt:vector>
  </HeadingPairs>
  <TitlesOfParts>
    <vt:vector size="1" baseType="lpstr">
      <vt:lpstr>1609586</vt:lpstr>
    </vt:vector>
  </TitlesOfParts>
  <Company>CSD</Company>
  <LinksUpToDate>false</LinksUpToDate>
  <CharactersWithSpaces>27234</CharactersWithSpaces>
  <SharedDoc>false</SharedDoc>
  <HLinks>
    <vt:vector size="12" baseType="variant">
      <vt:variant>
        <vt:i4>7471108</vt:i4>
      </vt:variant>
      <vt:variant>
        <vt:i4>3</vt:i4>
      </vt:variant>
      <vt:variant>
        <vt:i4>0</vt:i4>
      </vt:variant>
      <vt:variant>
        <vt:i4>5</vt:i4>
      </vt:variant>
      <vt:variant>
        <vt:lpwstr>https://barhumanrights.org.uk/sites/default/files/documents/news/an_unfinihsed_war._torture_and_sexual_violence_in_sri_lanka_2009-2014_0.pdf</vt:lpwstr>
      </vt:variant>
      <vt:variant>
        <vt:lpwstr/>
      </vt:variant>
      <vt:variant>
        <vt:i4>8257663</vt:i4>
      </vt:variant>
      <vt:variant>
        <vt:i4>0</vt:i4>
      </vt:variant>
      <vt:variant>
        <vt:i4>0</vt:i4>
      </vt:variant>
      <vt:variant>
        <vt:i4>5</vt:i4>
      </vt:variant>
      <vt:variant>
        <vt:lpwstr>http://www.freedomfromtorture.org/sites/default/files/documents/sl_report_a4_-_final-f-b-web.pdf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1616217</dc:title>
  <dc:subject>CAT/C/58/D/609/2014</dc:subject>
  <dc:creator>default</dc:creator>
  <cp:keywords/>
  <dc:description/>
  <cp:lastModifiedBy>Tpseng</cp:lastModifiedBy>
  <cp:revision>2</cp:revision>
  <cp:lastPrinted>2016-09-01T07:12:00Z</cp:lastPrinted>
  <dcterms:created xsi:type="dcterms:W3CDTF">2016-09-21T06:04:00Z</dcterms:created>
  <dcterms:modified xsi:type="dcterms:W3CDTF">2016-09-21T06:04:00Z</dcterms:modified>
</cp:coreProperties>
</file>