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37D10" w:rsidRPr="00437D10" w:rsidTr="00E4728E">
        <w:trPr>
          <w:cantSplit/>
          <w:trHeight w:hRule="exact" w:val="851"/>
        </w:trPr>
        <w:tc>
          <w:tcPr>
            <w:tcW w:w="1276" w:type="dxa"/>
            <w:tcBorders>
              <w:bottom w:val="single" w:sz="4" w:space="0" w:color="auto"/>
            </w:tcBorders>
            <w:shd w:val="clear" w:color="auto" w:fill="auto"/>
            <w:vAlign w:val="bottom"/>
          </w:tcPr>
          <w:p w:rsidR="00B56E9C" w:rsidRPr="00437D10" w:rsidRDefault="00B56E9C" w:rsidP="00D84BBA">
            <w:pPr>
              <w:pStyle w:val="SingleTxtG"/>
              <w:jc w:val="left"/>
              <w:rPr>
                <w:color w:val="000000" w:themeColor="text1"/>
              </w:rPr>
            </w:pPr>
          </w:p>
        </w:tc>
        <w:tc>
          <w:tcPr>
            <w:tcW w:w="2268" w:type="dxa"/>
            <w:tcBorders>
              <w:bottom w:val="single" w:sz="4" w:space="0" w:color="auto"/>
            </w:tcBorders>
            <w:shd w:val="clear" w:color="auto" w:fill="auto"/>
            <w:vAlign w:val="bottom"/>
          </w:tcPr>
          <w:p w:rsidR="00B56E9C" w:rsidRPr="00437D10" w:rsidRDefault="00B56E9C" w:rsidP="00E4728E">
            <w:pPr>
              <w:spacing w:after="80" w:line="300" w:lineRule="exact"/>
              <w:rPr>
                <w:b/>
                <w:color w:val="000000" w:themeColor="text1"/>
                <w:sz w:val="24"/>
                <w:szCs w:val="24"/>
              </w:rPr>
            </w:pPr>
            <w:r w:rsidRPr="00437D10">
              <w:rPr>
                <w:color w:val="000000" w:themeColor="text1"/>
                <w:sz w:val="28"/>
                <w:szCs w:val="28"/>
              </w:rPr>
              <w:t>United Nations</w:t>
            </w:r>
          </w:p>
        </w:tc>
        <w:tc>
          <w:tcPr>
            <w:tcW w:w="6095" w:type="dxa"/>
            <w:gridSpan w:val="2"/>
            <w:tcBorders>
              <w:bottom w:val="single" w:sz="4" w:space="0" w:color="auto"/>
            </w:tcBorders>
            <w:shd w:val="clear" w:color="auto" w:fill="auto"/>
            <w:vAlign w:val="bottom"/>
          </w:tcPr>
          <w:p w:rsidR="00B56E9C" w:rsidRPr="00437D10" w:rsidRDefault="00317454" w:rsidP="00E9111D">
            <w:pPr>
              <w:suppressAutoHyphens w:val="0"/>
              <w:spacing w:after="20"/>
              <w:jc w:val="right"/>
              <w:rPr>
                <w:color w:val="000000" w:themeColor="text1"/>
              </w:rPr>
            </w:pPr>
            <w:r w:rsidRPr="00437D10">
              <w:rPr>
                <w:color w:val="000000" w:themeColor="text1"/>
                <w:sz w:val="40"/>
              </w:rPr>
              <w:t>CERD</w:t>
            </w:r>
            <w:r w:rsidRPr="00437D10">
              <w:rPr>
                <w:color w:val="000000" w:themeColor="text1"/>
              </w:rPr>
              <w:t>/C/</w:t>
            </w:r>
            <w:r w:rsidR="00E9111D" w:rsidRPr="00437D10">
              <w:rPr>
                <w:color w:val="000000" w:themeColor="text1"/>
              </w:rPr>
              <w:t>PRT</w:t>
            </w:r>
            <w:r w:rsidR="00BC70F2" w:rsidRPr="00437D10">
              <w:rPr>
                <w:color w:val="000000" w:themeColor="text1"/>
              </w:rPr>
              <w:t>/</w:t>
            </w:r>
            <w:r w:rsidRPr="00437D10">
              <w:rPr>
                <w:color w:val="000000" w:themeColor="text1"/>
              </w:rPr>
              <w:t>Q/</w:t>
            </w:r>
            <w:r w:rsidR="007C7492" w:rsidRPr="00437D10">
              <w:rPr>
                <w:color w:val="000000" w:themeColor="text1"/>
              </w:rPr>
              <w:t>1</w:t>
            </w:r>
            <w:r w:rsidR="00E9111D" w:rsidRPr="00437D10">
              <w:rPr>
                <w:color w:val="000000" w:themeColor="text1"/>
              </w:rPr>
              <w:t>5-17</w:t>
            </w:r>
          </w:p>
        </w:tc>
      </w:tr>
      <w:tr w:rsidR="00437D10" w:rsidRPr="00437D10" w:rsidTr="00E4728E">
        <w:trPr>
          <w:cantSplit/>
          <w:trHeight w:hRule="exact" w:val="2835"/>
        </w:trPr>
        <w:tc>
          <w:tcPr>
            <w:tcW w:w="1276" w:type="dxa"/>
            <w:tcBorders>
              <w:top w:val="single" w:sz="4" w:space="0" w:color="auto"/>
              <w:bottom w:val="single" w:sz="12" w:space="0" w:color="auto"/>
            </w:tcBorders>
            <w:shd w:val="clear" w:color="auto" w:fill="auto"/>
          </w:tcPr>
          <w:p w:rsidR="00B56E9C" w:rsidRPr="00437D10" w:rsidRDefault="00323BE9" w:rsidP="00E4728E">
            <w:pPr>
              <w:spacing w:before="120"/>
              <w:jc w:val="center"/>
              <w:rPr>
                <w:color w:val="000000" w:themeColor="text1"/>
              </w:rPr>
            </w:pPr>
            <w:r w:rsidRPr="00437D10">
              <w:rPr>
                <w:noProof/>
                <w:color w:val="000000" w:themeColor="text1"/>
                <w:lang w:eastAsia="zh-CN"/>
              </w:rPr>
              <w:drawing>
                <wp:inline distT="0" distB="0" distL="0" distR="0" wp14:anchorId="7A8A43B7" wp14:editId="2554B094">
                  <wp:extent cx="715010" cy="59245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37D10" w:rsidRDefault="00B56E9C" w:rsidP="00E4728E">
            <w:pPr>
              <w:spacing w:before="120" w:line="380" w:lineRule="exact"/>
              <w:rPr>
                <w:b/>
                <w:color w:val="000000" w:themeColor="text1"/>
                <w:sz w:val="34"/>
                <w:szCs w:val="40"/>
              </w:rPr>
            </w:pPr>
            <w:r w:rsidRPr="00437D10">
              <w:rPr>
                <w:b/>
                <w:color w:val="000000" w:themeColor="text1"/>
                <w:sz w:val="34"/>
                <w:szCs w:val="40"/>
              </w:rPr>
              <w:t>International Convention on</w:t>
            </w:r>
            <w:r w:rsidR="00A01489" w:rsidRPr="00437D10">
              <w:rPr>
                <w:b/>
                <w:color w:val="000000" w:themeColor="text1"/>
                <w:sz w:val="34"/>
                <w:szCs w:val="40"/>
              </w:rPr>
              <w:br/>
            </w:r>
            <w:r w:rsidR="00E63389" w:rsidRPr="00437D10">
              <w:rPr>
                <w:b/>
                <w:color w:val="000000" w:themeColor="text1"/>
                <w:sz w:val="34"/>
                <w:szCs w:val="40"/>
              </w:rPr>
              <w:t>the Elimination of A</w:t>
            </w:r>
            <w:r w:rsidRPr="00437D10">
              <w:rPr>
                <w:b/>
                <w:color w:val="000000" w:themeColor="text1"/>
                <w:sz w:val="34"/>
                <w:szCs w:val="40"/>
              </w:rPr>
              <w:t>ll Forms</w:t>
            </w:r>
            <w:r w:rsidR="00A01489" w:rsidRPr="00437D10">
              <w:rPr>
                <w:b/>
                <w:color w:val="000000" w:themeColor="text1"/>
                <w:sz w:val="34"/>
                <w:szCs w:val="40"/>
              </w:rPr>
              <w:br/>
            </w:r>
            <w:r w:rsidRPr="00437D10">
              <w:rPr>
                <w:b/>
                <w:color w:val="000000" w:themeColor="text1"/>
                <w:sz w:val="34"/>
                <w:szCs w:val="40"/>
              </w:rPr>
              <w:t>of Racial Discrimination</w:t>
            </w:r>
          </w:p>
        </w:tc>
        <w:tc>
          <w:tcPr>
            <w:tcW w:w="2835" w:type="dxa"/>
            <w:tcBorders>
              <w:top w:val="single" w:sz="4" w:space="0" w:color="auto"/>
              <w:bottom w:val="single" w:sz="12" w:space="0" w:color="auto"/>
            </w:tcBorders>
            <w:shd w:val="clear" w:color="auto" w:fill="auto"/>
          </w:tcPr>
          <w:p w:rsidR="00317454" w:rsidRPr="00437D10" w:rsidRDefault="00317454" w:rsidP="00E4728E">
            <w:pPr>
              <w:suppressAutoHyphens w:val="0"/>
              <w:spacing w:before="240" w:line="240" w:lineRule="exact"/>
              <w:rPr>
                <w:color w:val="000000" w:themeColor="text1"/>
              </w:rPr>
            </w:pPr>
            <w:r w:rsidRPr="00437D10">
              <w:rPr>
                <w:color w:val="000000" w:themeColor="text1"/>
              </w:rPr>
              <w:t>Distr.: General</w:t>
            </w:r>
          </w:p>
          <w:p w:rsidR="00317454" w:rsidRPr="00437D10" w:rsidRDefault="00657E54" w:rsidP="00D642CA">
            <w:pPr>
              <w:suppressAutoHyphens w:val="0"/>
              <w:rPr>
                <w:color w:val="000000" w:themeColor="text1"/>
              </w:rPr>
            </w:pPr>
            <w:r w:rsidRPr="0016784A">
              <w:rPr>
                <w:color w:val="000000" w:themeColor="text1"/>
              </w:rPr>
              <w:t>2</w:t>
            </w:r>
            <w:r w:rsidR="00D642CA">
              <w:rPr>
                <w:color w:val="000000" w:themeColor="text1"/>
              </w:rPr>
              <w:t>3</w:t>
            </w:r>
            <w:r w:rsidR="00D04AEB" w:rsidRPr="0064580C">
              <w:rPr>
                <w:color w:val="000000" w:themeColor="text1"/>
              </w:rPr>
              <w:t xml:space="preserve"> September</w:t>
            </w:r>
            <w:r w:rsidR="007C7492" w:rsidRPr="0064580C">
              <w:rPr>
                <w:color w:val="000000" w:themeColor="text1"/>
              </w:rPr>
              <w:t xml:space="preserve"> 2016</w:t>
            </w:r>
          </w:p>
          <w:p w:rsidR="00317454" w:rsidRPr="00437D10" w:rsidRDefault="00317454" w:rsidP="00E4728E">
            <w:pPr>
              <w:suppressAutoHyphens w:val="0"/>
              <w:rPr>
                <w:color w:val="000000" w:themeColor="text1"/>
              </w:rPr>
            </w:pPr>
          </w:p>
          <w:p w:rsidR="00B56E9C" w:rsidRPr="00437D10" w:rsidRDefault="00317454" w:rsidP="0048272E">
            <w:pPr>
              <w:suppressAutoHyphens w:val="0"/>
              <w:rPr>
                <w:color w:val="000000" w:themeColor="text1"/>
              </w:rPr>
            </w:pPr>
            <w:r w:rsidRPr="00437D10">
              <w:rPr>
                <w:color w:val="000000" w:themeColor="text1"/>
              </w:rPr>
              <w:t xml:space="preserve">Original: </w:t>
            </w:r>
            <w:r w:rsidR="007C7492" w:rsidRPr="00437D10">
              <w:rPr>
                <w:color w:val="000000" w:themeColor="text1"/>
              </w:rPr>
              <w:t>English</w:t>
            </w:r>
          </w:p>
          <w:p w:rsidR="00172B6E" w:rsidRPr="00437D10" w:rsidRDefault="007C7492" w:rsidP="0048272E">
            <w:pPr>
              <w:suppressAutoHyphens w:val="0"/>
              <w:rPr>
                <w:color w:val="000000" w:themeColor="text1"/>
              </w:rPr>
            </w:pPr>
            <w:r w:rsidRPr="00437D10">
              <w:rPr>
                <w:color w:val="000000" w:themeColor="text1"/>
              </w:rPr>
              <w:t xml:space="preserve">English, French and Spanish </w:t>
            </w:r>
            <w:r w:rsidR="00172B6E" w:rsidRPr="00437D10">
              <w:rPr>
                <w:color w:val="000000" w:themeColor="text1"/>
              </w:rPr>
              <w:t>only</w:t>
            </w:r>
          </w:p>
        </w:tc>
      </w:tr>
    </w:tbl>
    <w:p w:rsidR="0024532E" w:rsidRPr="00437D10" w:rsidRDefault="0024532E" w:rsidP="0024532E">
      <w:pPr>
        <w:spacing w:before="120"/>
        <w:rPr>
          <w:b/>
          <w:color w:val="000000" w:themeColor="text1"/>
          <w:sz w:val="24"/>
          <w:szCs w:val="24"/>
        </w:rPr>
      </w:pPr>
      <w:r w:rsidRPr="00437D10">
        <w:rPr>
          <w:b/>
          <w:color w:val="000000" w:themeColor="text1"/>
          <w:sz w:val="24"/>
          <w:szCs w:val="24"/>
        </w:rPr>
        <w:t>Committee on the Elimination of Racial Discrimination</w:t>
      </w:r>
    </w:p>
    <w:p w:rsidR="0024532E" w:rsidRPr="00437D10" w:rsidRDefault="007C7492" w:rsidP="0024532E">
      <w:pPr>
        <w:rPr>
          <w:b/>
          <w:color w:val="000000" w:themeColor="text1"/>
        </w:rPr>
      </w:pPr>
      <w:r w:rsidRPr="00437D10">
        <w:rPr>
          <w:b/>
          <w:color w:val="000000" w:themeColor="text1"/>
        </w:rPr>
        <w:t>Ninety-fi</w:t>
      </w:r>
      <w:r w:rsidR="00F14061" w:rsidRPr="00437D10">
        <w:rPr>
          <w:b/>
          <w:color w:val="000000" w:themeColor="text1"/>
        </w:rPr>
        <w:t>r</w:t>
      </w:r>
      <w:r w:rsidRPr="00437D10">
        <w:rPr>
          <w:b/>
          <w:color w:val="000000" w:themeColor="text1"/>
        </w:rPr>
        <w:t>st</w:t>
      </w:r>
      <w:r w:rsidR="002B7EFC">
        <w:rPr>
          <w:b/>
          <w:color w:val="000000" w:themeColor="text1"/>
        </w:rPr>
        <w:t xml:space="preserve"> </w:t>
      </w:r>
      <w:proofErr w:type="gramStart"/>
      <w:r w:rsidR="00F3702E" w:rsidRPr="00437D10">
        <w:rPr>
          <w:b/>
          <w:color w:val="000000" w:themeColor="text1"/>
        </w:rPr>
        <w:t>session</w:t>
      </w:r>
      <w:proofErr w:type="gramEnd"/>
    </w:p>
    <w:p w:rsidR="0024532E" w:rsidRPr="00437D10" w:rsidRDefault="007C7492" w:rsidP="0024532E">
      <w:pPr>
        <w:rPr>
          <w:color w:val="000000" w:themeColor="text1"/>
        </w:rPr>
      </w:pPr>
      <w:r w:rsidRPr="00437D10">
        <w:rPr>
          <w:color w:val="000000" w:themeColor="text1"/>
        </w:rPr>
        <w:t>21 November to 9 December 2016</w:t>
      </w:r>
    </w:p>
    <w:p w:rsidR="0024532E" w:rsidRPr="00437D10" w:rsidRDefault="0024532E" w:rsidP="0048272E">
      <w:pPr>
        <w:rPr>
          <w:color w:val="000000" w:themeColor="text1"/>
        </w:rPr>
      </w:pPr>
      <w:r w:rsidRPr="00437D10">
        <w:rPr>
          <w:color w:val="000000" w:themeColor="text1"/>
        </w:rPr>
        <w:t xml:space="preserve">Item </w:t>
      </w:r>
      <w:r w:rsidR="00BF2F83">
        <w:rPr>
          <w:color w:val="000000" w:themeColor="text1"/>
        </w:rPr>
        <w:t>4</w:t>
      </w:r>
      <w:r w:rsidRPr="00437D10">
        <w:rPr>
          <w:color w:val="000000" w:themeColor="text1"/>
        </w:rPr>
        <w:t xml:space="preserve"> of the provisional agenda</w:t>
      </w:r>
    </w:p>
    <w:p w:rsidR="0024532E" w:rsidRPr="00437D10" w:rsidRDefault="0024532E" w:rsidP="0024532E">
      <w:pPr>
        <w:rPr>
          <w:b/>
          <w:color w:val="000000" w:themeColor="text1"/>
        </w:rPr>
      </w:pPr>
      <w:r w:rsidRPr="00437D10">
        <w:rPr>
          <w:b/>
          <w:color w:val="000000" w:themeColor="text1"/>
        </w:rPr>
        <w:t xml:space="preserve">Consideration of reports, comments and information </w:t>
      </w:r>
      <w:r w:rsidR="004D6628" w:rsidRPr="00437D10">
        <w:rPr>
          <w:b/>
          <w:color w:val="000000" w:themeColor="text1"/>
        </w:rPr>
        <w:t>submitted</w:t>
      </w:r>
      <w:r w:rsidRPr="00437D10">
        <w:rPr>
          <w:b/>
          <w:color w:val="000000" w:themeColor="text1"/>
        </w:rPr>
        <w:br/>
        <w:t>by States parties under article 9 of the Convention</w:t>
      </w:r>
    </w:p>
    <w:p w:rsidR="0024532E" w:rsidRPr="00437D10" w:rsidRDefault="0024532E" w:rsidP="00B1476B">
      <w:pPr>
        <w:pStyle w:val="HChG"/>
        <w:spacing w:after="100"/>
        <w:rPr>
          <w:color w:val="000000" w:themeColor="text1"/>
        </w:rPr>
      </w:pPr>
      <w:r w:rsidRPr="00437D10">
        <w:rPr>
          <w:color w:val="000000" w:themeColor="text1"/>
        </w:rPr>
        <w:tab/>
      </w:r>
      <w:r w:rsidRPr="00437D10">
        <w:rPr>
          <w:color w:val="000000" w:themeColor="text1"/>
        </w:rPr>
        <w:tab/>
        <w:t xml:space="preserve">List of themes in relation to the </w:t>
      </w:r>
      <w:r w:rsidR="007C7492" w:rsidRPr="00437D10">
        <w:rPr>
          <w:color w:val="000000" w:themeColor="text1"/>
        </w:rPr>
        <w:t xml:space="preserve">combined </w:t>
      </w:r>
      <w:r w:rsidR="00E9111D" w:rsidRPr="00437D10">
        <w:rPr>
          <w:color w:val="000000" w:themeColor="text1"/>
        </w:rPr>
        <w:t>fifteenth to</w:t>
      </w:r>
      <w:r w:rsidR="00D642CA">
        <w:rPr>
          <w:color w:val="000000" w:themeColor="text1"/>
        </w:rPr>
        <w:t> </w:t>
      </w:r>
      <w:r w:rsidR="00E9111D" w:rsidRPr="00437D10">
        <w:rPr>
          <w:color w:val="000000" w:themeColor="text1"/>
        </w:rPr>
        <w:t>seventeenth</w:t>
      </w:r>
      <w:r w:rsidR="0048272E" w:rsidRPr="00437D10">
        <w:rPr>
          <w:color w:val="000000" w:themeColor="text1"/>
          <w:szCs w:val="28"/>
        </w:rPr>
        <w:t xml:space="preserve"> periodic</w:t>
      </w:r>
      <w:r w:rsidRPr="00437D10">
        <w:rPr>
          <w:color w:val="000000" w:themeColor="text1"/>
        </w:rPr>
        <w:t xml:space="preserve"> report</w:t>
      </w:r>
      <w:r w:rsidR="00BC70F2" w:rsidRPr="00437D10">
        <w:rPr>
          <w:color w:val="000000" w:themeColor="text1"/>
        </w:rPr>
        <w:t>s</w:t>
      </w:r>
      <w:r w:rsidRPr="00437D10">
        <w:rPr>
          <w:color w:val="000000" w:themeColor="text1"/>
        </w:rPr>
        <w:t xml:space="preserve"> of </w:t>
      </w:r>
      <w:r w:rsidR="00E9111D" w:rsidRPr="00437D10">
        <w:rPr>
          <w:color w:val="000000" w:themeColor="text1"/>
        </w:rPr>
        <w:t>Portugal</w:t>
      </w:r>
    </w:p>
    <w:p w:rsidR="0024532E" w:rsidRPr="00437D10" w:rsidRDefault="0024532E" w:rsidP="00B1476B">
      <w:pPr>
        <w:pStyle w:val="H1G"/>
        <w:spacing w:after="100"/>
        <w:rPr>
          <w:color w:val="000000" w:themeColor="text1"/>
        </w:rPr>
      </w:pPr>
      <w:r w:rsidRPr="00437D10">
        <w:rPr>
          <w:color w:val="000000" w:themeColor="text1"/>
        </w:rPr>
        <w:tab/>
      </w:r>
      <w:r w:rsidRPr="00437D10">
        <w:rPr>
          <w:color w:val="000000" w:themeColor="text1"/>
        </w:rPr>
        <w:tab/>
        <w:t>Note by the Country Rapporteur</w:t>
      </w:r>
    </w:p>
    <w:p w:rsidR="002E4A8B" w:rsidRPr="00437D10" w:rsidRDefault="0016784A" w:rsidP="00B1476B">
      <w:pPr>
        <w:pStyle w:val="SingleTxtG"/>
        <w:spacing w:after="100" w:line="220" w:lineRule="atLeast"/>
        <w:rPr>
          <w:color w:val="000000" w:themeColor="text1"/>
        </w:rPr>
      </w:pPr>
      <w:r w:rsidRPr="00437D10">
        <w:rPr>
          <w:color w:val="000000" w:themeColor="text1"/>
        </w:rPr>
        <w:t>1.</w:t>
      </w:r>
      <w:r w:rsidRPr="00437D10">
        <w:rPr>
          <w:color w:val="000000" w:themeColor="text1"/>
        </w:rPr>
        <w:tab/>
      </w:r>
      <w:r w:rsidR="002E4A8B" w:rsidRPr="00437D10">
        <w:rPr>
          <w:color w:val="000000" w:themeColor="text1"/>
        </w:rPr>
        <w:t>The Committee on the Elimination of Racial Discrimination decided at its seventy-sixth session (see A/65/18, para. 85) that the Country Rapporteur would send to the State party concerned a short list of themes with a view to guiding and focusing the dialogue between the State party’s delegation and the Committee during the consideration of the State party’s report. The present document contains a list of such themes. It is not an exhaustive list; other issues may also be raised in the course of the dialogue. No written replies are required.</w:t>
      </w:r>
    </w:p>
    <w:p w:rsidR="00172B6E" w:rsidRPr="00437D10" w:rsidRDefault="00172B6E" w:rsidP="00B1476B">
      <w:pPr>
        <w:pStyle w:val="H23G"/>
        <w:spacing w:after="100"/>
        <w:rPr>
          <w:color w:val="000000" w:themeColor="text1"/>
        </w:rPr>
      </w:pPr>
      <w:r w:rsidRPr="00437D10">
        <w:rPr>
          <w:color w:val="000000" w:themeColor="text1"/>
        </w:rPr>
        <w:tab/>
      </w:r>
      <w:r w:rsidRPr="00437D10">
        <w:rPr>
          <w:color w:val="000000" w:themeColor="text1"/>
        </w:rPr>
        <w:tab/>
      </w:r>
      <w:r w:rsidR="00625B36" w:rsidRPr="00437D10">
        <w:rPr>
          <w:color w:val="000000" w:themeColor="text1"/>
        </w:rPr>
        <w:t>T</w:t>
      </w:r>
      <w:r w:rsidR="002E4A8B" w:rsidRPr="00437D10">
        <w:rPr>
          <w:color w:val="000000" w:themeColor="text1"/>
        </w:rPr>
        <w:t>he</w:t>
      </w:r>
      <w:r w:rsidRPr="00437D10">
        <w:rPr>
          <w:color w:val="000000" w:themeColor="text1"/>
        </w:rPr>
        <w:t xml:space="preserve"> Convention in domestic law and the institutional and policy framework </w:t>
      </w:r>
      <w:r w:rsidR="00D642CA">
        <w:rPr>
          <w:color w:val="000000" w:themeColor="text1"/>
        </w:rPr>
        <w:br/>
      </w:r>
      <w:r w:rsidRPr="00437D10">
        <w:rPr>
          <w:color w:val="000000" w:themeColor="text1"/>
        </w:rPr>
        <w:t>for its implementation (</w:t>
      </w:r>
      <w:r w:rsidR="00B2044C">
        <w:t>arts. 2, 4</w:t>
      </w:r>
      <w:r w:rsidR="00657A3D">
        <w:t>,</w:t>
      </w:r>
      <w:r w:rsidR="00B2044C">
        <w:t xml:space="preserve"> 6</w:t>
      </w:r>
      <w:r w:rsidR="00657A3D">
        <w:t xml:space="preserve"> and </w:t>
      </w:r>
      <w:r w:rsidR="00B2044C">
        <w:t>7</w:t>
      </w:r>
      <w:r w:rsidRPr="00437D10">
        <w:rPr>
          <w:color w:val="000000" w:themeColor="text1"/>
        </w:rPr>
        <w:t>)</w:t>
      </w:r>
    </w:p>
    <w:p w:rsidR="00172B6E" w:rsidRDefault="0016784A" w:rsidP="00B1476B">
      <w:pPr>
        <w:pStyle w:val="SingleTxtG"/>
        <w:spacing w:after="100" w:line="220" w:lineRule="atLeast"/>
        <w:rPr>
          <w:color w:val="000000" w:themeColor="text1"/>
        </w:rPr>
      </w:pPr>
      <w:r>
        <w:rPr>
          <w:color w:val="000000" w:themeColor="text1"/>
        </w:rPr>
        <w:t>2.</w:t>
      </w:r>
      <w:r>
        <w:rPr>
          <w:color w:val="000000" w:themeColor="text1"/>
        </w:rPr>
        <w:tab/>
      </w:r>
      <w:r w:rsidR="00F54C11" w:rsidRPr="00437D10">
        <w:rPr>
          <w:color w:val="000000" w:themeColor="text1"/>
        </w:rPr>
        <w:t xml:space="preserve">Information on cases </w:t>
      </w:r>
      <w:r w:rsidR="00B55531" w:rsidRPr="00437D10">
        <w:rPr>
          <w:color w:val="000000" w:themeColor="text1"/>
        </w:rPr>
        <w:t xml:space="preserve">in which </w:t>
      </w:r>
      <w:r w:rsidR="00F54C11" w:rsidRPr="00437D10">
        <w:rPr>
          <w:color w:val="000000" w:themeColor="text1"/>
        </w:rPr>
        <w:t xml:space="preserve">the provisions </w:t>
      </w:r>
      <w:r w:rsidR="00657A3D">
        <w:rPr>
          <w:color w:val="000000" w:themeColor="text1"/>
        </w:rPr>
        <w:t xml:space="preserve">of the </w:t>
      </w:r>
      <w:r w:rsidR="00657A3D" w:rsidRPr="00437D10">
        <w:rPr>
          <w:color w:val="000000" w:themeColor="text1"/>
        </w:rPr>
        <w:t xml:space="preserve">Convention </w:t>
      </w:r>
      <w:r w:rsidR="00F54C11" w:rsidRPr="00437D10">
        <w:rPr>
          <w:color w:val="000000" w:themeColor="text1"/>
        </w:rPr>
        <w:t xml:space="preserve">were invoked before </w:t>
      </w:r>
      <w:r w:rsidR="009136AA">
        <w:rPr>
          <w:color w:val="000000" w:themeColor="text1"/>
        </w:rPr>
        <w:t>or</w:t>
      </w:r>
      <w:r w:rsidR="00F54C11" w:rsidRPr="00437D10">
        <w:rPr>
          <w:color w:val="000000" w:themeColor="text1"/>
        </w:rPr>
        <w:t xml:space="preserve"> applied by domestic courts </w:t>
      </w:r>
      <w:r w:rsidR="00172B6E" w:rsidRPr="00437D10">
        <w:rPr>
          <w:color w:val="000000" w:themeColor="text1"/>
        </w:rPr>
        <w:t>(</w:t>
      </w:r>
      <w:r w:rsidR="005B5659" w:rsidRPr="00437D10">
        <w:rPr>
          <w:color w:val="000000" w:themeColor="text1"/>
        </w:rPr>
        <w:t>CERD/C/</w:t>
      </w:r>
      <w:r w:rsidR="00B55531" w:rsidRPr="00437D10">
        <w:rPr>
          <w:color w:val="000000" w:themeColor="text1"/>
        </w:rPr>
        <w:t>PRT</w:t>
      </w:r>
      <w:r w:rsidR="005B5659" w:rsidRPr="00437D10">
        <w:rPr>
          <w:color w:val="000000" w:themeColor="text1"/>
        </w:rPr>
        <w:t>/</w:t>
      </w:r>
      <w:r w:rsidR="00B55531" w:rsidRPr="00437D10">
        <w:rPr>
          <w:color w:val="000000" w:themeColor="text1"/>
        </w:rPr>
        <w:t>C/12-14</w:t>
      </w:r>
      <w:r w:rsidR="005B5659" w:rsidRPr="00437D10">
        <w:rPr>
          <w:color w:val="000000" w:themeColor="text1"/>
        </w:rPr>
        <w:t xml:space="preserve">, </w:t>
      </w:r>
      <w:r w:rsidR="00B55531" w:rsidRPr="00437D10">
        <w:rPr>
          <w:color w:val="000000" w:themeColor="text1"/>
        </w:rPr>
        <w:t>para</w:t>
      </w:r>
      <w:r w:rsidR="00657A3D">
        <w:rPr>
          <w:color w:val="000000" w:themeColor="text1"/>
        </w:rPr>
        <w:t>.</w:t>
      </w:r>
      <w:r w:rsidR="00B55531" w:rsidRPr="00437D10">
        <w:rPr>
          <w:color w:val="000000" w:themeColor="text1"/>
        </w:rPr>
        <w:t xml:space="preserve"> 11, CERD/C/PRT/15-17, paras</w:t>
      </w:r>
      <w:r w:rsidR="00657A3D">
        <w:rPr>
          <w:color w:val="000000" w:themeColor="text1"/>
        </w:rPr>
        <w:t>.</w:t>
      </w:r>
      <w:r w:rsidR="00B875A3">
        <w:rPr>
          <w:color w:val="000000" w:themeColor="text1"/>
        </w:rPr>
        <w:t> </w:t>
      </w:r>
      <w:r w:rsidR="00B55531" w:rsidRPr="00437D10">
        <w:rPr>
          <w:color w:val="000000" w:themeColor="text1"/>
        </w:rPr>
        <w:t>60</w:t>
      </w:r>
      <w:r w:rsidR="00657A3D">
        <w:rPr>
          <w:color w:val="000000" w:themeColor="text1"/>
        </w:rPr>
        <w:t xml:space="preserve"> and </w:t>
      </w:r>
      <w:r w:rsidR="00B55531" w:rsidRPr="00437D10">
        <w:rPr>
          <w:color w:val="000000" w:themeColor="text1"/>
        </w:rPr>
        <w:t>61</w:t>
      </w:r>
      <w:r w:rsidR="006E5DD6" w:rsidRPr="00437D10">
        <w:rPr>
          <w:color w:val="000000" w:themeColor="text1"/>
        </w:rPr>
        <w:t>)</w:t>
      </w:r>
      <w:r w:rsidR="009136AA">
        <w:rPr>
          <w:color w:val="000000" w:themeColor="text1"/>
        </w:rPr>
        <w:t>.</w:t>
      </w:r>
    </w:p>
    <w:p w:rsidR="00122701" w:rsidRPr="00437D10" w:rsidRDefault="0016784A" w:rsidP="00B1476B">
      <w:pPr>
        <w:pStyle w:val="SingleTxtG"/>
        <w:spacing w:after="100" w:line="220" w:lineRule="atLeast"/>
        <w:rPr>
          <w:color w:val="000000" w:themeColor="text1"/>
        </w:rPr>
      </w:pPr>
      <w:r w:rsidRPr="00437D10">
        <w:rPr>
          <w:color w:val="000000" w:themeColor="text1"/>
        </w:rPr>
        <w:t>3.</w:t>
      </w:r>
      <w:r w:rsidRPr="00437D10">
        <w:rPr>
          <w:color w:val="000000" w:themeColor="text1"/>
        </w:rPr>
        <w:tab/>
      </w:r>
      <w:r w:rsidR="00122701">
        <w:rPr>
          <w:color w:val="000000" w:themeColor="text1"/>
        </w:rPr>
        <w:t>Update on the status and contents</w:t>
      </w:r>
      <w:bookmarkStart w:id="0" w:name="_GoBack"/>
      <w:bookmarkEnd w:id="0"/>
      <w:r w:rsidR="00122701">
        <w:rPr>
          <w:color w:val="000000" w:themeColor="text1"/>
        </w:rPr>
        <w:t xml:space="preserve"> of the anti-discrimination </w:t>
      </w:r>
      <w:r w:rsidR="00B849A0">
        <w:rPr>
          <w:color w:val="000000" w:themeColor="text1"/>
        </w:rPr>
        <w:t xml:space="preserve">draft </w:t>
      </w:r>
      <w:r w:rsidR="00122701">
        <w:rPr>
          <w:color w:val="000000" w:themeColor="text1"/>
        </w:rPr>
        <w:t>law (</w:t>
      </w:r>
      <w:r w:rsidR="00122701" w:rsidRPr="00437D10">
        <w:rPr>
          <w:color w:val="000000" w:themeColor="text1"/>
        </w:rPr>
        <w:t>CERD/C/PRT/12-14, para. 15</w:t>
      </w:r>
      <w:r w:rsidR="00122701">
        <w:rPr>
          <w:color w:val="000000" w:themeColor="text1"/>
        </w:rPr>
        <w:t>, CERD/C/PRT/15-17, para</w:t>
      </w:r>
      <w:r w:rsidR="00657A3D">
        <w:rPr>
          <w:color w:val="000000" w:themeColor="text1"/>
        </w:rPr>
        <w:t>.</w:t>
      </w:r>
      <w:r w:rsidR="00122701">
        <w:rPr>
          <w:color w:val="000000" w:themeColor="text1"/>
        </w:rPr>
        <w:t xml:space="preserve"> 168)</w:t>
      </w:r>
      <w:r w:rsidR="009136AA">
        <w:rPr>
          <w:color w:val="000000" w:themeColor="text1"/>
        </w:rPr>
        <w:t>.</w:t>
      </w:r>
      <w:r w:rsidR="00254AD3">
        <w:rPr>
          <w:color w:val="000000" w:themeColor="text1"/>
        </w:rPr>
        <w:t xml:space="preserve"> </w:t>
      </w:r>
    </w:p>
    <w:p w:rsidR="000C4E80" w:rsidRPr="00437D10" w:rsidRDefault="0016784A" w:rsidP="00B1476B">
      <w:pPr>
        <w:pStyle w:val="SingleTxtG"/>
        <w:spacing w:after="100" w:line="220" w:lineRule="atLeast"/>
        <w:rPr>
          <w:color w:val="000000" w:themeColor="text1"/>
        </w:rPr>
      </w:pPr>
      <w:r w:rsidRPr="00437D10">
        <w:rPr>
          <w:color w:val="000000" w:themeColor="text1"/>
        </w:rPr>
        <w:t>4.</w:t>
      </w:r>
      <w:r w:rsidRPr="00437D10">
        <w:rPr>
          <w:color w:val="000000" w:themeColor="text1"/>
        </w:rPr>
        <w:tab/>
      </w:r>
      <w:r w:rsidR="000C4E80" w:rsidRPr="00437D10">
        <w:rPr>
          <w:color w:val="000000" w:themeColor="text1"/>
        </w:rPr>
        <w:t>Update on measures taken, and their impact, to improve the effectiveness of the Commission for Equality and Against Racial Discrimination and to reinforce its resources. Update on the number of complaints submitted to the Commission during the period under review and their results, including type of punishments (CERD/C/PRT/CO/12-14, para. 17; CERD/C/</w:t>
      </w:r>
      <w:r w:rsidR="00657E54" w:rsidRPr="00437D10">
        <w:rPr>
          <w:color w:val="000000" w:themeColor="text1"/>
        </w:rPr>
        <w:t>PRT/</w:t>
      </w:r>
      <w:r w:rsidR="000C4E80" w:rsidRPr="00437D10">
        <w:rPr>
          <w:color w:val="000000" w:themeColor="text1"/>
        </w:rPr>
        <w:t>15-17, paras. 20 and 79).</w:t>
      </w:r>
      <w:r w:rsidR="009154FA">
        <w:rPr>
          <w:color w:val="000000" w:themeColor="text1"/>
        </w:rPr>
        <w:t xml:space="preserve"> </w:t>
      </w:r>
    </w:p>
    <w:p w:rsidR="002A4E0C" w:rsidRPr="002A4E0C" w:rsidRDefault="0016784A" w:rsidP="00B1476B">
      <w:pPr>
        <w:pStyle w:val="SingleTxtG"/>
        <w:spacing w:after="100" w:line="220" w:lineRule="atLeast"/>
        <w:rPr>
          <w:color w:val="000000" w:themeColor="text1"/>
        </w:rPr>
      </w:pPr>
      <w:r w:rsidRPr="002A4E0C">
        <w:rPr>
          <w:color w:val="000000" w:themeColor="text1"/>
        </w:rPr>
        <w:t>5.</w:t>
      </w:r>
      <w:r w:rsidRPr="002A4E0C">
        <w:rPr>
          <w:color w:val="000000" w:themeColor="text1"/>
        </w:rPr>
        <w:tab/>
      </w:r>
      <w:r w:rsidR="00CD1CA7">
        <w:rPr>
          <w:color w:val="000000" w:themeColor="text1"/>
        </w:rPr>
        <w:t xml:space="preserve">Detailed information on the number of complaints made under article 240 of the State party’s Criminal Code during the period under review </w:t>
      </w:r>
      <w:r w:rsidR="00657A3D">
        <w:rPr>
          <w:color w:val="000000" w:themeColor="text1"/>
        </w:rPr>
        <w:t xml:space="preserve">and </w:t>
      </w:r>
      <w:r w:rsidR="00CD1CA7">
        <w:rPr>
          <w:color w:val="000000" w:themeColor="text1"/>
        </w:rPr>
        <w:t>the outcomes of such complaints,</w:t>
      </w:r>
      <w:r w:rsidR="009136AA">
        <w:rPr>
          <w:color w:val="000000" w:themeColor="text1"/>
        </w:rPr>
        <w:t xml:space="preserve"> including sentences imposed</w:t>
      </w:r>
      <w:r w:rsidR="00CD1CA7">
        <w:rPr>
          <w:color w:val="000000" w:themeColor="text1"/>
        </w:rPr>
        <w:t xml:space="preserve"> against perpetrators and compensation provided to victims (CERD/C/PRT/CO/12-14, para</w:t>
      </w:r>
      <w:r w:rsidR="00657A3D">
        <w:rPr>
          <w:color w:val="000000" w:themeColor="text1"/>
        </w:rPr>
        <w:t>.</w:t>
      </w:r>
      <w:r w:rsidR="00CD1CA7">
        <w:rPr>
          <w:color w:val="000000" w:themeColor="text1"/>
        </w:rPr>
        <w:t xml:space="preserve"> 12, CERD/C/PRT/15-17, para</w:t>
      </w:r>
      <w:r w:rsidR="00657A3D">
        <w:rPr>
          <w:color w:val="000000" w:themeColor="text1"/>
        </w:rPr>
        <w:t>.</w:t>
      </w:r>
      <w:r w:rsidR="00CD1CA7">
        <w:rPr>
          <w:color w:val="000000" w:themeColor="text1"/>
        </w:rPr>
        <w:t xml:space="preserve"> 79)</w:t>
      </w:r>
      <w:r w:rsidR="009136AA">
        <w:rPr>
          <w:color w:val="000000" w:themeColor="text1"/>
        </w:rPr>
        <w:t>.</w:t>
      </w:r>
    </w:p>
    <w:p w:rsidR="002A4E0C" w:rsidRDefault="0016784A" w:rsidP="00B1476B">
      <w:pPr>
        <w:pStyle w:val="SingleTxtG"/>
        <w:spacing w:after="100" w:line="220" w:lineRule="atLeast"/>
        <w:rPr>
          <w:color w:val="000000" w:themeColor="text1"/>
        </w:rPr>
      </w:pPr>
      <w:r>
        <w:rPr>
          <w:color w:val="000000" w:themeColor="text1"/>
        </w:rPr>
        <w:t>6.</w:t>
      </w:r>
      <w:r>
        <w:rPr>
          <w:color w:val="000000" w:themeColor="text1"/>
        </w:rPr>
        <w:tab/>
      </w:r>
      <w:r w:rsidR="00CD1CA7" w:rsidRPr="00437D10">
        <w:rPr>
          <w:color w:val="000000" w:themeColor="text1"/>
        </w:rPr>
        <w:t xml:space="preserve">Information on the evaluation of human rights training delivered to law enforcement officers, criminal police officers, prison guards and public security police, specifically </w:t>
      </w:r>
      <w:r w:rsidR="00CD1CA7">
        <w:rPr>
          <w:lang w:eastAsia="en-GB"/>
        </w:rPr>
        <w:t xml:space="preserve">on the application of criminal law provisions against racism and racial discrimination and in </w:t>
      </w:r>
      <w:r w:rsidR="00CD1CA7">
        <w:rPr>
          <w:lang w:eastAsia="en-GB"/>
        </w:rPr>
        <w:lastRenderedPageBreak/>
        <w:t>particular how to recognize racist motivation</w:t>
      </w:r>
      <w:r w:rsidR="002A4E0C">
        <w:rPr>
          <w:lang w:eastAsia="en-GB"/>
        </w:rPr>
        <w:t xml:space="preserve"> </w:t>
      </w:r>
      <w:r w:rsidR="006A787C">
        <w:rPr>
          <w:lang w:eastAsia="en-GB"/>
        </w:rPr>
        <w:t>(</w:t>
      </w:r>
      <w:r w:rsidR="002A4E0C">
        <w:rPr>
          <w:color w:val="000000" w:themeColor="text1"/>
        </w:rPr>
        <w:t>CERD/C/PRT/CO/12-14, para</w:t>
      </w:r>
      <w:r w:rsidR="00657A3D">
        <w:rPr>
          <w:color w:val="000000" w:themeColor="text1"/>
        </w:rPr>
        <w:t>.</w:t>
      </w:r>
      <w:r w:rsidR="00254AD3">
        <w:rPr>
          <w:color w:val="000000" w:themeColor="text1"/>
        </w:rPr>
        <w:t> </w:t>
      </w:r>
      <w:r w:rsidR="002A4E0C">
        <w:rPr>
          <w:color w:val="000000" w:themeColor="text1"/>
        </w:rPr>
        <w:t>15</w:t>
      </w:r>
      <w:r w:rsidR="006A787C">
        <w:rPr>
          <w:color w:val="000000" w:themeColor="text1"/>
        </w:rPr>
        <w:t xml:space="preserve">, </w:t>
      </w:r>
      <w:r w:rsidR="006A787C" w:rsidRPr="00437D10">
        <w:rPr>
          <w:color w:val="000000" w:themeColor="text1"/>
        </w:rPr>
        <w:t>CERD/C/</w:t>
      </w:r>
      <w:r w:rsidR="00657E54" w:rsidRPr="00437D10">
        <w:rPr>
          <w:color w:val="000000" w:themeColor="text1"/>
        </w:rPr>
        <w:t>PRT/</w:t>
      </w:r>
      <w:r w:rsidR="006A787C" w:rsidRPr="00437D10">
        <w:rPr>
          <w:color w:val="000000" w:themeColor="text1"/>
        </w:rPr>
        <w:t>15-17, paras</w:t>
      </w:r>
      <w:r w:rsidR="00657A3D">
        <w:rPr>
          <w:color w:val="000000" w:themeColor="text1"/>
        </w:rPr>
        <w:t>.</w:t>
      </w:r>
      <w:r w:rsidR="00A173D1">
        <w:rPr>
          <w:color w:val="000000" w:themeColor="text1"/>
        </w:rPr>
        <w:t xml:space="preserve"> </w:t>
      </w:r>
      <w:r w:rsidR="006A787C" w:rsidRPr="00437D10">
        <w:rPr>
          <w:color w:val="000000" w:themeColor="text1"/>
        </w:rPr>
        <w:t>140-15</w:t>
      </w:r>
      <w:r w:rsidR="006A787C">
        <w:rPr>
          <w:color w:val="000000" w:themeColor="text1"/>
        </w:rPr>
        <w:t>7</w:t>
      </w:r>
      <w:r w:rsidR="002A4E0C">
        <w:rPr>
          <w:color w:val="000000" w:themeColor="text1"/>
        </w:rPr>
        <w:t>)</w:t>
      </w:r>
      <w:r w:rsidR="009136AA">
        <w:rPr>
          <w:color w:val="000000" w:themeColor="text1"/>
        </w:rPr>
        <w:t>.</w:t>
      </w:r>
    </w:p>
    <w:p w:rsidR="004C2C79" w:rsidRDefault="0016784A" w:rsidP="00B1476B">
      <w:pPr>
        <w:pStyle w:val="SingleTxtG"/>
        <w:spacing w:after="100" w:line="220" w:lineRule="atLeast"/>
        <w:rPr>
          <w:color w:val="000000" w:themeColor="text1"/>
        </w:rPr>
      </w:pPr>
      <w:r>
        <w:rPr>
          <w:color w:val="000000" w:themeColor="text1"/>
        </w:rPr>
        <w:t>7.</w:t>
      </w:r>
      <w:r>
        <w:rPr>
          <w:color w:val="000000" w:themeColor="text1"/>
        </w:rPr>
        <w:tab/>
      </w:r>
      <w:r w:rsidR="002A4E0C">
        <w:rPr>
          <w:color w:val="000000" w:themeColor="text1"/>
        </w:rPr>
        <w:t>Measures to prevent and combat excessive use of force by law enforcement officers against</w:t>
      </w:r>
      <w:r w:rsidR="00CD1CA7" w:rsidRPr="00437D10">
        <w:rPr>
          <w:color w:val="000000" w:themeColor="text1"/>
        </w:rPr>
        <w:t xml:space="preserve"> members of ethnic </w:t>
      </w:r>
      <w:r w:rsidR="00CD1CA7">
        <w:rPr>
          <w:color w:val="000000" w:themeColor="text1"/>
        </w:rPr>
        <w:t>groups</w:t>
      </w:r>
      <w:r w:rsidR="00CD1CA7" w:rsidRPr="00437D10">
        <w:rPr>
          <w:color w:val="000000" w:themeColor="text1"/>
        </w:rPr>
        <w:t>. Statistical data on administrative and judicial measures launched against law enforcement officers for racial discrimination</w:t>
      </w:r>
      <w:r w:rsidR="009136AA" w:rsidRPr="00437D10">
        <w:rPr>
          <w:color w:val="000000" w:themeColor="text1"/>
        </w:rPr>
        <w:t xml:space="preserve"> </w:t>
      </w:r>
      <w:r w:rsidR="00CD1CA7" w:rsidRPr="00437D10">
        <w:rPr>
          <w:color w:val="000000" w:themeColor="text1"/>
        </w:rPr>
        <w:t>(CERD/C/PRT/12-14, para. 15</w:t>
      </w:r>
      <w:r w:rsidR="006A787C">
        <w:rPr>
          <w:color w:val="000000" w:themeColor="text1"/>
        </w:rPr>
        <w:t>, CERD/C/</w:t>
      </w:r>
      <w:r w:rsidR="00657E54" w:rsidRPr="00437D10">
        <w:rPr>
          <w:color w:val="000000" w:themeColor="text1"/>
        </w:rPr>
        <w:t>PRT/</w:t>
      </w:r>
      <w:r w:rsidR="006A787C">
        <w:rPr>
          <w:color w:val="000000" w:themeColor="text1"/>
        </w:rPr>
        <w:t>15-17, paras</w:t>
      </w:r>
      <w:r w:rsidR="00657A3D">
        <w:rPr>
          <w:color w:val="000000" w:themeColor="text1"/>
        </w:rPr>
        <w:t>.</w:t>
      </w:r>
      <w:r w:rsidR="006A787C">
        <w:rPr>
          <w:color w:val="000000" w:themeColor="text1"/>
        </w:rPr>
        <w:t xml:space="preserve"> 155</w:t>
      </w:r>
      <w:r w:rsidR="001871C6">
        <w:rPr>
          <w:color w:val="000000" w:themeColor="text1"/>
        </w:rPr>
        <w:t xml:space="preserve"> and </w:t>
      </w:r>
      <w:r w:rsidR="001871C6" w:rsidRPr="00437D10">
        <w:rPr>
          <w:color w:val="000000" w:themeColor="text1"/>
        </w:rPr>
        <w:t>15</w:t>
      </w:r>
      <w:r w:rsidR="001871C6">
        <w:rPr>
          <w:color w:val="000000" w:themeColor="text1"/>
        </w:rPr>
        <w:t>6</w:t>
      </w:r>
      <w:r w:rsidR="00CD1CA7" w:rsidRPr="00437D10">
        <w:rPr>
          <w:color w:val="000000" w:themeColor="text1"/>
        </w:rPr>
        <w:t>)</w:t>
      </w:r>
      <w:r w:rsidR="009136AA">
        <w:rPr>
          <w:color w:val="000000" w:themeColor="text1"/>
        </w:rPr>
        <w:t>.</w:t>
      </w:r>
    </w:p>
    <w:p w:rsidR="00D26BF5" w:rsidRDefault="0016784A" w:rsidP="00B1476B">
      <w:pPr>
        <w:pStyle w:val="SingleTxtG"/>
        <w:spacing w:after="100" w:line="220" w:lineRule="atLeast"/>
        <w:rPr>
          <w:color w:val="000000" w:themeColor="text1"/>
        </w:rPr>
      </w:pPr>
      <w:r>
        <w:rPr>
          <w:color w:val="000000" w:themeColor="text1"/>
        </w:rPr>
        <w:t>8.</w:t>
      </w:r>
      <w:r>
        <w:rPr>
          <w:color w:val="000000" w:themeColor="text1"/>
        </w:rPr>
        <w:tab/>
      </w:r>
      <w:r w:rsidR="004C2C79" w:rsidRPr="00437D10">
        <w:rPr>
          <w:color w:val="000000" w:themeColor="text1"/>
        </w:rPr>
        <w:t>Information on whether hate speech is criminalized in the State party, and update on administrative and judicial measures taken to discipline political parties that incite racism and intolerance</w:t>
      </w:r>
      <w:r w:rsidR="009136AA">
        <w:rPr>
          <w:color w:val="000000" w:themeColor="text1"/>
        </w:rPr>
        <w:t xml:space="preserve"> towards ethnic minorities (CERD</w:t>
      </w:r>
      <w:r w:rsidR="004C2C79" w:rsidRPr="00437D10">
        <w:rPr>
          <w:color w:val="000000" w:themeColor="text1"/>
        </w:rPr>
        <w:t>/C/PRT/CO/12-14, para</w:t>
      </w:r>
      <w:r w:rsidR="00657A3D">
        <w:rPr>
          <w:color w:val="000000" w:themeColor="text1"/>
        </w:rPr>
        <w:t>.</w:t>
      </w:r>
      <w:r w:rsidR="00254AD3">
        <w:rPr>
          <w:color w:val="000000" w:themeColor="text1"/>
        </w:rPr>
        <w:t> </w:t>
      </w:r>
      <w:r w:rsidR="004C2C79" w:rsidRPr="00437D10">
        <w:rPr>
          <w:color w:val="000000" w:themeColor="text1"/>
        </w:rPr>
        <w:t>14, CERD/C/PRT/15-17, paras</w:t>
      </w:r>
      <w:r w:rsidR="00657A3D">
        <w:rPr>
          <w:color w:val="000000" w:themeColor="text1"/>
        </w:rPr>
        <w:t>.</w:t>
      </w:r>
      <w:r w:rsidR="004C2C79" w:rsidRPr="00437D10">
        <w:rPr>
          <w:color w:val="000000" w:themeColor="text1"/>
        </w:rPr>
        <w:t xml:space="preserve"> 126</w:t>
      </w:r>
      <w:r w:rsidR="00657A3D">
        <w:rPr>
          <w:color w:val="000000" w:themeColor="text1"/>
        </w:rPr>
        <w:t xml:space="preserve">, </w:t>
      </w:r>
      <w:r w:rsidR="004C2C79" w:rsidRPr="00437D10">
        <w:rPr>
          <w:color w:val="000000" w:themeColor="text1"/>
        </w:rPr>
        <w:t>127 and 133)</w:t>
      </w:r>
      <w:r w:rsidR="009136AA">
        <w:rPr>
          <w:color w:val="000000" w:themeColor="text1"/>
        </w:rPr>
        <w:t>.</w:t>
      </w:r>
    </w:p>
    <w:p w:rsidR="00D26BF5" w:rsidRPr="00D26BF5" w:rsidRDefault="0016784A" w:rsidP="00B1476B">
      <w:pPr>
        <w:pStyle w:val="SingleTxtG"/>
        <w:spacing w:after="100" w:line="220" w:lineRule="atLeast"/>
        <w:rPr>
          <w:color w:val="000000" w:themeColor="text1"/>
        </w:rPr>
      </w:pPr>
      <w:r w:rsidRPr="00D26BF5">
        <w:rPr>
          <w:color w:val="000000" w:themeColor="text1"/>
        </w:rPr>
        <w:t>9.</w:t>
      </w:r>
      <w:r w:rsidRPr="00D26BF5">
        <w:rPr>
          <w:color w:val="000000" w:themeColor="text1"/>
        </w:rPr>
        <w:tab/>
      </w:r>
      <w:r w:rsidR="00D26BF5">
        <w:rPr>
          <w:color w:val="000000" w:themeColor="text1"/>
        </w:rPr>
        <w:t>Update on human rights initiatives aimed at combating racism, discrimination, xenophobia and related intolerance against vulnerable groups, and the impact of such initiatives (CERD/C/PRT/CO/12-14, para</w:t>
      </w:r>
      <w:r w:rsidR="00657A3D">
        <w:rPr>
          <w:color w:val="000000" w:themeColor="text1"/>
        </w:rPr>
        <w:t>.</w:t>
      </w:r>
      <w:r w:rsidR="00D26BF5">
        <w:rPr>
          <w:color w:val="000000" w:themeColor="text1"/>
        </w:rPr>
        <w:t xml:space="preserve"> 20, CERD/C/PRT/15-17, </w:t>
      </w:r>
      <w:proofErr w:type="gramStart"/>
      <w:r w:rsidR="00D26BF5">
        <w:rPr>
          <w:color w:val="000000" w:themeColor="text1"/>
        </w:rPr>
        <w:t>paras</w:t>
      </w:r>
      <w:proofErr w:type="gramEnd"/>
      <w:r w:rsidR="00657A3D">
        <w:rPr>
          <w:color w:val="000000" w:themeColor="text1"/>
        </w:rPr>
        <w:t>.</w:t>
      </w:r>
      <w:r w:rsidR="00D26BF5">
        <w:rPr>
          <w:color w:val="000000" w:themeColor="text1"/>
        </w:rPr>
        <w:t xml:space="preserve"> 177-190). </w:t>
      </w:r>
    </w:p>
    <w:p w:rsidR="002B2583" w:rsidRPr="00437D10" w:rsidRDefault="00172B6E" w:rsidP="00B1476B">
      <w:pPr>
        <w:pStyle w:val="H23G"/>
        <w:spacing w:after="100"/>
        <w:rPr>
          <w:color w:val="000000" w:themeColor="text1"/>
        </w:rPr>
      </w:pPr>
      <w:r w:rsidRPr="00437D10">
        <w:rPr>
          <w:color w:val="000000" w:themeColor="text1"/>
        </w:rPr>
        <w:tab/>
      </w:r>
      <w:r w:rsidRPr="00437D10">
        <w:rPr>
          <w:color w:val="000000" w:themeColor="text1"/>
        </w:rPr>
        <w:tab/>
      </w:r>
      <w:r w:rsidR="002B2583" w:rsidRPr="00437D10">
        <w:rPr>
          <w:color w:val="000000" w:themeColor="text1"/>
        </w:rPr>
        <w:t>Discrimination ag</w:t>
      </w:r>
      <w:r w:rsidR="00804FC1" w:rsidRPr="00437D10">
        <w:rPr>
          <w:color w:val="000000" w:themeColor="text1"/>
        </w:rPr>
        <w:t>ainst ethnic</w:t>
      </w:r>
      <w:r w:rsidR="002B2583" w:rsidRPr="00437D10">
        <w:rPr>
          <w:color w:val="000000" w:themeColor="text1"/>
        </w:rPr>
        <w:t xml:space="preserve"> minorities (arts. 2</w:t>
      </w:r>
      <w:r w:rsidR="001871C6">
        <w:rPr>
          <w:color w:val="000000" w:themeColor="text1"/>
        </w:rPr>
        <w:t>-</w:t>
      </w:r>
      <w:r w:rsidR="002B2583" w:rsidRPr="00437D10">
        <w:rPr>
          <w:color w:val="000000" w:themeColor="text1"/>
        </w:rPr>
        <w:t>7)</w:t>
      </w:r>
      <w:r w:rsidR="00254AD3">
        <w:rPr>
          <w:color w:val="000000" w:themeColor="text1"/>
        </w:rPr>
        <w:t xml:space="preserve"> </w:t>
      </w:r>
    </w:p>
    <w:p w:rsidR="004C2C79" w:rsidRDefault="0016784A" w:rsidP="00B1476B">
      <w:pPr>
        <w:pStyle w:val="SingleTxtG"/>
        <w:spacing w:after="100" w:line="220" w:lineRule="atLeast"/>
        <w:rPr>
          <w:color w:val="000000" w:themeColor="text1"/>
        </w:rPr>
      </w:pPr>
      <w:r>
        <w:rPr>
          <w:color w:val="000000" w:themeColor="text1"/>
        </w:rPr>
        <w:t>10.</w:t>
      </w:r>
      <w:r>
        <w:rPr>
          <w:color w:val="000000" w:themeColor="text1"/>
        </w:rPr>
        <w:tab/>
      </w:r>
      <w:r w:rsidR="002B2583" w:rsidRPr="00437D10">
        <w:rPr>
          <w:color w:val="000000" w:themeColor="text1"/>
        </w:rPr>
        <w:t>Disaggregated statistical data and detailed information on the enjoyment of economic, social and cultur</w:t>
      </w:r>
      <w:r w:rsidR="00F54C11" w:rsidRPr="00437D10">
        <w:rPr>
          <w:color w:val="000000" w:themeColor="text1"/>
        </w:rPr>
        <w:t>al rights by various ethnic</w:t>
      </w:r>
      <w:r w:rsidR="002B2583" w:rsidRPr="00437D10">
        <w:rPr>
          <w:color w:val="000000" w:themeColor="text1"/>
        </w:rPr>
        <w:t xml:space="preserve"> groups, including numerically smaller groups such as</w:t>
      </w:r>
      <w:r w:rsidR="00255465" w:rsidRPr="00437D10">
        <w:rPr>
          <w:color w:val="000000" w:themeColor="text1"/>
        </w:rPr>
        <w:t xml:space="preserve"> </w:t>
      </w:r>
      <w:proofErr w:type="spellStart"/>
      <w:r w:rsidR="00255465" w:rsidRPr="00437D10">
        <w:rPr>
          <w:color w:val="000000" w:themeColor="text1"/>
        </w:rPr>
        <w:t>Ciganos</w:t>
      </w:r>
      <w:proofErr w:type="spellEnd"/>
      <w:r w:rsidR="00255465" w:rsidRPr="00437D10">
        <w:rPr>
          <w:color w:val="000000" w:themeColor="text1"/>
        </w:rPr>
        <w:t xml:space="preserve">, Roma and people of African </w:t>
      </w:r>
      <w:r w:rsidR="001871C6">
        <w:rPr>
          <w:color w:val="000000" w:themeColor="text1"/>
        </w:rPr>
        <w:t xml:space="preserve">descent </w:t>
      </w:r>
      <w:r w:rsidR="00F54C11" w:rsidRPr="00437D10">
        <w:rPr>
          <w:color w:val="000000" w:themeColor="text1"/>
        </w:rPr>
        <w:t>(CERD/C/PRT/12-14 para</w:t>
      </w:r>
      <w:r w:rsidR="00657A3D">
        <w:rPr>
          <w:color w:val="000000" w:themeColor="text1"/>
        </w:rPr>
        <w:t>.</w:t>
      </w:r>
      <w:r w:rsidR="00F54C11" w:rsidRPr="00437D10">
        <w:rPr>
          <w:color w:val="000000" w:themeColor="text1"/>
        </w:rPr>
        <w:t> 10, CERD/C/PRT/15-17, paras</w:t>
      </w:r>
      <w:r w:rsidR="00657A3D">
        <w:rPr>
          <w:color w:val="000000" w:themeColor="text1"/>
        </w:rPr>
        <w:t>.</w:t>
      </w:r>
      <w:r w:rsidR="00F54C11" w:rsidRPr="00437D10">
        <w:rPr>
          <w:color w:val="000000" w:themeColor="text1"/>
        </w:rPr>
        <w:t xml:space="preserve"> 57-59</w:t>
      </w:r>
      <w:r w:rsidR="002B2583" w:rsidRPr="00437D10">
        <w:rPr>
          <w:color w:val="000000" w:themeColor="text1"/>
        </w:rPr>
        <w:t>)</w:t>
      </w:r>
      <w:r w:rsidR="009136AA">
        <w:rPr>
          <w:color w:val="000000" w:themeColor="text1"/>
        </w:rPr>
        <w:t>.</w:t>
      </w:r>
    </w:p>
    <w:p w:rsidR="004C2C79" w:rsidRDefault="0016784A" w:rsidP="00B1476B">
      <w:pPr>
        <w:pStyle w:val="SingleTxtG"/>
        <w:spacing w:after="100" w:line="220" w:lineRule="atLeast"/>
        <w:rPr>
          <w:color w:val="000000" w:themeColor="text1"/>
        </w:rPr>
      </w:pPr>
      <w:r>
        <w:rPr>
          <w:color w:val="000000" w:themeColor="text1"/>
        </w:rPr>
        <w:t>11.</w:t>
      </w:r>
      <w:r>
        <w:rPr>
          <w:color w:val="000000" w:themeColor="text1"/>
        </w:rPr>
        <w:tab/>
      </w:r>
      <w:r w:rsidR="001D585A">
        <w:rPr>
          <w:color w:val="000000" w:themeColor="text1"/>
        </w:rPr>
        <w:t>Update on progress achieved in combating racial stereotypes and prejudices against immigrants</w:t>
      </w:r>
      <w:r w:rsidR="009136AA">
        <w:rPr>
          <w:color w:val="000000" w:themeColor="text1"/>
        </w:rPr>
        <w:t>,</w:t>
      </w:r>
      <w:r w:rsidR="001D585A">
        <w:rPr>
          <w:color w:val="000000" w:themeColor="text1"/>
        </w:rPr>
        <w:t xml:space="preserve"> foreigners and some citizens, including </w:t>
      </w:r>
      <w:r w:rsidR="001871C6">
        <w:rPr>
          <w:color w:val="000000" w:themeColor="text1"/>
        </w:rPr>
        <w:t xml:space="preserve">those of </w:t>
      </w:r>
      <w:r w:rsidR="001D585A">
        <w:rPr>
          <w:color w:val="000000" w:themeColor="text1"/>
        </w:rPr>
        <w:t xml:space="preserve">Brazilian, Chinese </w:t>
      </w:r>
      <w:r w:rsidR="001871C6">
        <w:rPr>
          <w:color w:val="000000" w:themeColor="text1"/>
        </w:rPr>
        <w:t>and s</w:t>
      </w:r>
      <w:r w:rsidR="001D585A">
        <w:rPr>
          <w:color w:val="000000" w:themeColor="text1"/>
        </w:rPr>
        <w:t>ub-Saharan African</w:t>
      </w:r>
      <w:r w:rsidR="001871C6">
        <w:rPr>
          <w:color w:val="000000" w:themeColor="text1"/>
        </w:rPr>
        <w:t xml:space="preserve"> descent</w:t>
      </w:r>
      <w:r w:rsidR="001D585A">
        <w:rPr>
          <w:color w:val="000000" w:themeColor="text1"/>
        </w:rPr>
        <w:t xml:space="preserve">, and in particular </w:t>
      </w:r>
      <w:proofErr w:type="spellStart"/>
      <w:r w:rsidR="001D585A">
        <w:rPr>
          <w:color w:val="000000" w:themeColor="text1"/>
        </w:rPr>
        <w:t>Ciganos</w:t>
      </w:r>
      <w:proofErr w:type="spellEnd"/>
      <w:r w:rsidR="001D585A">
        <w:rPr>
          <w:color w:val="000000" w:themeColor="text1"/>
        </w:rPr>
        <w:t xml:space="preserve"> and </w:t>
      </w:r>
      <w:r w:rsidR="00B875A3">
        <w:rPr>
          <w:color w:val="000000" w:themeColor="text1"/>
        </w:rPr>
        <w:t>Roma (CERD/C/PRT/CO/12-14, para</w:t>
      </w:r>
      <w:r w:rsidR="00657A3D">
        <w:rPr>
          <w:color w:val="000000" w:themeColor="text1"/>
        </w:rPr>
        <w:t>.</w:t>
      </w:r>
      <w:r w:rsidR="00B875A3">
        <w:rPr>
          <w:color w:val="000000" w:themeColor="text1"/>
        </w:rPr>
        <w:t> </w:t>
      </w:r>
      <w:r w:rsidR="001D585A">
        <w:rPr>
          <w:color w:val="000000" w:themeColor="text1"/>
        </w:rPr>
        <w:t>14, CERD/C/PRT/15-17, paras</w:t>
      </w:r>
      <w:r w:rsidR="00657A3D">
        <w:rPr>
          <w:color w:val="000000" w:themeColor="text1"/>
        </w:rPr>
        <w:t>.</w:t>
      </w:r>
      <w:r w:rsidR="001D585A">
        <w:rPr>
          <w:color w:val="000000" w:themeColor="text1"/>
        </w:rPr>
        <w:t xml:space="preserve"> 126-138).</w:t>
      </w:r>
    </w:p>
    <w:p w:rsidR="00255465" w:rsidRPr="00437D10" w:rsidRDefault="0016784A" w:rsidP="00B1476B">
      <w:pPr>
        <w:pStyle w:val="SingleTxtG"/>
        <w:spacing w:after="100" w:line="220" w:lineRule="atLeast"/>
        <w:rPr>
          <w:color w:val="000000" w:themeColor="text1"/>
        </w:rPr>
      </w:pPr>
      <w:r w:rsidRPr="00437D10">
        <w:rPr>
          <w:color w:val="000000" w:themeColor="text1"/>
        </w:rPr>
        <w:t>12.</w:t>
      </w:r>
      <w:r w:rsidRPr="00437D10">
        <w:rPr>
          <w:color w:val="000000" w:themeColor="text1"/>
        </w:rPr>
        <w:tab/>
      </w:r>
      <w:r w:rsidR="00255465" w:rsidRPr="00437D10">
        <w:rPr>
          <w:color w:val="000000" w:themeColor="text1"/>
        </w:rPr>
        <w:t xml:space="preserve">Update on the implementation of the National Roma Communities Integration </w:t>
      </w:r>
      <w:r w:rsidR="00EB1CBD" w:rsidRPr="00437D10">
        <w:rPr>
          <w:color w:val="000000" w:themeColor="text1"/>
        </w:rPr>
        <w:t>Strategy</w:t>
      </w:r>
      <w:r w:rsidR="00255465" w:rsidRPr="00437D10">
        <w:rPr>
          <w:color w:val="000000" w:themeColor="text1"/>
        </w:rPr>
        <w:t xml:space="preserve">, and its direct impact on improving </w:t>
      </w:r>
      <w:r w:rsidR="001871C6">
        <w:rPr>
          <w:color w:val="000000" w:themeColor="text1"/>
        </w:rPr>
        <w:t xml:space="preserve">the </w:t>
      </w:r>
      <w:r w:rsidR="00255465" w:rsidRPr="00437D10">
        <w:rPr>
          <w:color w:val="000000" w:themeColor="text1"/>
        </w:rPr>
        <w:t xml:space="preserve">access </w:t>
      </w:r>
      <w:r w:rsidR="001871C6">
        <w:rPr>
          <w:color w:val="000000" w:themeColor="text1"/>
        </w:rPr>
        <w:t xml:space="preserve">of </w:t>
      </w:r>
      <w:r w:rsidR="001871C6" w:rsidRPr="00437D10">
        <w:rPr>
          <w:color w:val="000000" w:themeColor="text1"/>
        </w:rPr>
        <w:t xml:space="preserve">Roma </w:t>
      </w:r>
      <w:r w:rsidR="00255465" w:rsidRPr="00437D10">
        <w:rPr>
          <w:color w:val="000000" w:themeColor="text1"/>
        </w:rPr>
        <w:t>to social services</w:t>
      </w:r>
      <w:r w:rsidR="001871C6">
        <w:rPr>
          <w:color w:val="000000" w:themeColor="text1"/>
        </w:rPr>
        <w:t>,</w:t>
      </w:r>
      <w:r w:rsidR="00255465" w:rsidRPr="00437D10">
        <w:rPr>
          <w:color w:val="000000" w:themeColor="text1"/>
        </w:rPr>
        <w:t xml:space="preserve"> such as housing, work, health care and education</w:t>
      </w:r>
      <w:r w:rsidR="00B22CD4" w:rsidRPr="00437D10">
        <w:rPr>
          <w:color w:val="000000" w:themeColor="text1"/>
        </w:rPr>
        <w:t xml:space="preserve">. Update on the role and activities, including monitoring and assessment, </w:t>
      </w:r>
      <w:r w:rsidR="009136AA">
        <w:rPr>
          <w:color w:val="000000" w:themeColor="text1"/>
        </w:rPr>
        <w:t>undertaken</w:t>
      </w:r>
      <w:r w:rsidR="00B22CD4" w:rsidRPr="00437D10">
        <w:rPr>
          <w:color w:val="000000" w:themeColor="text1"/>
        </w:rPr>
        <w:t xml:space="preserve"> by the Consultative Group for the Integration of Roma Communities</w:t>
      </w:r>
      <w:r w:rsidR="00255465" w:rsidRPr="00437D10">
        <w:rPr>
          <w:color w:val="000000" w:themeColor="text1"/>
        </w:rPr>
        <w:t xml:space="preserve"> (</w:t>
      </w:r>
      <w:r w:rsidR="00EB1CBD" w:rsidRPr="0016784A">
        <w:rPr>
          <w:color w:val="000000" w:themeColor="text1"/>
          <w:spacing w:val="-4"/>
        </w:rPr>
        <w:t>CERD/C/PRT/CO/12-14, p</w:t>
      </w:r>
      <w:r w:rsidR="00B875A3" w:rsidRPr="0016784A">
        <w:rPr>
          <w:color w:val="000000" w:themeColor="text1"/>
          <w:spacing w:val="-4"/>
        </w:rPr>
        <w:t>ara</w:t>
      </w:r>
      <w:r w:rsidR="00657A3D" w:rsidRPr="0016784A">
        <w:rPr>
          <w:color w:val="000000" w:themeColor="text1"/>
          <w:spacing w:val="-4"/>
        </w:rPr>
        <w:t>.</w:t>
      </w:r>
      <w:r w:rsidR="00B875A3" w:rsidRPr="0016784A">
        <w:rPr>
          <w:color w:val="000000" w:themeColor="text1"/>
          <w:spacing w:val="-4"/>
        </w:rPr>
        <w:t xml:space="preserve"> 19, CERD/C/PRT/15-17, paras</w:t>
      </w:r>
      <w:r w:rsidR="00657A3D" w:rsidRPr="0016784A">
        <w:rPr>
          <w:color w:val="000000" w:themeColor="text1"/>
          <w:spacing w:val="-4"/>
        </w:rPr>
        <w:t>.</w:t>
      </w:r>
      <w:r w:rsidR="00B875A3" w:rsidRPr="0016784A">
        <w:rPr>
          <w:color w:val="000000" w:themeColor="text1"/>
          <w:spacing w:val="-4"/>
        </w:rPr>
        <w:t> 80-</w:t>
      </w:r>
      <w:r w:rsidR="00042DB2" w:rsidRPr="0016784A">
        <w:rPr>
          <w:color w:val="000000" w:themeColor="text1"/>
          <w:spacing w:val="-4"/>
        </w:rPr>
        <w:t>121</w:t>
      </w:r>
      <w:r w:rsidR="00EB1CBD" w:rsidRPr="0016784A">
        <w:rPr>
          <w:color w:val="000000" w:themeColor="text1"/>
          <w:spacing w:val="-4"/>
        </w:rPr>
        <w:t>)</w:t>
      </w:r>
      <w:r w:rsidR="009136AA">
        <w:rPr>
          <w:color w:val="000000" w:themeColor="text1"/>
        </w:rPr>
        <w:t>.</w:t>
      </w:r>
    </w:p>
    <w:p w:rsidR="009A34EF" w:rsidRPr="00437D10" w:rsidRDefault="0016784A" w:rsidP="00B1476B">
      <w:pPr>
        <w:pStyle w:val="SingleTxtG"/>
        <w:spacing w:after="100" w:line="220" w:lineRule="atLeast"/>
        <w:rPr>
          <w:color w:val="000000" w:themeColor="text1"/>
        </w:rPr>
      </w:pPr>
      <w:r w:rsidRPr="00437D10">
        <w:rPr>
          <w:color w:val="000000" w:themeColor="text1"/>
        </w:rPr>
        <w:t>13.</w:t>
      </w:r>
      <w:r w:rsidRPr="00437D10">
        <w:rPr>
          <w:color w:val="000000" w:themeColor="text1"/>
        </w:rPr>
        <w:tab/>
      </w:r>
      <w:r w:rsidR="00445F2C" w:rsidRPr="00437D10">
        <w:rPr>
          <w:color w:val="000000" w:themeColor="text1"/>
        </w:rPr>
        <w:t xml:space="preserve">Update on the State party’s position regarding the use of special measures to overcome discrimination faced by </w:t>
      </w:r>
      <w:r w:rsidR="00D646E3">
        <w:rPr>
          <w:color w:val="000000" w:themeColor="text1"/>
        </w:rPr>
        <w:t>vulnerable</w:t>
      </w:r>
      <w:r w:rsidR="00445F2C" w:rsidRPr="00437D10">
        <w:rPr>
          <w:color w:val="000000" w:themeColor="text1"/>
        </w:rPr>
        <w:t xml:space="preserve"> groups, </w:t>
      </w:r>
      <w:r w:rsidR="009A34EF">
        <w:rPr>
          <w:color w:val="000000" w:themeColor="text1"/>
        </w:rPr>
        <w:t>including women belonging to such groups</w:t>
      </w:r>
      <w:r w:rsidR="00D646E3">
        <w:rPr>
          <w:color w:val="000000" w:themeColor="text1"/>
        </w:rPr>
        <w:t>,</w:t>
      </w:r>
      <w:r w:rsidR="009A34EF">
        <w:rPr>
          <w:color w:val="000000" w:themeColor="text1"/>
        </w:rPr>
        <w:t xml:space="preserve"> in particular in the field</w:t>
      </w:r>
      <w:r w:rsidR="00445F2C" w:rsidRPr="00437D10">
        <w:rPr>
          <w:color w:val="000000" w:themeColor="text1"/>
        </w:rPr>
        <w:t xml:space="preserve"> of </w:t>
      </w:r>
      <w:r w:rsidR="00A23510">
        <w:rPr>
          <w:color w:val="000000" w:themeColor="text1"/>
        </w:rPr>
        <w:t xml:space="preserve">housing, </w:t>
      </w:r>
      <w:r w:rsidR="00445F2C" w:rsidRPr="00D646E3">
        <w:rPr>
          <w:color w:val="000000" w:themeColor="text1"/>
        </w:rPr>
        <w:t>employment</w:t>
      </w:r>
      <w:r w:rsidR="00A23510">
        <w:rPr>
          <w:color w:val="000000" w:themeColor="text1"/>
        </w:rPr>
        <w:t xml:space="preserve"> and health care</w:t>
      </w:r>
      <w:r w:rsidR="00445F2C" w:rsidRPr="00437D10">
        <w:rPr>
          <w:color w:val="000000" w:themeColor="text1"/>
        </w:rPr>
        <w:t xml:space="preserve"> (CERD/C/PRT/CO/12-14, para</w:t>
      </w:r>
      <w:r w:rsidR="00657A3D">
        <w:rPr>
          <w:color w:val="000000" w:themeColor="text1"/>
        </w:rPr>
        <w:t>.</w:t>
      </w:r>
      <w:r w:rsidR="00445F2C" w:rsidRPr="00437D10">
        <w:rPr>
          <w:color w:val="000000" w:themeColor="text1"/>
        </w:rPr>
        <w:t xml:space="preserve"> 13, CERD/C/PRT/15-17, paras</w:t>
      </w:r>
      <w:r w:rsidR="00657A3D">
        <w:rPr>
          <w:color w:val="000000" w:themeColor="text1"/>
        </w:rPr>
        <w:t>.</w:t>
      </w:r>
      <w:r w:rsidR="00445F2C" w:rsidRPr="00437D10">
        <w:rPr>
          <w:color w:val="000000" w:themeColor="text1"/>
        </w:rPr>
        <w:t xml:space="preserve"> 80 and 122-124).</w:t>
      </w:r>
    </w:p>
    <w:p w:rsidR="00172B6E" w:rsidRPr="00437D10" w:rsidRDefault="000C4E80" w:rsidP="00B1476B">
      <w:pPr>
        <w:pStyle w:val="H23G"/>
        <w:spacing w:after="100"/>
        <w:rPr>
          <w:color w:val="000000" w:themeColor="text1"/>
        </w:rPr>
      </w:pPr>
      <w:r w:rsidRPr="00437D10">
        <w:rPr>
          <w:color w:val="000000" w:themeColor="text1"/>
        </w:rPr>
        <w:tab/>
      </w:r>
      <w:r w:rsidRPr="00437D10">
        <w:rPr>
          <w:color w:val="000000" w:themeColor="text1"/>
        </w:rPr>
        <w:tab/>
      </w:r>
      <w:r w:rsidR="006B39F6">
        <w:rPr>
          <w:color w:val="000000" w:themeColor="text1"/>
        </w:rPr>
        <w:t>Situation of</w:t>
      </w:r>
      <w:r w:rsidRPr="00437D10">
        <w:rPr>
          <w:color w:val="000000" w:themeColor="text1"/>
        </w:rPr>
        <w:t xml:space="preserve"> non-citizens, including immigrants, asylum seekers and </w:t>
      </w:r>
      <w:proofErr w:type="gramStart"/>
      <w:r w:rsidRPr="00437D10">
        <w:rPr>
          <w:color w:val="000000" w:themeColor="text1"/>
        </w:rPr>
        <w:t>refugees</w:t>
      </w:r>
      <w:proofErr w:type="gramEnd"/>
      <w:r w:rsidR="00B875A3">
        <w:rPr>
          <w:color w:val="000000" w:themeColor="text1"/>
        </w:rPr>
        <w:br/>
      </w:r>
      <w:r w:rsidR="00133E13">
        <w:rPr>
          <w:color w:val="000000" w:themeColor="text1"/>
        </w:rPr>
        <w:t>(arts. </w:t>
      </w:r>
      <w:r w:rsidR="00B2044C">
        <w:rPr>
          <w:color w:val="000000" w:themeColor="text1"/>
        </w:rPr>
        <w:t>5</w:t>
      </w:r>
      <w:r w:rsidR="00B875A3">
        <w:rPr>
          <w:color w:val="000000" w:themeColor="text1"/>
        </w:rPr>
        <w:t xml:space="preserve"> </w:t>
      </w:r>
      <w:r w:rsidR="001871C6">
        <w:rPr>
          <w:color w:val="000000" w:themeColor="text1"/>
        </w:rPr>
        <w:t xml:space="preserve">and </w:t>
      </w:r>
      <w:r w:rsidR="00133E13">
        <w:rPr>
          <w:color w:val="000000" w:themeColor="text1"/>
        </w:rPr>
        <w:t>7)</w:t>
      </w:r>
    </w:p>
    <w:p w:rsidR="00172B6E" w:rsidRDefault="0016784A" w:rsidP="00B1476B">
      <w:pPr>
        <w:pStyle w:val="SingleTxtG"/>
        <w:spacing w:after="100" w:line="220" w:lineRule="atLeast"/>
        <w:rPr>
          <w:color w:val="000000" w:themeColor="text1"/>
        </w:rPr>
      </w:pPr>
      <w:r>
        <w:rPr>
          <w:color w:val="000000" w:themeColor="text1"/>
        </w:rPr>
        <w:t>14.</w:t>
      </w:r>
      <w:r>
        <w:rPr>
          <w:color w:val="000000" w:themeColor="text1"/>
        </w:rPr>
        <w:tab/>
      </w:r>
      <w:r w:rsidR="00C75557" w:rsidRPr="00437D10">
        <w:rPr>
          <w:color w:val="000000" w:themeColor="text1"/>
        </w:rPr>
        <w:t>Impact of the paradigm shift in addressing migration issues in the State party. Update on the implementation of the Migration Strategic Plan (2015-2020)</w:t>
      </w:r>
      <w:r w:rsidR="002433B6" w:rsidRPr="00437D10">
        <w:rPr>
          <w:color w:val="000000" w:themeColor="text1"/>
        </w:rPr>
        <w:t xml:space="preserve"> (CERD/C/PRT/15-17, paras. 16-21</w:t>
      </w:r>
      <w:r w:rsidR="00796562" w:rsidRPr="00437D10">
        <w:rPr>
          <w:color w:val="000000" w:themeColor="text1"/>
        </w:rPr>
        <w:t>)</w:t>
      </w:r>
      <w:r w:rsidR="009136AA">
        <w:rPr>
          <w:color w:val="000000" w:themeColor="text1"/>
        </w:rPr>
        <w:t>.</w:t>
      </w:r>
    </w:p>
    <w:p w:rsidR="00B338F2" w:rsidRPr="00437D10" w:rsidRDefault="0016784A" w:rsidP="00B1476B">
      <w:pPr>
        <w:pStyle w:val="SingleTxtG"/>
        <w:spacing w:after="100" w:line="220" w:lineRule="atLeast"/>
        <w:rPr>
          <w:color w:val="000000" w:themeColor="text1"/>
        </w:rPr>
      </w:pPr>
      <w:r w:rsidRPr="00437D10">
        <w:rPr>
          <w:color w:val="000000" w:themeColor="text1"/>
        </w:rPr>
        <w:t>15.</w:t>
      </w:r>
      <w:r w:rsidRPr="00437D10">
        <w:rPr>
          <w:color w:val="000000" w:themeColor="text1"/>
        </w:rPr>
        <w:tab/>
      </w:r>
      <w:r w:rsidR="00B338F2">
        <w:rPr>
          <w:color w:val="000000" w:themeColor="text1"/>
        </w:rPr>
        <w:t xml:space="preserve">Update on the implementation and the resources of the new decentralization policy for the integration of asylum seekers and refugees. Measures </w:t>
      </w:r>
      <w:r w:rsidR="000C5308">
        <w:rPr>
          <w:color w:val="000000" w:themeColor="text1"/>
        </w:rPr>
        <w:t xml:space="preserve">to improve asylum procedures and </w:t>
      </w:r>
      <w:r w:rsidR="00467797">
        <w:rPr>
          <w:color w:val="000000" w:themeColor="text1"/>
        </w:rPr>
        <w:t xml:space="preserve">reinforce </w:t>
      </w:r>
      <w:r w:rsidR="000C5308">
        <w:rPr>
          <w:color w:val="000000" w:themeColor="text1"/>
        </w:rPr>
        <w:t>the capacity of the reception system.</w:t>
      </w:r>
    </w:p>
    <w:p w:rsidR="00172B6E" w:rsidRDefault="0016784A" w:rsidP="00B1476B">
      <w:pPr>
        <w:pStyle w:val="SingleTxtG"/>
        <w:spacing w:after="100" w:line="220" w:lineRule="atLeast"/>
        <w:rPr>
          <w:color w:val="000000" w:themeColor="text1"/>
        </w:rPr>
      </w:pPr>
      <w:r>
        <w:rPr>
          <w:color w:val="000000" w:themeColor="text1"/>
        </w:rPr>
        <w:t>16.</w:t>
      </w:r>
      <w:r>
        <w:rPr>
          <w:color w:val="000000" w:themeColor="text1"/>
        </w:rPr>
        <w:tab/>
      </w:r>
      <w:r w:rsidR="003E1B58">
        <w:rPr>
          <w:color w:val="000000" w:themeColor="text1"/>
        </w:rPr>
        <w:t xml:space="preserve">Measures to reform </w:t>
      </w:r>
      <w:r w:rsidR="0043661C" w:rsidRPr="0043661C">
        <w:rPr>
          <w:color w:val="000000" w:themeColor="text1"/>
        </w:rPr>
        <w:t>the crim</w:t>
      </w:r>
      <w:r w:rsidR="0043661C">
        <w:rPr>
          <w:color w:val="000000" w:themeColor="text1"/>
        </w:rPr>
        <w:t xml:space="preserve">inal justice system aimed at </w:t>
      </w:r>
      <w:r w:rsidR="003E1B58">
        <w:rPr>
          <w:color w:val="000000" w:themeColor="text1"/>
        </w:rPr>
        <w:t>combating</w:t>
      </w:r>
      <w:r w:rsidR="0043661C">
        <w:rPr>
          <w:color w:val="000000" w:themeColor="text1"/>
        </w:rPr>
        <w:t xml:space="preserve"> racial discrimination</w:t>
      </w:r>
      <w:r w:rsidR="00AD42B4">
        <w:rPr>
          <w:color w:val="000000" w:themeColor="text1"/>
        </w:rPr>
        <w:t xml:space="preserve"> against foreign population</w:t>
      </w:r>
      <w:r w:rsidR="003E1B58">
        <w:rPr>
          <w:color w:val="000000" w:themeColor="text1"/>
        </w:rPr>
        <w:t>.</w:t>
      </w:r>
      <w:r w:rsidR="0058131F">
        <w:rPr>
          <w:color w:val="000000" w:themeColor="text1"/>
        </w:rPr>
        <w:t xml:space="preserve"> </w:t>
      </w:r>
      <w:r w:rsidR="00E57397">
        <w:rPr>
          <w:color w:val="000000" w:themeColor="text1"/>
        </w:rPr>
        <w:t>Measures to facilitate access to justice, including by improving legal aid system, and s</w:t>
      </w:r>
      <w:r w:rsidR="0058131F">
        <w:rPr>
          <w:color w:val="000000" w:themeColor="text1"/>
        </w:rPr>
        <w:t xml:space="preserve">tatistical data </w:t>
      </w:r>
      <w:r w:rsidR="004E37A2">
        <w:rPr>
          <w:color w:val="000000" w:themeColor="text1"/>
        </w:rPr>
        <w:t>on remedies provided to victims of racial discrimination</w:t>
      </w:r>
      <w:r w:rsidR="003E055E" w:rsidRPr="0043661C">
        <w:rPr>
          <w:color w:val="000000" w:themeColor="text1"/>
        </w:rPr>
        <w:t xml:space="preserve"> </w:t>
      </w:r>
      <w:r w:rsidR="00172B6E" w:rsidRPr="003E1B58">
        <w:rPr>
          <w:color w:val="000000" w:themeColor="text1"/>
        </w:rPr>
        <w:t>(</w:t>
      </w:r>
      <w:r w:rsidR="003E055E" w:rsidRPr="003E1B58">
        <w:rPr>
          <w:color w:val="000000" w:themeColor="text1"/>
        </w:rPr>
        <w:t>CERD/C/</w:t>
      </w:r>
      <w:r w:rsidR="0058131F">
        <w:rPr>
          <w:color w:val="000000" w:themeColor="text1"/>
        </w:rPr>
        <w:t>PRT</w:t>
      </w:r>
      <w:r w:rsidR="003E055E" w:rsidRPr="003E1B58">
        <w:rPr>
          <w:color w:val="000000" w:themeColor="text1"/>
        </w:rPr>
        <w:t>/CO/</w:t>
      </w:r>
      <w:r w:rsidR="0058131F">
        <w:rPr>
          <w:color w:val="000000" w:themeColor="text1"/>
        </w:rPr>
        <w:t>12-14, para</w:t>
      </w:r>
      <w:r w:rsidR="00172B6E" w:rsidRPr="003E1B58">
        <w:rPr>
          <w:color w:val="000000" w:themeColor="text1"/>
        </w:rPr>
        <w:t xml:space="preserve">. </w:t>
      </w:r>
      <w:r w:rsidR="0058131F">
        <w:rPr>
          <w:color w:val="000000" w:themeColor="text1"/>
        </w:rPr>
        <w:t>16</w:t>
      </w:r>
      <w:r w:rsidR="00172B6E" w:rsidRPr="003E1B58">
        <w:rPr>
          <w:color w:val="000000" w:themeColor="text1"/>
        </w:rPr>
        <w:t>)</w:t>
      </w:r>
      <w:r w:rsidR="003E055E" w:rsidRPr="003E1B58">
        <w:rPr>
          <w:color w:val="000000" w:themeColor="text1"/>
        </w:rPr>
        <w:t>.</w:t>
      </w:r>
      <w:r w:rsidR="00F6352B">
        <w:rPr>
          <w:color w:val="000000" w:themeColor="text1"/>
        </w:rPr>
        <w:t xml:space="preserve"> </w:t>
      </w:r>
    </w:p>
    <w:p w:rsidR="00100D64" w:rsidRPr="003E1B58" w:rsidRDefault="0016784A" w:rsidP="00B1476B">
      <w:pPr>
        <w:pStyle w:val="SingleTxtG"/>
        <w:spacing w:after="100" w:line="220" w:lineRule="atLeast"/>
        <w:rPr>
          <w:color w:val="000000" w:themeColor="text1"/>
        </w:rPr>
      </w:pPr>
      <w:r w:rsidRPr="003E1B58">
        <w:rPr>
          <w:color w:val="000000" w:themeColor="text1"/>
        </w:rPr>
        <w:t>17.</w:t>
      </w:r>
      <w:r w:rsidRPr="003E1B58">
        <w:rPr>
          <w:color w:val="000000" w:themeColor="text1"/>
        </w:rPr>
        <w:tab/>
      </w:r>
      <w:r w:rsidR="00100D64">
        <w:rPr>
          <w:color w:val="000000" w:themeColor="text1"/>
        </w:rPr>
        <w:t xml:space="preserve">Update on the implementation and impact of the </w:t>
      </w:r>
      <w:r w:rsidR="00100D64" w:rsidRPr="008F02C4">
        <w:rPr>
          <w:color w:val="000000" w:themeColor="text1"/>
        </w:rPr>
        <w:t xml:space="preserve">Action Plan on the Prevention and Elimination of Female Genital Mutilation (2014-2017) (CERD/C/PRT/15-17, </w:t>
      </w:r>
      <w:r w:rsidR="00CE496F">
        <w:rPr>
          <w:color w:val="000000" w:themeColor="text1"/>
        </w:rPr>
        <w:t>sect</w:t>
      </w:r>
      <w:r w:rsidR="00657A3D">
        <w:rPr>
          <w:color w:val="000000" w:themeColor="text1"/>
        </w:rPr>
        <w:t>.</w:t>
      </w:r>
      <w:r w:rsidR="00100D64" w:rsidRPr="008F02C4">
        <w:rPr>
          <w:color w:val="000000" w:themeColor="text1"/>
        </w:rPr>
        <w:t xml:space="preserve"> 1.10)</w:t>
      </w:r>
      <w:r w:rsidR="00B875A3">
        <w:rPr>
          <w:color w:val="000000" w:themeColor="text1"/>
        </w:rPr>
        <w:t>.</w:t>
      </w:r>
    </w:p>
    <w:p w:rsidR="00172B6E" w:rsidRPr="003E1B58" w:rsidRDefault="00172B6E" w:rsidP="00B1476B">
      <w:pPr>
        <w:pStyle w:val="SingleTxtG"/>
        <w:spacing w:before="240" w:after="100"/>
        <w:jc w:val="center"/>
        <w:rPr>
          <w:color w:val="000000" w:themeColor="text1"/>
        </w:rPr>
      </w:pPr>
      <w:r w:rsidRPr="003E1B58">
        <w:rPr>
          <w:color w:val="000000" w:themeColor="text1"/>
          <w:u w:val="single"/>
        </w:rPr>
        <w:tab/>
      </w:r>
      <w:r w:rsidRPr="003E1B58">
        <w:rPr>
          <w:color w:val="000000" w:themeColor="text1"/>
          <w:u w:val="single"/>
        </w:rPr>
        <w:tab/>
      </w:r>
      <w:r w:rsidRPr="003E1B58">
        <w:rPr>
          <w:color w:val="000000" w:themeColor="text1"/>
          <w:u w:val="single"/>
        </w:rPr>
        <w:tab/>
      </w:r>
    </w:p>
    <w:sectPr w:rsidR="00172B6E" w:rsidRPr="003E1B58" w:rsidSect="00254AD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FA" w:rsidRDefault="009154FA"/>
  </w:endnote>
  <w:endnote w:type="continuationSeparator" w:id="0">
    <w:p w:rsidR="009154FA" w:rsidRDefault="009154FA"/>
  </w:endnote>
  <w:endnote w:type="continuationNotice" w:id="1">
    <w:p w:rsidR="009154FA" w:rsidRDefault="00915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FA" w:rsidRPr="00317454" w:rsidRDefault="009154FA" w:rsidP="00317454">
    <w:pPr>
      <w:pStyle w:val="Footer"/>
      <w:tabs>
        <w:tab w:val="right" w:pos="9598"/>
      </w:tabs>
    </w:pPr>
    <w:r w:rsidRPr="00317454">
      <w:rPr>
        <w:b/>
        <w:sz w:val="18"/>
      </w:rPr>
      <w:fldChar w:fldCharType="begin"/>
    </w:r>
    <w:r w:rsidRPr="00317454">
      <w:rPr>
        <w:b/>
        <w:sz w:val="18"/>
      </w:rPr>
      <w:instrText xml:space="preserve"> PAGE  \* MERGEFORMAT </w:instrText>
    </w:r>
    <w:r w:rsidRPr="00317454">
      <w:rPr>
        <w:b/>
        <w:sz w:val="18"/>
      </w:rPr>
      <w:fldChar w:fldCharType="separate"/>
    </w:r>
    <w:r w:rsidR="00B1476B">
      <w:rPr>
        <w:b/>
        <w:noProof/>
        <w:sz w:val="18"/>
      </w:rPr>
      <w:t>2</w:t>
    </w:r>
    <w:r w:rsidRPr="003174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FA" w:rsidRPr="00317454" w:rsidRDefault="009154FA" w:rsidP="00317454">
    <w:pPr>
      <w:pStyle w:val="Footer"/>
      <w:tabs>
        <w:tab w:val="right" w:pos="9598"/>
      </w:tabs>
      <w:rPr>
        <w:b/>
        <w:sz w:val="18"/>
      </w:rPr>
    </w:pPr>
    <w:r>
      <w:t>GE.13-63907</w:t>
    </w:r>
    <w:r>
      <w:tab/>
    </w:r>
    <w:r w:rsidRPr="00317454">
      <w:rPr>
        <w:b/>
        <w:sz w:val="18"/>
      </w:rPr>
      <w:fldChar w:fldCharType="begin"/>
    </w:r>
    <w:r w:rsidRPr="00317454">
      <w:rPr>
        <w:b/>
        <w:sz w:val="18"/>
      </w:rPr>
      <w:instrText xml:space="preserve"> PAGE  \* MERGEFORMAT </w:instrText>
    </w:r>
    <w:r w:rsidRPr="00317454">
      <w:rPr>
        <w:b/>
        <w:sz w:val="18"/>
      </w:rPr>
      <w:fldChar w:fldCharType="separate"/>
    </w:r>
    <w:r w:rsidR="00B1476B">
      <w:rPr>
        <w:b/>
        <w:noProof/>
        <w:sz w:val="18"/>
      </w:rPr>
      <w:t>3</w:t>
    </w:r>
    <w:r w:rsidRPr="003174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92" w:rsidRDefault="00223692" w:rsidP="00223692">
    <w:pPr>
      <w:pStyle w:val="Footer"/>
    </w:pPr>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223692" w:rsidRDefault="00223692" w:rsidP="00223692">
    <w:pPr>
      <w:pStyle w:val="Footer"/>
      <w:ind w:right="1134"/>
      <w:rPr>
        <w:sz w:val="20"/>
      </w:rPr>
    </w:pPr>
    <w:r>
      <w:rPr>
        <w:sz w:val="20"/>
      </w:rPr>
      <w:t>GE.16-16468(E)</w:t>
    </w:r>
  </w:p>
  <w:p w:rsidR="00223692" w:rsidRPr="00223692" w:rsidRDefault="00223692" w:rsidP="002236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ERD/C/PRT/Q/15-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PRT/Q/15-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FA" w:rsidRPr="000B175B" w:rsidRDefault="009154FA" w:rsidP="000B175B">
      <w:pPr>
        <w:tabs>
          <w:tab w:val="right" w:pos="2155"/>
        </w:tabs>
        <w:spacing w:after="80"/>
        <w:ind w:left="680"/>
        <w:rPr>
          <w:u w:val="single"/>
        </w:rPr>
      </w:pPr>
      <w:r>
        <w:rPr>
          <w:u w:val="single"/>
        </w:rPr>
        <w:tab/>
      </w:r>
    </w:p>
  </w:footnote>
  <w:footnote w:type="continuationSeparator" w:id="0">
    <w:p w:rsidR="009154FA" w:rsidRPr="00FC68B7" w:rsidRDefault="009154FA" w:rsidP="00FC68B7">
      <w:pPr>
        <w:tabs>
          <w:tab w:val="left" w:pos="2155"/>
        </w:tabs>
        <w:spacing w:after="80"/>
        <w:ind w:left="680"/>
        <w:rPr>
          <w:u w:val="single"/>
        </w:rPr>
      </w:pPr>
      <w:r>
        <w:rPr>
          <w:u w:val="single"/>
        </w:rPr>
        <w:tab/>
      </w:r>
    </w:p>
  </w:footnote>
  <w:footnote w:type="continuationNotice" w:id="1">
    <w:p w:rsidR="009154FA" w:rsidRDefault="009154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FA" w:rsidRPr="00317454" w:rsidRDefault="009154FA" w:rsidP="00317454">
    <w:pPr>
      <w:pStyle w:val="Header"/>
    </w:pPr>
    <w:r w:rsidRPr="00317454">
      <w:t>CERD/C/</w:t>
    </w:r>
    <w:r>
      <w:t>PRT</w:t>
    </w:r>
    <w:r w:rsidRPr="00317454">
      <w:t>/Q/</w:t>
    </w:r>
    <w:r>
      <w:t>15-17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FA" w:rsidRPr="00317454" w:rsidRDefault="009154FA" w:rsidP="00317454">
    <w:pPr>
      <w:pStyle w:val="Header"/>
      <w:jc w:val="right"/>
    </w:pPr>
    <w:r w:rsidRPr="00317454">
      <w:t>CERD/C/</w:t>
    </w:r>
    <w:r>
      <w:t>PRT</w:t>
    </w:r>
    <w:r w:rsidRPr="00317454">
      <w:t>/Q/</w:t>
    </w:r>
    <w:r>
      <w:t>15-17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A71D8"/>
    <w:multiLevelType w:val="hybridMultilevel"/>
    <w:tmpl w:val="DEC6F144"/>
    <w:lvl w:ilvl="0" w:tplc="205CC6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DEB1FDD"/>
    <w:multiLevelType w:val="hybridMultilevel"/>
    <w:tmpl w:val="29D4FCC4"/>
    <w:lvl w:ilvl="0" w:tplc="97F29854">
      <w:start w:val="1"/>
      <w:numFmt w:val="lowerLetter"/>
      <w:lvlText w:val="(%1)"/>
      <w:lvlJc w:val="left"/>
      <w:pPr>
        <w:ind w:left="1854" w:hanging="360"/>
      </w:pPr>
      <w:rPr>
        <w:rFonts w:eastAsia="Times New Roman"/>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nsid w:val="12D10C67"/>
    <w:multiLevelType w:val="hybridMultilevel"/>
    <w:tmpl w:val="047C7AE8"/>
    <w:lvl w:ilvl="0" w:tplc="97F29854">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1F54E9"/>
    <w:multiLevelType w:val="hybridMultilevel"/>
    <w:tmpl w:val="44A6065A"/>
    <w:lvl w:ilvl="0" w:tplc="0642580A">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894F14"/>
    <w:multiLevelType w:val="hybridMultilevel"/>
    <w:tmpl w:val="BA78114E"/>
    <w:lvl w:ilvl="0" w:tplc="5E08B712">
      <w:start w:val="1"/>
      <w:numFmt w:val="lowerLetter"/>
      <w:lvlText w:val="(%1)"/>
      <w:lvlJc w:val="left"/>
      <w:pPr>
        <w:ind w:left="1854" w:hanging="360"/>
      </w:pPr>
      <w:rPr>
        <w:rFonts w:eastAsia="Times New Roman"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9390D8D"/>
    <w:multiLevelType w:val="hybridMultilevel"/>
    <w:tmpl w:val="3B4E85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A0463BE"/>
    <w:multiLevelType w:val="hybridMultilevel"/>
    <w:tmpl w:val="A89CD6BA"/>
    <w:lvl w:ilvl="0" w:tplc="7466F760">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0"/>
  </w:num>
  <w:num w:numId="15">
    <w:abstractNumId w:val="15"/>
  </w:num>
  <w:num w:numId="16">
    <w:abstractNumId w:val="11"/>
  </w:num>
  <w:num w:numId="17">
    <w:abstractNumId w:val="16"/>
  </w:num>
  <w:num w:numId="18">
    <w:abstractNumId w:val="18"/>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1"/>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A"/>
    <w:rsid w:val="0001250C"/>
    <w:rsid w:val="000309A7"/>
    <w:rsid w:val="00032FF2"/>
    <w:rsid w:val="00042DB2"/>
    <w:rsid w:val="00050F6B"/>
    <w:rsid w:val="000551DC"/>
    <w:rsid w:val="00072C8C"/>
    <w:rsid w:val="000733B5"/>
    <w:rsid w:val="00077485"/>
    <w:rsid w:val="000814F4"/>
    <w:rsid w:val="00082065"/>
    <w:rsid w:val="000931C0"/>
    <w:rsid w:val="000951C3"/>
    <w:rsid w:val="000A55AF"/>
    <w:rsid w:val="000A5D3B"/>
    <w:rsid w:val="000B175B"/>
    <w:rsid w:val="000B3A0F"/>
    <w:rsid w:val="000B4EF7"/>
    <w:rsid w:val="000C1462"/>
    <w:rsid w:val="000C2D2E"/>
    <w:rsid w:val="000C4E80"/>
    <w:rsid w:val="000C5308"/>
    <w:rsid w:val="000E0415"/>
    <w:rsid w:val="00100D64"/>
    <w:rsid w:val="001103AA"/>
    <w:rsid w:val="00122701"/>
    <w:rsid w:val="00124799"/>
    <w:rsid w:val="00130208"/>
    <w:rsid w:val="00130A61"/>
    <w:rsid w:val="00133E13"/>
    <w:rsid w:val="0014249A"/>
    <w:rsid w:val="00155467"/>
    <w:rsid w:val="0016784A"/>
    <w:rsid w:val="00172B6E"/>
    <w:rsid w:val="00180D95"/>
    <w:rsid w:val="001866BB"/>
    <w:rsid w:val="0018711F"/>
    <w:rsid w:val="001871C6"/>
    <w:rsid w:val="001B4B04"/>
    <w:rsid w:val="001C1A04"/>
    <w:rsid w:val="001C6663"/>
    <w:rsid w:val="001C7895"/>
    <w:rsid w:val="001D26DF"/>
    <w:rsid w:val="001D585A"/>
    <w:rsid w:val="001E05F2"/>
    <w:rsid w:val="001E5A23"/>
    <w:rsid w:val="001E5AA0"/>
    <w:rsid w:val="001F52F5"/>
    <w:rsid w:val="00202DA8"/>
    <w:rsid w:val="00206627"/>
    <w:rsid w:val="00211E0B"/>
    <w:rsid w:val="0021613A"/>
    <w:rsid w:val="00223692"/>
    <w:rsid w:val="00224887"/>
    <w:rsid w:val="002268DF"/>
    <w:rsid w:val="00243180"/>
    <w:rsid w:val="002433B6"/>
    <w:rsid w:val="0024532E"/>
    <w:rsid w:val="00245FC2"/>
    <w:rsid w:val="00254AD3"/>
    <w:rsid w:val="00254F8E"/>
    <w:rsid w:val="00255465"/>
    <w:rsid w:val="0026187A"/>
    <w:rsid w:val="002723A6"/>
    <w:rsid w:val="00280B28"/>
    <w:rsid w:val="002868B6"/>
    <w:rsid w:val="002A4E0C"/>
    <w:rsid w:val="002B0464"/>
    <w:rsid w:val="002B2583"/>
    <w:rsid w:val="002B4712"/>
    <w:rsid w:val="002B63EC"/>
    <w:rsid w:val="002B7EFC"/>
    <w:rsid w:val="002C1F21"/>
    <w:rsid w:val="002E4A8B"/>
    <w:rsid w:val="002F175C"/>
    <w:rsid w:val="00307CF4"/>
    <w:rsid w:val="00317454"/>
    <w:rsid w:val="003229D8"/>
    <w:rsid w:val="00323BE9"/>
    <w:rsid w:val="003305AB"/>
    <w:rsid w:val="003405E5"/>
    <w:rsid w:val="00351921"/>
    <w:rsid w:val="00352709"/>
    <w:rsid w:val="00371178"/>
    <w:rsid w:val="00372E8A"/>
    <w:rsid w:val="003A2C1A"/>
    <w:rsid w:val="003A4810"/>
    <w:rsid w:val="003A6810"/>
    <w:rsid w:val="003B5556"/>
    <w:rsid w:val="003C2CC4"/>
    <w:rsid w:val="003D4B23"/>
    <w:rsid w:val="003E055E"/>
    <w:rsid w:val="003E1B58"/>
    <w:rsid w:val="00405DDC"/>
    <w:rsid w:val="00410C89"/>
    <w:rsid w:val="00422BCA"/>
    <w:rsid w:val="00423286"/>
    <w:rsid w:val="004325CB"/>
    <w:rsid w:val="0043661C"/>
    <w:rsid w:val="00437D10"/>
    <w:rsid w:val="00445F2C"/>
    <w:rsid w:val="00446D0D"/>
    <w:rsid w:val="0045495B"/>
    <w:rsid w:val="0046010F"/>
    <w:rsid w:val="00467797"/>
    <w:rsid w:val="004767FE"/>
    <w:rsid w:val="0048272E"/>
    <w:rsid w:val="004978B8"/>
    <w:rsid w:val="004B5E00"/>
    <w:rsid w:val="004C2C79"/>
    <w:rsid w:val="004D25E4"/>
    <w:rsid w:val="004D5444"/>
    <w:rsid w:val="004D5DC7"/>
    <w:rsid w:val="004D6628"/>
    <w:rsid w:val="004D77FA"/>
    <w:rsid w:val="004E37A2"/>
    <w:rsid w:val="00517B36"/>
    <w:rsid w:val="005420F2"/>
    <w:rsid w:val="00543EFC"/>
    <w:rsid w:val="0054530F"/>
    <w:rsid w:val="00563850"/>
    <w:rsid w:val="00567E18"/>
    <w:rsid w:val="005738B3"/>
    <w:rsid w:val="0058131F"/>
    <w:rsid w:val="00583795"/>
    <w:rsid w:val="005A0C9F"/>
    <w:rsid w:val="005B3DB3"/>
    <w:rsid w:val="005B5659"/>
    <w:rsid w:val="005C6A79"/>
    <w:rsid w:val="005E215D"/>
    <w:rsid w:val="006001EE"/>
    <w:rsid w:val="0060225C"/>
    <w:rsid w:val="006050D0"/>
    <w:rsid w:val="00611FC4"/>
    <w:rsid w:val="006176FB"/>
    <w:rsid w:val="00625B36"/>
    <w:rsid w:val="00640B26"/>
    <w:rsid w:val="0064580C"/>
    <w:rsid w:val="00657A3D"/>
    <w:rsid w:val="00657E54"/>
    <w:rsid w:val="00663445"/>
    <w:rsid w:val="006966DA"/>
    <w:rsid w:val="00697A21"/>
    <w:rsid w:val="006A787C"/>
    <w:rsid w:val="006B092D"/>
    <w:rsid w:val="006B39F6"/>
    <w:rsid w:val="006C0D24"/>
    <w:rsid w:val="006C1ADD"/>
    <w:rsid w:val="006D0852"/>
    <w:rsid w:val="006E0B6A"/>
    <w:rsid w:val="006E564B"/>
    <w:rsid w:val="006E5DD6"/>
    <w:rsid w:val="006F0CFA"/>
    <w:rsid w:val="0070619B"/>
    <w:rsid w:val="00711A08"/>
    <w:rsid w:val="0072632A"/>
    <w:rsid w:val="007841AD"/>
    <w:rsid w:val="00796562"/>
    <w:rsid w:val="007B112D"/>
    <w:rsid w:val="007B6BA5"/>
    <w:rsid w:val="007C3390"/>
    <w:rsid w:val="007C4F4B"/>
    <w:rsid w:val="007C7492"/>
    <w:rsid w:val="007C74F8"/>
    <w:rsid w:val="007E04A3"/>
    <w:rsid w:val="007F1E2E"/>
    <w:rsid w:val="007F6462"/>
    <w:rsid w:val="007F6611"/>
    <w:rsid w:val="00804FC1"/>
    <w:rsid w:val="00806CBB"/>
    <w:rsid w:val="008242D7"/>
    <w:rsid w:val="0082637B"/>
    <w:rsid w:val="00832D01"/>
    <w:rsid w:val="00843295"/>
    <w:rsid w:val="00862A95"/>
    <w:rsid w:val="00864375"/>
    <w:rsid w:val="00872945"/>
    <w:rsid w:val="00892CE9"/>
    <w:rsid w:val="008979B1"/>
    <w:rsid w:val="008A447F"/>
    <w:rsid w:val="008A61F0"/>
    <w:rsid w:val="008A6B25"/>
    <w:rsid w:val="008A6C4F"/>
    <w:rsid w:val="008B2335"/>
    <w:rsid w:val="008F02C4"/>
    <w:rsid w:val="008F0EAA"/>
    <w:rsid w:val="008F3574"/>
    <w:rsid w:val="008F4B1E"/>
    <w:rsid w:val="00900021"/>
    <w:rsid w:val="0091275B"/>
    <w:rsid w:val="009136AA"/>
    <w:rsid w:val="00914E79"/>
    <w:rsid w:val="009154FA"/>
    <w:rsid w:val="00916443"/>
    <w:rsid w:val="0091673B"/>
    <w:rsid w:val="009223CA"/>
    <w:rsid w:val="00922C33"/>
    <w:rsid w:val="009369F6"/>
    <w:rsid w:val="00940F93"/>
    <w:rsid w:val="00942718"/>
    <w:rsid w:val="00944640"/>
    <w:rsid w:val="009603EF"/>
    <w:rsid w:val="00983B67"/>
    <w:rsid w:val="00992114"/>
    <w:rsid w:val="009A34EF"/>
    <w:rsid w:val="009A3D56"/>
    <w:rsid w:val="009A4A1B"/>
    <w:rsid w:val="009B4A1B"/>
    <w:rsid w:val="009C0EE8"/>
    <w:rsid w:val="009C14AA"/>
    <w:rsid w:val="009C547C"/>
    <w:rsid w:val="00A01489"/>
    <w:rsid w:val="00A0681D"/>
    <w:rsid w:val="00A173D1"/>
    <w:rsid w:val="00A23510"/>
    <w:rsid w:val="00A24435"/>
    <w:rsid w:val="00A61147"/>
    <w:rsid w:val="00A61CCD"/>
    <w:rsid w:val="00A64909"/>
    <w:rsid w:val="00A72F22"/>
    <w:rsid w:val="00A748A6"/>
    <w:rsid w:val="00A776B4"/>
    <w:rsid w:val="00A9307B"/>
    <w:rsid w:val="00A94361"/>
    <w:rsid w:val="00AB3BF2"/>
    <w:rsid w:val="00AC1552"/>
    <w:rsid w:val="00AD42B4"/>
    <w:rsid w:val="00B016FE"/>
    <w:rsid w:val="00B06775"/>
    <w:rsid w:val="00B1204B"/>
    <w:rsid w:val="00B1476B"/>
    <w:rsid w:val="00B2044C"/>
    <w:rsid w:val="00B22CD4"/>
    <w:rsid w:val="00B30179"/>
    <w:rsid w:val="00B338F2"/>
    <w:rsid w:val="00B452CD"/>
    <w:rsid w:val="00B50A8A"/>
    <w:rsid w:val="00B55531"/>
    <w:rsid w:val="00B56E9C"/>
    <w:rsid w:val="00B64B1F"/>
    <w:rsid w:val="00B6553F"/>
    <w:rsid w:val="00B71EEF"/>
    <w:rsid w:val="00B7541A"/>
    <w:rsid w:val="00B76D56"/>
    <w:rsid w:val="00B804A6"/>
    <w:rsid w:val="00B81E12"/>
    <w:rsid w:val="00B849A0"/>
    <w:rsid w:val="00B875A3"/>
    <w:rsid w:val="00B9109E"/>
    <w:rsid w:val="00B938F1"/>
    <w:rsid w:val="00B96D98"/>
    <w:rsid w:val="00BA7876"/>
    <w:rsid w:val="00BC70F2"/>
    <w:rsid w:val="00BC74E9"/>
    <w:rsid w:val="00BF2F83"/>
    <w:rsid w:val="00BF68A8"/>
    <w:rsid w:val="00C00F01"/>
    <w:rsid w:val="00C0477F"/>
    <w:rsid w:val="00C11FFC"/>
    <w:rsid w:val="00C3206E"/>
    <w:rsid w:val="00C373A8"/>
    <w:rsid w:val="00C45A10"/>
    <w:rsid w:val="00C463DD"/>
    <w:rsid w:val="00C4724C"/>
    <w:rsid w:val="00C475AB"/>
    <w:rsid w:val="00C53A77"/>
    <w:rsid w:val="00C629A0"/>
    <w:rsid w:val="00C745C3"/>
    <w:rsid w:val="00C75557"/>
    <w:rsid w:val="00C75FB9"/>
    <w:rsid w:val="00C92CFD"/>
    <w:rsid w:val="00C96ED7"/>
    <w:rsid w:val="00C97C90"/>
    <w:rsid w:val="00CC00AC"/>
    <w:rsid w:val="00CC24D2"/>
    <w:rsid w:val="00CC3F8B"/>
    <w:rsid w:val="00CD1CA7"/>
    <w:rsid w:val="00CE496F"/>
    <w:rsid w:val="00CE4A8F"/>
    <w:rsid w:val="00CF04CA"/>
    <w:rsid w:val="00D043F0"/>
    <w:rsid w:val="00D04AEB"/>
    <w:rsid w:val="00D06422"/>
    <w:rsid w:val="00D2031B"/>
    <w:rsid w:val="00D218CB"/>
    <w:rsid w:val="00D25FE2"/>
    <w:rsid w:val="00D26BF5"/>
    <w:rsid w:val="00D43252"/>
    <w:rsid w:val="00D51E7F"/>
    <w:rsid w:val="00D642CA"/>
    <w:rsid w:val="00D646E3"/>
    <w:rsid w:val="00D7767E"/>
    <w:rsid w:val="00D84BBA"/>
    <w:rsid w:val="00D85754"/>
    <w:rsid w:val="00D978C6"/>
    <w:rsid w:val="00DA2183"/>
    <w:rsid w:val="00DA3C1C"/>
    <w:rsid w:val="00DA43CC"/>
    <w:rsid w:val="00DB172F"/>
    <w:rsid w:val="00DB2B8E"/>
    <w:rsid w:val="00E06156"/>
    <w:rsid w:val="00E109FB"/>
    <w:rsid w:val="00E1221F"/>
    <w:rsid w:val="00E13CA0"/>
    <w:rsid w:val="00E1439F"/>
    <w:rsid w:val="00E14F69"/>
    <w:rsid w:val="00E47088"/>
    <w:rsid w:val="00E4728E"/>
    <w:rsid w:val="00E57397"/>
    <w:rsid w:val="00E63389"/>
    <w:rsid w:val="00E71BC8"/>
    <w:rsid w:val="00E7260F"/>
    <w:rsid w:val="00E73170"/>
    <w:rsid w:val="00E9111D"/>
    <w:rsid w:val="00E96630"/>
    <w:rsid w:val="00EB1CBD"/>
    <w:rsid w:val="00ED32A3"/>
    <w:rsid w:val="00ED616A"/>
    <w:rsid w:val="00ED7A2A"/>
    <w:rsid w:val="00ED7FFC"/>
    <w:rsid w:val="00EF1D7F"/>
    <w:rsid w:val="00F06493"/>
    <w:rsid w:val="00F14061"/>
    <w:rsid w:val="00F14D89"/>
    <w:rsid w:val="00F31777"/>
    <w:rsid w:val="00F32B3C"/>
    <w:rsid w:val="00F34583"/>
    <w:rsid w:val="00F3702E"/>
    <w:rsid w:val="00F40A6C"/>
    <w:rsid w:val="00F47035"/>
    <w:rsid w:val="00F504DF"/>
    <w:rsid w:val="00F54C11"/>
    <w:rsid w:val="00F6352B"/>
    <w:rsid w:val="00F70E22"/>
    <w:rsid w:val="00FA271C"/>
    <w:rsid w:val="00FA5BA4"/>
    <w:rsid w:val="00FB2916"/>
    <w:rsid w:val="00FC68B7"/>
    <w:rsid w:val="00FD05BE"/>
    <w:rsid w:val="00FD5D3D"/>
    <w:rsid w:val="00FF2169"/>
    <w:rsid w:val="00FF72C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w:basedOn w:val="Normal"/>
    <w:link w:val="FootnoteTextChar"/>
    <w:qFormat/>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B452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52CD"/>
    <w:rPr>
      <w:rFonts w:ascii="Tahoma" w:hAnsi="Tahoma" w:cs="Tahoma"/>
      <w:sz w:val="16"/>
      <w:szCs w:val="16"/>
      <w:lang w:eastAsia="en-US"/>
    </w:rPr>
  </w:style>
  <w:style w:type="paragraph" w:styleId="CommentSubject">
    <w:name w:val="annotation subject"/>
    <w:basedOn w:val="CommentText"/>
    <w:next w:val="CommentText"/>
    <w:link w:val="CommentSubjectChar"/>
    <w:rsid w:val="006E0B6A"/>
    <w:pPr>
      <w:spacing w:line="240" w:lineRule="auto"/>
    </w:pPr>
    <w:rPr>
      <w:b/>
      <w:bCs/>
    </w:rPr>
  </w:style>
  <w:style w:type="character" w:customStyle="1" w:styleId="CommentTextChar">
    <w:name w:val="Comment Text Char"/>
    <w:basedOn w:val="DefaultParagraphFont"/>
    <w:link w:val="CommentText"/>
    <w:semiHidden/>
    <w:rsid w:val="006E0B6A"/>
    <w:rPr>
      <w:lang w:eastAsia="en-US"/>
    </w:rPr>
  </w:style>
  <w:style w:type="character" w:customStyle="1" w:styleId="CommentSubjectChar">
    <w:name w:val="Comment Subject Char"/>
    <w:basedOn w:val="CommentTextChar"/>
    <w:link w:val="CommentSubject"/>
    <w:rsid w:val="006E0B6A"/>
    <w:rPr>
      <w:b/>
      <w:bCs/>
      <w:lang w:eastAsia="en-US"/>
    </w:rPr>
  </w:style>
  <w:style w:type="paragraph" w:styleId="Revision">
    <w:name w:val="Revision"/>
    <w:hidden/>
    <w:uiPriority w:val="99"/>
    <w:semiHidden/>
    <w:rsid w:val="006E0B6A"/>
    <w:rPr>
      <w:lang w:eastAsia="en-US"/>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864375"/>
    <w:rPr>
      <w:sz w:val="18"/>
      <w:lang w:eastAsia="en-US"/>
    </w:rPr>
  </w:style>
  <w:style w:type="paragraph" w:customStyle="1" w:styleId="Default">
    <w:name w:val="Default"/>
    <w:rsid w:val="005A0C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stile 1,Footnote,Footnote1,Footnote2,Footnote3,Footnote4,Footnote5,Footnote6,Footnote7,Footnote8,Footnote9,Footnote10,Footnote11,Footnote21,Footnote31,Footnote41,Footnote51,Footnote61,Footnote71,Footnote81,Footnote91"/>
    <w:basedOn w:val="Normal"/>
    <w:link w:val="FootnoteTextChar"/>
    <w:qFormat/>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B452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52CD"/>
    <w:rPr>
      <w:rFonts w:ascii="Tahoma" w:hAnsi="Tahoma" w:cs="Tahoma"/>
      <w:sz w:val="16"/>
      <w:szCs w:val="16"/>
      <w:lang w:eastAsia="en-US"/>
    </w:rPr>
  </w:style>
  <w:style w:type="paragraph" w:styleId="CommentSubject">
    <w:name w:val="annotation subject"/>
    <w:basedOn w:val="CommentText"/>
    <w:next w:val="CommentText"/>
    <w:link w:val="CommentSubjectChar"/>
    <w:rsid w:val="006E0B6A"/>
    <w:pPr>
      <w:spacing w:line="240" w:lineRule="auto"/>
    </w:pPr>
    <w:rPr>
      <w:b/>
      <w:bCs/>
    </w:rPr>
  </w:style>
  <w:style w:type="character" w:customStyle="1" w:styleId="CommentTextChar">
    <w:name w:val="Comment Text Char"/>
    <w:basedOn w:val="DefaultParagraphFont"/>
    <w:link w:val="CommentText"/>
    <w:semiHidden/>
    <w:rsid w:val="006E0B6A"/>
    <w:rPr>
      <w:lang w:eastAsia="en-US"/>
    </w:rPr>
  </w:style>
  <w:style w:type="character" w:customStyle="1" w:styleId="CommentSubjectChar">
    <w:name w:val="Comment Subject Char"/>
    <w:basedOn w:val="CommentTextChar"/>
    <w:link w:val="CommentSubject"/>
    <w:rsid w:val="006E0B6A"/>
    <w:rPr>
      <w:b/>
      <w:bCs/>
      <w:lang w:eastAsia="en-US"/>
    </w:rPr>
  </w:style>
  <w:style w:type="paragraph" w:styleId="Revision">
    <w:name w:val="Revision"/>
    <w:hidden/>
    <w:uiPriority w:val="99"/>
    <w:semiHidden/>
    <w:rsid w:val="006E0B6A"/>
    <w:rPr>
      <w:lang w:eastAsia="en-US"/>
    </w:rPr>
  </w:style>
  <w:style w:type="character" w:customStyle="1" w:styleId="FootnoteTextChar">
    <w:name w:val="Footnote Text Char"/>
    <w:aliases w:val="5_G Char,stile 1 Char,Footnote Char,Footnote1 Char,Footnote2 Char,Footnote3 Char,Footnote4 Char,Footnote5 Char,Footnote6 Char,Footnote7 Char,Footnote8 Char,Footnote9 Char,Footnote10 Char,Footnote11 Char,Footnote21 Char,Footnote31 Char"/>
    <w:link w:val="FootnoteText"/>
    <w:rsid w:val="00864375"/>
    <w:rPr>
      <w:sz w:val="18"/>
      <w:lang w:eastAsia="en-US"/>
    </w:rPr>
  </w:style>
  <w:style w:type="paragraph" w:customStyle="1" w:styleId="Default">
    <w:name w:val="Default"/>
    <w:rsid w:val="005A0C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EE18-249E-4596-917B-9F89593B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5075</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1363907</vt:lpstr>
    </vt:vector>
  </TitlesOfParts>
  <Company>CSD</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1616468</dc:title>
  <dc:subject>CERD/C/PRT/Q/15-17</dc:subject>
  <dc:creator>Morris</dc:creator>
  <cp:keywords/>
  <dc:description>Final</dc:description>
  <cp:lastModifiedBy>Tpseng</cp:lastModifiedBy>
  <cp:revision>2</cp:revision>
  <cp:lastPrinted>2016-09-23T16:28:00Z</cp:lastPrinted>
  <dcterms:created xsi:type="dcterms:W3CDTF">2016-09-23T16:29:00Z</dcterms:created>
  <dcterms:modified xsi:type="dcterms:W3CDTF">2016-09-23T16:29:00Z</dcterms:modified>
</cp:coreProperties>
</file>