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365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23650" w:rsidRPr="00ED616A" w:rsidRDefault="00523650" w:rsidP="003B4E47">
            <w:pPr>
              <w:pStyle w:val="SingleTxtG"/>
              <w:jc w:val="left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23650" w:rsidRPr="00B97172" w:rsidRDefault="00523650" w:rsidP="003B4E4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523650" w:rsidRPr="002E51B7" w:rsidRDefault="004B4F69" w:rsidP="00CA7BCA">
            <w:pPr>
              <w:jc w:val="right"/>
            </w:pPr>
            <w:r w:rsidRPr="004B4F69">
              <w:rPr>
                <w:sz w:val="40"/>
              </w:rPr>
              <w:t>CERD</w:t>
            </w:r>
            <w:r w:rsidR="00CA7BCA">
              <w:t>/C/PRT</w:t>
            </w:r>
            <w:r>
              <w:t>/Q/1</w:t>
            </w:r>
            <w:r w:rsidR="00CA7BCA">
              <w:t>2</w:t>
            </w:r>
            <w:r>
              <w:t>-</w:t>
            </w:r>
            <w:r w:rsidR="00CA7BCA">
              <w:t>1</w:t>
            </w:r>
            <w:r>
              <w:t>4</w:t>
            </w:r>
          </w:p>
        </w:tc>
      </w:tr>
      <w:tr w:rsidR="0052365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23650" w:rsidRDefault="00523650" w:rsidP="003B4E47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23650" w:rsidRPr="000B4EF7" w:rsidRDefault="00523650" w:rsidP="003B4E47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0B4EF7">
              <w:rPr>
                <w:b/>
                <w:sz w:val="34"/>
                <w:szCs w:val="40"/>
              </w:rPr>
              <w:t>International Convention on</w:t>
            </w:r>
            <w:r>
              <w:rPr>
                <w:b/>
                <w:sz w:val="34"/>
                <w:szCs w:val="40"/>
              </w:rPr>
              <w:br/>
              <w:t>the Elimination of A</w:t>
            </w:r>
            <w:r w:rsidRPr="000B4EF7">
              <w:rPr>
                <w:b/>
                <w:sz w:val="34"/>
                <w:szCs w:val="40"/>
              </w:rPr>
              <w:t>ll Forms</w:t>
            </w:r>
            <w:r>
              <w:rPr>
                <w:b/>
                <w:sz w:val="34"/>
                <w:szCs w:val="40"/>
              </w:rPr>
              <w:br/>
            </w:r>
            <w:r w:rsidRPr="000B4EF7">
              <w:rPr>
                <w:b/>
                <w:sz w:val="34"/>
                <w:szCs w:val="40"/>
              </w:rPr>
              <w:t>of Racial Discrimination</w:t>
            </w:r>
          </w:p>
          <w:p w:rsidR="00523650" w:rsidRDefault="00523650" w:rsidP="003B4E47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4B4F69" w:rsidRDefault="004B4F69" w:rsidP="004B4F69">
            <w:pPr>
              <w:spacing w:before="240" w:line="240" w:lineRule="exact"/>
            </w:pPr>
            <w:r>
              <w:t>Distr.: General</w:t>
            </w:r>
          </w:p>
          <w:p w:rsidR="004B4F69" w:rsidRDefault="00FB608C" w:rsidP="004B4F69">
            <w:pPr>
              <w:spacing w:line="240" w:lineRule="exact"/>
            </w:pPr>
            <w:r>
              <w:t>3 January</w:t>
            </w:r>
            <w:r w:rsidR="00CA7BCA">
              <w:t xml:space="preserve"> </w:t>
            </w:r>
            <w:r w:rsidR="004B4F69">
              <w:t>201</w:t>
            </w:r>
            <w:r>
              <w:t>2</w:t>
            </w:r>
          </w:p>
          <w:p w:rsidR="004B4F69" w:rsidRDefault="004B4F69" w:rsidP="004B4F69">
            <w:pPr>
              <w:spacing w:line="240" w:lineRule="exact"/>
            </w:pPr>
          </w:p>
          <w:p w:rsidR="00523650" w:rsidRDefault="004B4F69" w:rsidP="004B4F69">
            <w:pPr>
              <w:spacing w:line="240" w:lineRule="exact"/>
            </w:pPr>
            <w:r>
              <w:t>Original: English</w:t>
            </w:r>
          </w:p>
        </w:tc>
      </w:tr>
    </w:tbl>
    <w:p w:rsidR="004B4F69" w:rsidRPr="002C70E7" w:rsidRDefault="004B4F69" w:rsidP="004B4F69">
      <w:pPr>
        <w:spacing w:before="120"/>
        <w:rPr>
          <w:b/>
          <w:sz w:val="24"/>
          <w:szCs w:val="24"/>
        </w:rPr>
      </w:pPr>
      <w:r w:rsidRPr="002C70E7">
        <w:rPr>
          <w:b/>
          <w:sz w:val="24"/>
          <w:szCs w:val="24"/>
        </w:rPr>
        <w:t>Committee on the Elimination of Racial Discrimination</w:t>
      </w:r>
    </w:p>
    <w:p w:rsidR="004B4F69" w:rsidRPr="002C70E7" w:rsidRDefault="00CA7BCA" w:rsidP="004B4F69">
      <w:pPr>
        <w:rPr>
          <w:b/>
        </w:rPr>
      </w:pPr>
      <w:r>
        <w:rPr>
          <w:b/>
        </w:rPr>
        <w:t>Eighty-</w:t>
      </w:r>
      <w:r w:rsidR="004B4F69" w:rsidRPr="002C70E7">
        <w:rPr>
          <w:b/>
        </w:rPr>
        <w:t>session</w:t>
      </w:r>
    </w:p>
    <w:p w:rsidR="004B4F69" w:rsidRPr="002C70E7" w:rsidRDefault="00CA7BCA" w:rsidP="004B4F69">
      <w:r>
        <w:t>13 February – 9 March 2012</w:t>
      </w:r>
    </w:p>
    <w:p w:rsidR="008647BC" w:rsidRDefault="004B4F69" w:rsidP="00CC7EA1">
      <w:pPr>
        <w:pStyle w:val="HChG"/>
      </w:pPr>
      <w:r w:rsidRPr="002C70E7">
        <w:tab/>
      </w:r>
      <w:r w:rsidRPr="002C70E7">
        <w:tab/>
      </w:r>
      <w:r w:rsidR="008647BC" w:rsidRPr="002C70E7">
        <w:t>Implementation of the International Convention on the Elimination of All Forms of Racial Discrimination</w:t>
      </w:r>
    </w:p>
    <w:p w:rsidR="00CA7BCA" w:rsidRPr="00CA7BCA" w:rsidRDefault="008647BC" w:rsidP="00CA7BCA">
      <w:pPr>
        <w:pStyle w:val="H1G"/>
        <w:rPr>
          <w:bCs/>
          <w:szCs w:val="24"/>
        </w:rPr>
      </w:pPr>
      <w:r>
        <w:tab/>
      </w:r>
      <w:r>
        <w:tab/>
      </w:r>
      <w:r w:rsidR="00CA7BCA" w:rsidRPr="00CA7BCA">
        <w:rPr>
          <w:bCs/>
          <w:szCs w:val="24"/>
        </w:rPr>
        <w:t xml:space="preserve">List of themes to be taken up in connection with the consideration of the twelfth to fourteenth periodic reports of </w:t>
      </w:r>
      <w:smartTag w:uri="urn:schemas-microsoft-com:office:smarttags" w:element="place">
        <w:smartTag w:uri="urn:schemas-microsoft-com:office:smarttags" w:element="country-region">
          <w:r w:rsidR="00CA7BCA" w:rsidRPr="00CA7BCA">
            <w:rPr>
              <w:bCs/>
              <w:szCs w:val="24"/>
            </w:rPr>
            <w:t>Portugal</w:t>
          </w:r>
        </w:smartTag>
      </w:smartTag>
      <w:r w:rsidR="00CA7BCA" w:rsidRPr="00CA7BCA">
        <w:rPr>
          <w:bCs/>
          <w:szCs w:val="24"/>
        </w:rPr>
        <w:t xml:space="preserve"> (CERD/C/PRT/12-14)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8647BC" w:rsidRPr="002C70E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8647BC" w:rsidRPr="002C70E7" w:rsidRDefault="008647BC" w:rsidP="00F611FD"/>
        </w:tc>
      </w:tr>
      <w:tr w:rsidR="008647BC" w:rsidRPr="002C7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8647BC" w:rsidRPr="002C70E7" w:rsidRDefault="008647BC" w:rsidP="006E208A">
            <w:r w:rsidRPr="002C70E7">
              <w:t>The following is a list of themes identified by the Country Rapporteur in connection with the consideration of the</w:t>
            </w:r>
            <w:r w:rsidR="006E208A">
              <w:t xml:space="preserve"> twelfth</w:t>
            </w:r>
            <w:r w:rsidRPr="002C70E7">
              <w:t xml:space="preserve"> to </w:t>
            </w:r>
            <w:r w:rsidR="006E208A">
              <w:t xml:space="preserve">fourteenth periodic reports of </w:t>
            </w:r>
            <w:smartTag w:uri="urn:schemas-microsoft-com:office:smarttags" w:element="country-region">
              <w:smartTag w:uri="urn:schemas-microsoft-com:office:smarttags" w:element="place">
                <w:r w:rsidR="006E208A">
                  <w:t>Portugal</w:t>
                </w:r>
              </w:smartTag>
            </w:smartTag>
            <w:r w:rsidRPr="002C70E7">
              <w:t xml:space="preserve">. The list is meant to guide the dialogue between the State party delegation and the Committee and </w:t>
            </w:r>
            <w:r w:rsidRPr="002C70E7">
              <w:rPr>
                <w:i/>
                <w:iCs/>
              </w:rPr>
              <w:t>does not require written replies</w:t>
            </w:r>
            <w:r w:rsidRPr="002C70E7">
              <w:t>. This is not an exhaustive list as other issues will be raised in the course of the dialogue.</w:t>
            </w:r>
          </w:p>
        </w:tc>
      </w:tr>
      <w:tr w:rsidR="008647BC" w:rsidRPr="002C70E7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8647BC" w:rsidRPr="002C70E7" w:rsidRDefault="008647BC" w:rsidP="00F611FD"/>
        </w:tc>
      </w:tr>
    </w:tbl>
    <w:p w:rsidR="00CA7BCA" w:rsidRPr="00CA7BCA" w:rsidRDefault="00D003DF" w:rsidP="00D003DF">
      <w:pPr>
        <w:pStyle w:val="H23G"/>
      </w:pPr>
      <w:r>
        <w:tab/>
      </w:r>
      <w:r>
        <w:tab/>
      </w:r>
      <w:r w:rsidRPr="00CA7BCA">
        <w:t>1.</w:t>
      </w:r>
      <w:r w:rsidRPr="00CA7BCA">
        <w:tab/>
      </w:r>
      <w:r w:rsidR="00CA7BCA" w:rsidRPr="00CA7BCA">
        <w:t xml:space="preserve">Equality and challenges encountered by certain groups, including non-citizens and visible minorities, in the exercise of civil, political, economic, social and cultural rights (arts. 2, 3, 4, 5 and 7). 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a)</w:t>
      </w:r>
      <w:r w:rsidR="00D003DF" w:rsidRPr="00CA7BCA">
        <w:tab/>
      </w:r>
      <w:r w:rsidR="00CA7BCA" w:rsidRPr="00CA7BCA">
        <w:t xml:space="preserve">General awareness of </w:t>
      </w:r>
      <w:smartTag w:uri="urn:schemas-microsoft-com:office:smarttags" w:element="country-region">
        <w:smartTag w:uri="urn:schemas-microsoft-com:office:smarttags" w:element="place">
          <w:r w:rsidR="00CA7BCA" w:rsidRPr="00CA7BCA">
            <w:t>Portugal</w:t>
          </w:r>
        </w:smartTag>
      </w:smartTag>
      <w:r w:rsidR="00CA7BCA" w:rsidRPr="00CA7BCA">
        <w:t xml:space="preserve"> as a multicultural society and measures to facilitate integration (CERD/C/PRT/12-14, pars. 26, 53-55);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b)</w:t>
      </w:r>
      <w:r w:rsidR="00D003DF" w:rsidRPr="00CA7BCA">
        <w:tab/>
      </w:r>
      <w:r w:rsidR="00CA7BCA" w:rsidRPr="00CA7BCA">
        <w:t xml:space="preserve">Data and information regarding discrimination allowing for a detailed and/or comprehensive assessment of discrimination in </w:t>
      </w:r>
      <w:smartTag w:uri="urn:schemas-microsoft-com:office:smarttags" w:element="country-region">
        <w:smartTag w:uri="urn:schemas-microsoft-com:office:smarttags" w:element="place">
          <w:r w:rsidR="00CA7BCA" w:rsidRPr="00CA7BCA">
            <w:t>Portugal</w:t>
          </w:r>
        </w:smartTag>
      </w:smartTag>
      <w:r w:rsidR="00CA7BCA" w:rsidRPr="00CA7BCA">
        <w:t>. Progress in the monitoring of the ethnic composition of the population (CERD/C/65/CO/6, para. 8) or, in its absence, a qualitative description of the ethnic composition of the population (CERD/C/PRT/12-14, par. 1, footnote 2)</w:t>
      </w:r>
      <w:r>
        <w:t>;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c)</w:t>
      </w:r>
      <w:r w:rsidR="00D003DF" w:rsidRPr="00CA7BCA">
        <w:tab/>
      </w:r>
      <w:r w:rsidR="00CA7BCA" w:rsidRPr="00CA7BCA">
        <w:t>Impact of the education and training opportunities targeted towards law enforcement officials to end any discriminatory conduct, racist stereotypes and prejudice towards individuals of foreign origin and visible minorities (CERD/C/65/CO/6, para. 10 and CERD/C/PRT/12-14 paras. 112-121; 231)</w:t>
      </w:r>
      <w:r>
        <w:t>l;</w:t>
      </w:r>
      <w:r w:rsidR="00CA7BCA" w:rsidRPr="00CA7BCA">
        <w:t xml:space="preserve"> 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d)</w:t>
      </w:r>
      <w:r w:rsidR="00D003DF" w:rsidRPr="00CA7BCA">
        <w:tab/>
      </w:r>
      <w:r w:rsidR="00CA7BCA" w:rsidRPr="00CA7BCA">
        <w:t xml:space="preserve">Racial stereotypes and prejudices against immigrants, Brazilians in particular,  as well as </w:t>
      </w:r>
      <w:r>
        <w:t xml:space="preserve">against </w:t>
      </w:r>
      <w:r w:rsidR="00CA7BCA" w:rsidRPr="00CA7BCA">
        <w:t>other visible minorities including Chinese and Sub-Saharan African</w:t>
      </w:r>
      <w:r>
        <w:t xml:space="preserve"> minorities</w:t>
      </w:r>
      <w:r w:rsidR="00CA7BCA" w:rsidRPr="00CA7BCA">
        <w:t xml:space="preserve"> (CERD/C/PRT/12-14, para. 239)</w:t>
      </w:r>
      <w:r>
        <w:t>;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e)</w:t>
      </w:r>
      <w:r w:rsidR="00D003DF" w:rsidRPr="00CA7BCA">
        <w:tab/>
      </w:r>
      <w:r w:rsidR="00CA7BCA" w:rsidRPr="00CA7BCA">
        <w:t>The role of the media and the dissemination of messages to combat racial stereotypes and prejudices and to promote cultural diversity and tolerance (CERD/C/PRT/12-14, pars. 194-197)</w:t>
      </w:r>
      <w:r>
        <w:t>;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f)</w:t>
      </w:r>
      <w:r w:rsidR="00D003DF" w:rsidRPr="00CA7BCA">
        <w:tab/>
      </w:r>
      <w:r w:rsidR="00CA7BCA" w:rsidRPr="00CA7BCA">
        <w:t>Innovative measures by the State party to prevent and address racial discrimination of less favoured communities, including the professionalization and impact of socio-cultural mediators, especially away from urban centr</w:t>
      </w:r>
      <w:r w:rsidR="003243ED">
        <w:t>e</w:t>
      </w:r>
      <w:r w:rsidR="00CA7BCA" w:rsidRPr="00CA7BCA">
        <w:t>s (CERD/C/PRT/12-14, par</w:t>
      </w:r>
      <w:r>
        <w:t>a</w:t>
      </w:r>
      <w:r w:rsidR="00CA7BCA" w:rsidRPr="00CA7BCA">
        <w:t>. 48)</w:t>
      </w:r>
      <w:r>
        <w:t>;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g)</w:t>
      </w:r>
      <w:r w:rsidR="00D003DF" w:rsidRPr="00CA7BCA">
        <w:tab/>
      </w:r>
      <w:r w:rsidR="00CA7BCA" w:rsidRPr="00CA7BCA">
        <w:t>Implementation of the Portuguese Immigrants’ Integration Plan to respond to housing needs (CERD/C/65/CO/6, par</w:t>
      </w:r>
      <w:r>
        <w:t>a</w:t>
      </w:r>
      <w:r w:rsidR="00CA7BCA" w:rsidRPr="00CA7BCA">
        <w:t>. 12 and CERD/C/PRT/12-14, par</w:t>
      </w:r>
      <w:r>
        <w:t>a</w:t>
      </w:r>
      <w:r w:rsidR="00CA7BCA" w:rsidRPr="00CA7BCA">
        <w:t>. 177)</w:t>
      </w:r>
      <w:r>
        <w:t>;</w:t>
      </w:r>
    </w:p>
    <w:p w:rsidR="00CA7BCA" w:rsidRPr="00CA7BCA" w:rsidRDefault="00EC3557" w:rsidP="00A67338">
      <w:pPr>
        <w:pStyle w:val="SingleTxtG"/>
        <w:ind w:firstLine="567"/>
      </w:pPr>
      <w:r>
        <w:t>(</w:t>
      </w:r>
      <w:r w:rsidR="00D003DF" w:rsidRPr="00CA7BCA">
        <w:t>h)</w:t>
      </w:r>
      <w:r w:rsidR="00D003DF" w:rsidRPr="00CA7BCA">
        <w:tab/>
      </w:r>
      <w:r w:rsidR="00CA7BCA" w:rsidRPr="00CA7BCA">
        <w:t>State mechanisms to prevent and combat racial discrimination in access to justice, education, and employment of immigrants, ethnic and religious minorities or asylum seekers and refugees (CERD/C/PRT/12-14, par</w:t>
      </w:r>
      <w:r>
        <w:t>a</w:t>
      </w:r>
      <w:r w:rsidR="00CA7BCA" w:rsidRPr="00CA7BCA">
        <w:t xml:space="preserve">. 199 ff.).  </w:t>
      </w:r>
      <w:r w:rsidR="00CA7BCA" w:rsidRPr="00CA7BCA">
        <w:tab/>
      </w:r>
    </w:p>
    <w:p w:rsidR="00CA7BCA" w:rsidRPr="00CA7BCA" w:rsidRDefault="00D003DF" w:rsidP="00D003DF">
      <w:pPr>
        <w:pStyle w:val="H23G"/>
      </w:pPr>
      <w:r>
        <w:tab/>
      </w:r>
      <w:r>
        <w:tab/>
      </w:r>
      <w:r w:rsidRPr="00CA7BCA">
        <w:t>2.</w:t>
      </w:r>
      <w:r w:rsidRPr="00CA7BCA">
        <w:tab/>
      </w:r>
      <w:r w:rsidR="00CA7BCA" w:rsidRPr="00CA7BCA">
        <w:t>Legislation and availability of remedies in cases of racial discrimination (arts. 4 and 6)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a)</w:t>
      </w:r>
      <w:r w:rsidR="00D003DF" w:rsidRPr="00CA7BCA">
        <w:tab/>
      </w:r>
      <w:r w:rsidR="00CA7BCA" w:rsidRPr="00CA7BCA">
        <w:t>Cases of racial discrimination initiated, processed, completed or suspended under relevant legislation, in particular article 240 of the Criminal Code (CERD/C/PRT/12-14, para. 88) and measures for law enforcement officials to consider the racist aspect of an offence</w:t>
      </w:r>
      <w:r>
        <w:t>;</w:t>
      </w:r>
    </w:p>
    <w:p w:rsidR="00CA7BCA" w:rsidRPr="00CA7BCA" w:rsidRDefault="00EC3557" w:rsidP="00A67338">
      <w:pPr>
        <w:pStyle w:val="SingleTxtG"/>
        <w:ind w:firstLine="567"/>
      </w:pPr>
      <w:r>
        <w:t>(</w:t>
      </w:r>
      <w:r w:rsidR="00D003DF" w:rsidRPr="00CA7BCA">
        <w:t>b)</w:t>
      </w:r>
      <w:r w:rsidR="00D003DF" w:rsidRPr="00CA7BCA">
        <w:tab/>
      </w:r>
      <w:r w:rsidR="00CA7BCA" w:rsidRPr="00CA7BCA">
        <w:t xml:space="preserve">Measures taken to improve legal remedies for the protection of victims of racial discrimination (CERD/C/PRT/12-14, para. 105 ff.). </w:t>
      </w:r>
    </w:p>
    <w:p w:rsidR="00CA7BCA" w:rsidRPr="00CA7BCA" w:rsidRDefault="00D003DF" w:rsidP="00D003DF">
      <w:pPr>
        <w:pStyle w:val="H23G"/>
      </w:pPr>
      <w:r>
        <w:tab/>
      </w:r>
      <w:r>
        <w:tab/>
      </w:r>
      <w:r w:rsidRPr="00CA7BCA">
        <w:t>3.</w:t>
      </w:r>
      <w:r w:rsidRPr="00CA7BCA">
        <w:tab/>
      </w:r>
      <w:r w:rsidR="00CA7BCA" w:rsidRPr="00CA7BCA">
        <w:t>Situation of Roma communities (arts. 2, 5 and 7)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a)</w:t>
      </w:r>
      <w:r w:rsidR="00D003DF" w:rsidRPr="00CA7BCA">
        <w:tab/>
      </w:r>
      <w:r w:rsidR="00CA7BCA" w:rsidRPr="00CA7BCA">
        <w:t>Elimination of racial discrimination of Roma including through special measures (CERD/C/65/CO/6, para. 13)</w:t>
      </w:r>
      <w:r>
        <w:t>;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b)</w:t>
      </w:r>
      <w:r w:rsidR="00D003DF" w:rsidRPr="00CA7BCA">
        <w:tab/>
      </w:r>
      <w:r w:rsidR="00CA7BCA" w:rsidRPr="00CA7BCA">
        <w:t>Enjoyment of economic, social and cultural rights by the Roma population, while respecting their culture, particularly in the areas of housing, health, education, and participation in public life  (CERD/C/65/CO/6, par. 13)</w:t>
      </w:r>
      <w:r>
        <w:t>;</w:t>
      </w:r>
      <w:r w:rsidR="00CA7BCA" w:rsidRPr="00CA7BCA">
        <w:t xml:space="preserve"> </w:t>
      </w:r>
    </w:p>
    <w:p w:rsidR="00CA7BCA" w:rsidRPr="00CA7BCA" w:rsidRDefault="00EC3557" w:rsidP="00D003DF">
      <w:pPr>
        <w:pStyle w:val="SingleTxtG"/>
        <w:ind w:firstLine="567"/>
      </w:pPr>
      <w:r>
        <w:t>(</w:t>
      </w:r>
      <w:r w:rsidR="00D003DF" w:rsidRPr="00CA7BCA">
        <w:t>c)</w:t>
      </w:r>
      <w:r w:rsidR="00D003DF" w:rsidRPr="00CA7BCA">
        <w:tab/>
      </w:r>
      <w:r w:rsidR="00CA7BCA" w:rsidRPr="00CA7BCA">
        <w:t>Training programmes and other measures by the State party to increase the employability of members of Roma communities and address racial discrimination in access to the labour market</w:t>
      </w:r>
      <w:r>
        <w:t>;</w:t>
      </w:r>
      <w:r w:rsidR="00CA7BCA" w:rsidRPr="00CA7BCA">
        <w:t xml:space="preserve"> </w:t>
      </w:r>
    </w:p>
    <w:p w:rsidR="00CA7BCA" w:rsidRPr="00CA7BCA" w:rsidRDefault="00EC3557" w:rsidP="00D003DF">
      <w:pPr>
        <w:pStyle w:val="SingleTxtG"/>
        <w:ind w:firstLine="567"/>
        <w:rPr>
          <w:u w:val="single"/>
        </w:rPr>
      </w:pPr>
      <w:r>
        <w:t>(</w:t>
      </w:r>
      <w:r w:rsidR="00D003DF" w:rsidRPr="00CA7BCA">
        <w:t>d)</w:t>
      </w:r>
      <w:r w:rsidR="00D003DF" w:rsidRPr="00CA7BCA">
        <w:tab/>
      </w:r>
      <w:r w:rsidR="00CA7BCA" w:rsidRPr="00CA7BCA">
        <w:t xml:space="preserve">Impact of public awareness campaigns on the subject of discrimination of Roma communities. </w:t>
      </w:r>
    </w:p>
    <w:p w:rsidR="004B4F69" w:rsidRPr="004B4F69" w:rsidRDefault="004B4F69" w:rsidP="004B4F6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B4F69" w:rsidRPr="004B4F69" w:rsidSect="004B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D8" w:rsidRDefault="00ED3CD8"/>
  </w:endnote>
  <w:endnote w:type="continuationSeparator" w:id="0">
    <w:p w:rsidR="00ED3CD8" w:rsidRDefault="00ED3CD8"/>
  </w:endnote>
  <w:endnote w:type="continuationNotice" w:id="1">
    <w:p w:rsidR="00ED3CD8" w:rsidRDefault="00ED3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0" w:rsidRPr="004B4F69" w:rsidRDefault="006B6250" w:rsidP="004B4F69">
    <w:pPr>
      <w:pStyle w:val="Footer"/>
      <w:tabs>
        <w:tab w:val="right" w:pos="9638"/>
      </w:tabs>
    </w:pPr>
    <w:r w:rsidRPr="004B4F69">
      <w:rPr>
        <w:b/>
        <w:sz w:val="18"/>
      </w:rPr>
      <w:fldChar w:fldCharType="begin"/>
    </w:r>
    <w:r w:rsidRPr="004B4F69">
      <w:rPr>
        <w:b/>
        <w:sz w:val="18"/>
      </w:rPr>
      <w:instrText xml:space="preserve"> PAGE  \* MERGEFORMAT </w:instrText>
    </w:r>
    <w:r w:rsidRPr="004B4F69">
      <w:rPr>
        <w:b/>
        <w:sz w:val="18"/>
      </w:rPr>
      <w:fldChar w:fldCharType="separate"/>
    </w:r>
    <w:r w:rsidR="00C51E99">
      <w:rPr>
        <w:b/>
        <w:noProof/>
        <w:sz w:val="18"/>
      </w:rPr>
      <w:t>2</w:t>
    </w:r>
    <w:r w:rsidRPr="004B4F6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0" w:rsidRPr="004B4F69" w:rsidRDefault="006B6250" w:rsidP="004B4F69">
    <w:pPr>
      <w:pStyle w:val="Footer"/>
      <w:tabs>
        <w:tab w:val="right" w:pos="9638"/>
      </w:tabs>
      <w:rPr>
        <w:b/>
        <w:sz w:val="18"/>
      </w:rPr>
    </w:pPr>
    <w:r>
      <w:tab/>
    </w:r>
    <w:r w:rsidRPr="004B4F69">
      <w:rPr>
        <w:b/>
        <w:sz w:val="18"/>
      </w:rPr>
      <w:fldChar w:fldCharType="begin"/>
    </w:r>
    <w:r w:rsidRPr="004B4F69">
      <w:rPr>
        <w:b/>
        <w:sz w:val="18"/>
      </w:rPr>
      <w:instrText xml:space="preserve"> PAGE  \* MERGEFORMAT </w:instrText>
    </w:r>
    <w:r w:rsidRPr="004B4F6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B4F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0" w:rsidRPr="004B4F69" w:rsidRDefault="006B6250">
    <w:pPr>
      <w:pStyle w:val="Footer"/>
      <w:rPr>
        <w:sz w:val="2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.4pt;margin-top:-9.05pt;width:73.25pt;height:18.15pt;z-index:1">
          <v:imagedata r:id="rId1" o:title="recycle_English"/>
          <w10:anchorlock/>
        </v:shape>
      </w:pict>
    </w:r>
    <w:r>
      <w:rPr>
        <w:sz w:val="20"/>
      </w:rPr>
      <w:t>GE.1</w:t>
    </w:r>
    <w:r w:rsidR="00C51E99">
      <w:rPr>
        <w:sz w:val="20"/>
      </w:rPr>
      <w:t>2</w:t>
    </w:r>
    <w:r>
      <w:rPr>
        <w:sz w:val="20"/>
      </w:rPr>
      <w:t>-</w:t>
    </w:r>
    <w:r w:rsidR="00C51E99">
      <w:rPr>
        <w:sz w:val="20"/>
      </w:rPr>
      <w:t>40021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D8" w:rsidRPr="000B175B" w:rsidRDefault="00ED3CD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3CD8" w:rsidRPr="00FC68B7" w:rsidRDefault="00ED3CD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3CD8" w:rsidRDefault="00ED3C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0" w:rsidRPr="004B4F69" w:rsidRDefault="006B6250">
    <w:pPr>
      <w:pStyle w:val="Header"/>
    </w:pPr>
    <w:r>
      <w:t>CERD/C/PRT/Q/12-14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0" w:rsidRPr="004B4F69" w:rsidRDefault="006B6250" w:rsidP="004B4F69">
    <w:pPr>
      <w:pStyle w:val="Header"/>
      <w:jc w:val="right"/>
    </w:pPr>
    <w:r>
      <w:t>CERD/C/KEN/Q/1-4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99" w:rsidRDefault="00C51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B33"/>
    <w:multiLevelType w:val="hybridMultilevel"/>
    <w:tmpl w:val="977E4EF6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F78632F"/>
    <w:multiLevelType w:val="hybridMultilevel"/>
    <w:tmpl w:val="B44EC610"/>
    <w:lvl w:ilvl="0" w:tplc="AFE452EA">
      <w:start w:val="1"/>
      <w:numFmt w:val="lowerLetter"/>
      <w:lvlText w:val="(%1)"/>
      <w:lvlJc w:val="left"/>
      <w:pPr>
        <w:ind w:left="282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93F06"/>
    <w:multiLevelType w:val="hybridMultilevel"/>
    <w:tmpl w:val="8984F350"/>
    <w:lvl w:ilvl="0" w:tplc="0809000F">
      <w:start w:val="1"/>
      <w:numFmt w:val="decimal"/>
      <w:lvlText w:val="%1."/>
      <w:lvlJc w:val="left"/>
      <w:pPr>
        <w:ind w:left="2420" w:hanging="360"/>
      </w:pPr>
    </w:lvl>
    <w:lvl w:ilvl="1" w:tplc="328694D0">
      <w:start w:val="1"/>
      <w:numFmt w:val="lowerLetter"/>
      <w:lvlText w:val="(%2)"/>
      <w:lvlJc w:val="left"/>
      <w:pPr>
        <w:ind w:left="3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860" w:hanging="180"/>
      </w:pPr>
    </w:lvl>
    <w:lvl w:ilvl="3" w:tplc="0809000F" w:tentative="1">
      <w:start w:val="1"/>
      <w:numFmt w:val="decimal"/>
      <w:lvlText w:val="%4."/>
      <w:lvlJc w:val="left"/>
      <w:pPr>
        <w:ind w:left="4580" w:hanging="360"/>
      </w:pPr>
    </w:lvl>
    <w:lvl w:ilvl="4" w:tplc="08090019" w:tentative="1">
      <w:start w:val="1"/>
      <w:numFmt w:val="lowerLetter"/>
      <w:lvlText w:val="%5."/>
      <w:lvlJc w:val="left"/>
      <w:pPr>
        <w:ind w:left="5300" w:hanging="360"/>
      </w:pPr>
    </w:lvl>
    <w:lvl w:ilvl="5" w:tplc="0809001B" w:tentative="1">
      <w:start w:val="1"/>
      <w:numFmt w:val="lowerRoman"/>
      <w:lvlText w:val="%6."/>
      <w:lvlJc w:val="right"/>
      <w:pPr>
        <w:ind w:left="6020" w:hanging="180"/>
      </w:pPr>
    </w:lvl>
    <w:lvl w:ilvl="6" w:tplc="0809000F" w:tentative="1">
      <w:start w:val="1"/>
      <w:numFmt w:val="decimal"/>
      <w:lvlText w:val="%7."/>
      <w:lvlJc w:val="left"/>
      <w:pPr>
        <w:ind w:left="6740" w:hanging="360"/>
      </w:pPr>
    </w:lvl>
    <w:lvl w:ilvl="7" w:tplc="08090019" w:tentative="1">
      <w:start w:val="1"/>
      <w:numFmt w:val="lowerLetter"/>
      <w:lvlText w:val="%8."/>
      <w:lvlJc w:val="left"/>
      <w:pPr>
        <w:ind w:left="7460" w:hanging="360"/>
      </w:pPr>
    </w:lvl>
    <w:lvl w:ilvl="8" w:tplc="08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35622B1A"/>
    <w:multiLevelType w:val="hybridMultilevel"/>
    <w:tmpl w:val="72D26B84"/>
    <w:lvl w:ilvl="0" w:tplc="AFE452EA">
      <w:start w:val="1"/>
      <w:numFmt w:val="lowerLetter"/>
      <w:lvlText w:val="(%1)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331C"/>
    <w:multiLevelType w:val="hybridMultilevel"/>
    <w:tmpl w:val="977E4EF6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B0281D"/>
    <w:multiLevelType w:val="hybridMultilevel"/>
    <w:tmpl w:val="977E4EF6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>
      <w:start w:val="1"/>
      <w:numFmt w:val="decimal"/>
      <w:lvlText w:val="%4."/>
      <w:lvlJc w:val="left"/>
      <w:pPr>
        <w:ind w:left="4221" w:hanging="360"/>
      </w:pPr>
    </w:lvl>
    <w:lvl w:ilvl="4" w:tplc="08090019">
      <w:start w:val="1"/>
      <w:numFmt w:val="lowerLetter"/>
      <w:lvlText w:val="%5."/>
      <w:lvlJc w:val="left"/>
      <w:pPr>
        <w:ind w:left="4941" w:hanging="360"/>
      </w:pPr>
    </w:lvl>
    <w:lvl w:ilvl="5" w:tplc="0809001B">
      <w:start w:val="1"/>
      <w:numFmt w:val="lowerRoman"/>
      <w:lvlText w:val="%6."/>
      <w:lvlJc w:val="right"/>
      <w:pPr>
        <w:ind w:left="5661" w:hanging="180"/>
      </w:pPr>
    </w:lvl>
    <w:lvl w:ilvl="6" w:tplc="0809000F">
      <w:start w:val="1"/>
      <w:numFmt w:val="decimal"/>
      <w:lvlText w:val="%7."/>
      <w:lvlJc w:val="left"/>
      <w:pPr>
        <w:ind w:left="6381" w:hanging="360"/>
      </w:pPr>
    </w:lvl>
    <w:lvl w:ilvl="7" w:tplc="08090019">
      <w:start w:val="1"/>
      <w:numFmt w:val="lowerLetter"/>
      <w:lvlText w:val="%8."/>
      <w:lvlJc w:val="left"/>
      <w:pPr>
        <w:ind w:left="7101" w:hanging="360"/>
      </w:pPr>
    </w:lvl>
    <w:lvl w:ilvl="8" w:tplc="0809001B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6BC4FFC"/>
    <w:multiLevelType w:val="hybridMultilevel"/>
    <w:tmpl w:val="9362BB14"/>
    <w:lvl w:ilvl="0" w:tplc="328694D0">
      <w:start w:val="1"/>
      <w:numFmt w:val="lowerLetter"/>
      <w:lvlText w:val="(%1)"/>
      <w:lvlJc w:val="left"/>
      <w:pPr>
        <w:ind w:left="2826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B024BE2"/>
    <w:multiLevelType w:val="hybridMultilevel"/>
    <w:tmpl w:val="BD0E39C6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F69"/>
    <w:rsid w:val="00032FF2"/>
    <w:rsid w:val="00050F6B"/>
    <w:rsid w:val="000551DC"/>
    <w:rsid w:val="00072C8C"/>
    <w:rsid w:val="000733B5"/>
    <w:rsid w:val="00077485"/>
    <w:rsid w:val="000931C0"/>
    <w:rsid w:val="000A5D3B"/>
    <w:rsid w:val="000A6EA6"/>
    <w:rsid w:val="000B0619"/>
    <w:rsid w:val="000B175B"/>
    <w:rsid w:val="000B3A0F"/>
    <w:rsid w:val="000B4EF7"/>
    <w:rsid w:val="000C1462"/>
    <w:rsid w:val="000C2D2E"/>
    <w:rsid w:val="000E0415"/>
    <w:rsid w:val="001103AA"/>
    <w:rsid w:val="00155467"/>
    <w:rsid w:val="00180D95"/>
    <w:rsid w:val="0018711F"/>
    <w:rsid w:val="001B4B04"/>
    <w:rsid w:val="001C6663"/>
    <w:rsid w:val="001C7895"/>
    <w:rsid w:val="001D26DF"/>
    <w:rsid w:val="001E5AA0"/>
    <w:rsid w:val="00202DA8"/>
    <w:rsid w:val="00211E0B"/>
    <w:rsid w:val="002679C1"/>
    <w:rsid w:val="002B0464"/>
    <w:rsid w:val="002C5A3C"/>
    <w:rsid w:val="002F175C"/>
    <w:rsid w:val="003229D8"/>
    <w:rsid w:val="003243ED"/>
    <w:rsid w:val="003305AB"/>
    <w:rsid w:val="003315A8"/>
    <w:rsid w:val="00352709"/>
    <w:rsid w:val="00371178"/>
    <w:rsid w:val="0038184C"/>
    <w:rsid w:val="003A4810"/>
    <w:rsid w:val="003A6810"/>
    <w:rsid w:val="003B4E47"/>
    <w:rsid w:val="003C2CC4"/>
    <w:rsid w:val="003D4B23"/>
    <w:rsid w:val="00405DDC"/>
    <w:rsid w:val="00410C89"/>
    <w:rsid w:val="004325CB"/>
    <w:rsid w:val="0045495B"/>
    <w:rsid w:val="004B4F69"/>
    <w:rsid w:val="004D25E4"/>
    <w:rsid w:val="00517B36"/>
    <w:rsid w:val="00523650"/>
    <w:rsid w:val="005420F2"/>
    <w:rsid w:val="00577F9B"/>
    <w:rsid w:val="005B3DB3"/>
    <w:rsid w:val="005C6A79"/>
    <w:rsid w:val="006001EE"/>
    <w:rsid w:val="00611FC4"/>
    <w:rsid w:val="006176FB"/>
    <w:rsid w:val="00640B26"/>
    <w:rsid w:val="0067405E"/>
    <w:rsid w:val="006B6250"/>
    <w:rsid w:val="006E208A"/>
    <w:rsid w:val="006E564B"/>
    <w:rsid w:val="0072632A"/>
    <w:rsid w:val="007B0E96"/>
    <w:rsid w:val="007B6BA5"/>
    <w:rsid w:val="007C3390"/>
    <w:rsid w:val="007C4F4B"/>
    <w:rsid w:val="007C6E83"/>
    <w:rsid w:val="007F6611"/>
    <w:rsid w:val="00806769"/>
    <w:rsid w:val="0081017B"/>
    <w:rsid w:val="008242D7"/>
    <w:rsid w:val="008311FC"/>
    <w:rsid w:val="00832D01"/>
    <w:rsid w:val="0084151B"/>
    <w:rsid w:val="0085208C"/>
    <w:rsid w:val="008647BC"/>
    <w:rsid w:val="008979B1"/>
    <w:rsid w:val="008A6B25"/>
    <w:rsid w:val="008A6C4F"/>
    <w:rsid w:val="008B2335"/>
    <w:rsid w:val="008C46F0"/>
    <w:rsid w:val="009223CA"/>
    <w:rsid w:val="009369F6"/>
    <w:rsid w:val="00940F93"/>
    <w:rsid w:val="009603EF"/>
    <w:rsid w:val="00961987"/>
    <w:rsid w:val="009A7259"/>
    <w:rsid w:val="009B4A1B"/>
    <w:rsid w:val="009C0EE8"/>
    <w:rsid w:val="009C14AA"/>
    <w:rsid w:val="00A01489"/>
    <w:rsid w:val="00A32E77"/>
    <w:rsid w:val="00A61CCD"/>
    <w:rsid w:val="00A67338"/>
    <w:rsid w:val="00A72F22"/>
    <w:rsid w:val="00A748A6"/>
    <w:rsid w:val="00A76521"/>
    <w:rsid w:val="00A776B4"/>
    <w:rsid w:val="00A94361"/>
    <w:rsid w:val="00AC1552"/>
    <w:rsid w:val="00B06775"/>
    <w:rsid w:val="00B30179"/>
    <w:rsid w:val="00B56E9C"/>
    <w:rsid w:val="00B64B1F"/>
    <w:rsid w:val="00B6553F"/>
    <w:rsid w:val="00B657D7"/>
    <w:rsid w:val="00B81E12"/>
    <w:rsid w:val="00BC74E9"/>
    <w:rsid w:val="00BF42E6"/>
    <w:rsid w:val="00BF68A8"/>
    <w:rsid w:val="00C3206E"/>
    <w:rsid w:val="00C463DD"/>
    <w:rsid w:val="00C4724C"/>
    <w:rsid w:val="00C475AB"/>
    <w:rsid w:val="00C51E99"/>
    <w:rsid w:val="00C53A77"/>
    <w:rsid w:val="00C6211A"/>
    <w:rsid w:val="00C629A0"/>
    <w:rsid w:val="00C745C3"/>
    <w:rsid w:val="00C75FB9"/>
    <w:rsid w:val="00CA7BCA"/>
    <w:rsid w:val="00CC00AC"/>
    <w:rsid w:val="00CC24D2"/>
    <w:rsid w:val="00CC7EA1"/>
    <w:rsid w:val="00CE4A8F"/>
    <w:rsid w:val="00CF2066"/>
    <w:rsid w:val="00D003DF"/>
    <w:rsid w:val="00D2031B"/>
    <w:rsid w:val="00D218CB"/>
    <w:rsid w:val="00D25FE2"/>
    <w:rsid w:val="00D332F1"/>
    <w:rsid w:val="00D43252"/>
    <w:rsid w:val="00D51E7F"/>
    <w:rsid w:val="00D7767E"/>
    <w:rsid w:val="00D978C6"/>
    <w:rsid w:val="00DA3C1C"/>
    <w:rsid w:val="00E109FB"/>
    <w:rsid w:val="00E63389"/>
    <w:rsid w:val="00E71BC8"/>
    <w:rsid w:val="00E7260F"/>
    <w:rsid w:val="00E96630"/>
    <w:rsid w:val="00EC3557"/>
    <w:rsid w:val="00EC6527"/>
    <w:rsid w:val="00ED32A3"/>
    <w:rsid w:val="00ED3CD8"/>
    <w:rsid w:val="00ED616A"/>
    <w:rsid w:val="00ED7A2A"/>
    <w:rsid w:val="00EF1D7F"/>
    <w:rsid w:val="00F21D5C"/>
    <w:rsid w:val="00F34583"/>
    <w:rsid w:val="00F373FB"/>
    <w:rsid w:val="00F504DF"/>
    <w:rsid w:val="00F611FD"/>
    <w:rsid w:val="00FA271C"/>
    <w:rsid w:val="00FB608C"/>
    <w:rsid w:val="00FC15AD"/>
    <w:rsid w:val="00FC68B7"/>
    <w:rsid w:val="00FE40BA"/>
    <w:rsid w:val="00FF068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65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23650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2365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2365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2365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2365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2365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2365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2365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23650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52365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3650"/>
  </w:style>
  <w:style w:type="paragraph" w:customStyle="1" w:styleId="SingleTxtG">
    <w:name w:val="_ Single Txt_G"/>
    <w:basedOn w:val="Normal"/>
    <w:rsid w:val="00523650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236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236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23650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23650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23650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23650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23650"/>
    <w:rPr>
      <w:color w:val="auto"/>
      <w:u w:val="none"/>
    </w:rPr>
  </w:style>
  <w:style w:type="character" w:styleId="FollowedHyperlink">
    <w:name w:val="FollowedHyperlink"/>
    <w:semiHidden/>
    <w:rsid w:val="00523650"/>
    <w:rPr>
      <w:color w:val="auto"/>
      <w:u w:val="none"/>
    </w:rPr>
  </w:style>
  <w:style w:type="paragraph" w:customStyle="1" w:styleId="SMG">
    <w:name w:val="__S_M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2365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2365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2365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23650"/>
  </w:style>
  <w:style w:type="character" w:styleId="PageNumber">
    <w:name w:val="page number"/>
    <w:aliases w:val="7_G"/>
    <w:rsid w:val="00523650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2365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23650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23650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23650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236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236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semiHidden/>
    <w:rsid w:val="00EC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OHCHR</dc:creator>
  <cp:keywords/>
  <cp:lastModifiedBy>DCM</cp:lastModifiedBy>
  <cp:revision>2</cp:revision>
  <cp:lastPrinted>2012-01-03T15:13:00Z</cp:lastPrinted>
  <dcterms:created xsi:type="dcterms:W3CDTF">2012-01-05T09:03:00Z</dcterms:created>
  <dcterms:modified xsi:type="dcterms:W3CDTF">2012-01-05T09:03:00Z</dcterms:modified>
</cp:coreProperties>
</file>