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14:paraId="70F3A5E4" w14:textId="77777777" w:rsidTr="003B309C">
        <w:trPr>
          <w:cantSplit/>
          <w:trHeight w:hRule="exact" w:val="851"/>
        </w:trPr>
        <w:tc>
          <w:tcPr>
            <w:tcW w:w="1276" w:type="dxa"/>
            <w:tcBorders>
              <w:bottom w:val="single" w:sz="4" w:space="0" w:color="auto"/>
            </w:tcBorders>
            <w:vAlign w:val="bottom"/>
          </w:tcPr>
          <w:p w14:paraId="41691668" w14:textId="77777777" w:rsidR="00C9007B" w:rsidRDefault="00C9007B" w:rsidP="003B309C">
            <w:pPr>
              <w:spacing w:after="80"/>
            </w:pPr>
          </w:p>
        </w:tc>
        <w:tc>
          <w:tcPr>
            <w:tcW w:w="2268" w:type="dxa"/>
            <w:tcBorders>
              <w:bottom w:val="single" w:sz="4" w:space="0" w:color="auto"/>
            </w:tcBorders>
            <w:vAlign w:val="bottom"/>
          </w:tcPr>
          <w:p w14:paraId="778D63F4" w14:textId="77777777" w:rsidR="00C9007B" w:rsidRDefault="00C9007B" w:rsidP="003B309C">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6406F1F" w14:textId="65D9BA88" w:rsidR="00C9007B" w:rsidRDefault="004A1C95" w:rsidP="003B309C">
            <w:pPr>
              <w:suppressAutoHyphens w:val="0"/>
              <w:spacing w:after="20"/>
              <w:jc w:val="right"/>
            </w:pPr>
            <w:r w:rsidRPr="004A1C95">
              <w:rPr>
                <w:sz w:val="40"/>
              </w:rPr>
              <w:t>CRPD</w:t>
            </w:r>
            <w:r>
              <w:t>/C/25/2</w:t>
            </w:r>
            <w:r w:rsidR="0013143F" w:rsidRPr="0013143F">
              <w:rPr>
                <w:rStyle w:val="FootnoteReference"/>
                <w:sz w:val="20"/>
                <w:vertAlign w:val="baseline"/>
              </w:rPr>
              <w:footnoteReference w:customMarkFollows="1" w:id="1"/>
              <w:t>*</w:t>
            </w:r>
          </w:p>
        </w:tc>
      </w:tr>
      <w:tr w:rsidR="00C9007B" w14:paraId="3B983A0F" w14:textId="77777777" w:rsidTr="003B309C">
        <w:trPr>
          <w:cantSplit/>
          <w:trHeight w:hRule="exact" w:val="2835"/>
        </w:trPr>
        <w:tc>
          <w:tcPr>
            <w:tcW w:w="1276" w:type="dxa"/>
            <w:tcBorders>
              <w:top w:val="single" w:sz="4" w:space="0" w:color="auto"/>
              <w:bottom w:val="single" w:sz="12" w:space="0" w:color="auto"/>
            </w:tcBorders>
          </w:tcPr>
          <w:p w14:paraId="4E300D6B" w14:textId="77777777" w:rsidR="00C9007B" w:rsidRDefault="00C9007B" w:rsidP="003B309C">
            <w:pPr>
              <w:spacing w:before="120"/>
              <w:jc w:val="center"/>
            </w:pPr>
            <w:r>
              <w:rPr>
                <w:noProof/>
                <w:lang w:eastAsia="en-GB"/>
              </w:rPr>
              <w:drawing>
                <wp:inline distT="0" distB="0" distL="0" distR="0" wp14:anchorId="40022E4D" wp14:editId="2EB72401">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47FA9CC" w14:textId="77777777" w:rsidR="00C9007B" w:rsidRDefault="00C9007B" w:rsidP="003B309C">
            <w:pPr>
              <w:spacing w:before="120" w:line="380" w:lineRule="exact"/>
              <w:rPr>
                <w:b/>
                <w:sz w:val="34"/>
                <w:szCs w:val="40"/>
              </w:rPr>
            </w:pPr>
            <w:r>
              <w:rPr>
                <w:b/>
                <w:sz w:val="34"/>
                <w:szCs w:val="40"/>
              </w:rPr>
              <w:t>Convention on the Rights</w:t>
            </w:r>
            <w:r>
              <w:rPr>
                <w:b/>
                <w:sz w:val="34"/>
                <w:szCs w:val="40"/>
              </w:rPr>
              <w:br/>
              <w:t>of Persons with Disabilities</w:t>
            </w:r>
          </w:p>
          <w:p w14:paraId="50A1CE7A" w14:textId="77777777" w:rsidR="00C9007B" w:rsidRDefault="00C9007B" w:rsidP="003B309C">
            <w:pPr>
              <w:spacing w:before="120" w:line="420" w:lineRule="exact"/>
            </w:pPr>
          </w:p>
        </w:tc>
        <w:tc>
          <w:tcPr>
            <w:tcW w:w="2835" w:type="dxa"/>
            <w:tcBorders>
              <w:top w:val="single" w:sz="4" w:space="0" w:color="auto"/>
              <w:bottom w:val="single" w:sz="12" w:space="0" w:color="auto"/>
            </w:tcBorders>
          </w:tcPr>
          <w:p w14:paraId="6A7AF037" w14:textId="77777777" w:rsidR="00C9007B" w:rsidRDefault="004A1C95" w:rsidP="003B309C">
            <w:pPr>
              <w:spacing w:before="240"/>
            </w:pPr>
            <w:r>
              <w:t>Distr.: General</w:t>
            </w:r>
          </w:p>
          <w:p w14:paraId="095E5C47" w14:textId="77777777" w:rsidR="004A1C95" w:rsidRDefault="004A1C95" w:rsidP="003B309C">
            <w:pPr>
              <w:suppressAutoHyphens w:val="0"/>
            </w:pPr>
            <w:r>
              <w:t>14 October 2021</w:t>
            </w:r>
          </w:p>
          <w:p w14:paraId="0406D1A9" w14:textId="77777777" w:rsidR="004A1C95" w:rsidRDefault="004A1C95" w:rsidP="003B309C">
            <w:pPr>
              <w:suppressAutoHyphens w:val="0"/>
            </w:pPr>
          </w:p>
          <w:p w14:paraId="14A5E6E9" w14:textId="77777777" w:rsidR="004A1C95" w:rsidRDefault="004A1C95" w:rsidP="003B309C">
            <w:pPr>
              <w:suppressAutoHyphens w:val="0"/>
            </w:pPr>
            <w:r>
              <w:t>Original: English</w:t>
            </w:r>
          </w:p>
        </w:tc>
      </w:tr>
    </w:tbl>
    <w:p w14:paraId="4E6B5787" w14:textId="77777777" w:rsidR="004A1C95" w:rsidRPr="006E3747" w:rsidRDefault="004A1C95" w:rsidP="004A1C95">
      <w:pPr>
        <w:spacing w:before="120"/>
        <w:rPr>
          <w:b/>
          <w:bCs/>
          <w:sz w:val="24"/>
          <w:szCs w:val="24"/>
        </w:rPr>
      </w:pPr>
      <w:r w:rsidRPr="006E3747">
        <w:rPr>
          <w:b/>
          <w:bCs/>
          <w:sz w:val="24"/>
          <w:szCs w:val="24"/>
        </w:rPr>
        <w:t>Committee on the Rights of Persons with Disabilities</w:t>
      </w:r>
    </w:p>
    <w:p w14:paraId="0709A95E" w14:textId="2539593A" w:rsidR="004A1C95" w:rsidRPr="006E3747" w:rsidRDefault="004A1C95" w:rsidP="004A1C95">
      <w:pPr>
        <w:pStyle w:val="HChG"/>
      </w:pPr>
      <w:r w:rsidRPr="006E3747">
        <w:tab/>
      </w:r>
      <w:r w:rsidRPr="006E3747">
        <w:tab/>
        <w:t>Report of the Committee on the Rights of Persons with Disabilities on its twenty-fifth session (16 August–</w:t>
      </w:r>
      <w:r w:rsidR="000F741B">
        <w:br/>
      </w:r>
      <w:r w:rsidRPr="006E3747">
        <w:t>14</w:t>
      </w:r>
      <w:r w:rsidR="000F741B">
        <w:t xml:space="preserve"> </w:t>
      </w:r>
      <w:r w:rsidRPr="006E3747">
        <w:t>September 2021)</w:t>
      </w:r>
    </w:p>
    <w:p w14:paraId="18B32E07" w14:textId="77777777" w:rsidR="004A1C95" w:rsidRPr="006E3747" w:rsidRDefault="004A1C95" w:rsidP="004A1C95">
      <w:pPr>
        <w:pStyle w:val="HChG"/>
      </w:pPr>
      <w:r w:rsidRPr="006E3747">
        <w:tab/>
        <w:t>I.</w:t>
      </w:r>
      <w:r w:rsidRPr="006E3747">
        <w:tab/>
        <w:t>States parties to the Convention and the Optional Protocol thereto</w:t>
      </w:r>
    </w:p>
    <w:p w14:paraId="27F9DD81" w14:textId="77777777" w:rsidR="001E00E5" w:rsidRDefault="004A1C95" w:rsidP="004A1C95">
      <w:pPr>
        <w:pStyle w:val="SingleTxtG"/>
      </w:pPr>
      <w:r w:rsidRPr="006E3747">
        <w:t>1.</w:t>
      </w:r>
      <w:r w:rsidRPr="006E3747">
        <w:tab/>
        <w:t>As at 14 September 2021, the date on which the twenty-fifth session closed, there were 184 States parties to the Convention on the Rights of Persons with Disabilities and 100 States parties to the Optional Protocol thereto. The lists of States parties to these instruments are available on the website of the Office of Legal Affairs of the Secretariat.</w:t>
      </w:r>
    </w:p>
    <w:p w14:paraId="7B1CF95F" w14:textId="66A6CC56" w:rsidR="004A1C95" w:rsidRPr="006E3747" w:rsidRDefault="004A1C95" w:rsidP="004A1C95">
      <w:pPr>
        <w:pStyle w:val="HChG"/>
      </w:pPr>
      <w:r w:rsidRPr="006E3747">
        <w:tab/>
        <w:t>II.</w:t>
      </w:r>
      <w:r w:rsidRPr="006E3747">
        <w:tab/>
        <w:t>Opening of the twenty-fifth session of the Committee</w:t>
      </w:r>
    </w:p>
    <w:p w14:paraId="2197A31B" w14:textId="706CC79A" w:rsidR="004A1C95" w:rsidRPr="006E3747" w:rsidRDefault="004A1C95" w:rsidP="004A1C95">
      <w:pPr>
        <w:pStyle w:val="SingleTxtG"/>
      </w:pPr>
      <w:r w:rsidRPr="006E3747">
        <w:t>2.</w:t>
      </w:r>
      <w:r w:rsidRPr="006E3747">
        <w:tab/>
        <w:t xml:space="preserve">The twenty-fifth session opened in a public meeting with welcoming remarks by the </w:t>
      </w:r>
      <w:r>
        <w:t>D</w:t>
      </w:r>
      <w:r w:rsidRPr="006E3747">
        <w:t>irector</w:t>
      </w:r>
      <w:r>
        <w:t>,</w:t>
      </w:r>
      <w:r w:rsidRPr="006E3747">
        <w:t xml:space="preserve"> </w:t>
      </w:r>
      <w:r>
        <w:t>Human Rights</w:t>
      </w:r>
      <w:r w:rsidRPr="006E3747">
        <w:t xml:space="preserve"> Council and Treat</w:t>
      </w:r>
      <w:r>
        <w:t>y</w:t>
      </w:r>
      <w:r w:rsidRPr="006E3747">
        <w:t xml:space="preserve"> Mechanisms Division</w:t>
      </w:r>
      <w:r>
        <w:t>,</w:t>
      </w:r>
      <w:r w:rsidRPr="006E3747">
        <w:t xml:space="preserve"> Office of the United Nations High Commissioner for Human Rights (OHCHR). </w:t>
      </w:r>
      <w:r>
        <w:t>The welcoming</w:t>
      </w:r>
      <w:r w:rsidRPr="006E3747">
        <w:t xml:space="preserve"> remarks</w:t>
      </w:r>
      <w:r>
        <w:t xml:space="preserve"> and other statements delivered during the session</w:t>
      </w:r>
      <w:r w:rsidRPr="006E3747">
        <w:t xml:space="preserve"> are available on the Committee</w:t>
      </w:r>
      <w:r w:rsidR="001E00E5">
        <w:t>’</w:t>
      </w:r>
      <w:r w:rsidRPr="006E3747">
        <w:t>s website. The Chair delivered an oral report on intersessional activities, which is also available on the Committee</w:t>
      </w:r>
      <w:r w:rsidR="001E00E5">
        <w:t>’</w:t>
      </w:r>
      <w:r w:rsidRPr="006E3747">
        <w:t>s website.</w:t>
      </w:r>
    </w:p>
    <w:p w14:paraId="5159045F" w14:textId="77777777" w:rsidR="004A1C95" w:rsidRPr="00D13F8E" w:rsidRDefault="004A1C95" w:rsidP="004A1C95">
      <w:pPr>
        <w:pStyle w:val="SingleTxtG"/>
        <w:rPr>
          <w:rStyle w:val="FootnoteReference"/>
        </w:rPr>
      </w:pPr>
      <w:r w:rsidRPr="006E3747">
        <w:t>3.</w:t>
      </w:r>
      <w:r w:rsidRPr="006E3747">
        <w:tab/>
        <w:t>The Committee reviewed and adopted the provisional agenda and tentative programme of work for the twenty-fifth session.</w:t>
      </w:r>
      <w:r w:rsidRPr="00D13F8E">
        <w:rPr>
          <w:rStyle w:val="FootnoteReference"/>
        </w:rPr>
        <w:footnoteReference w:id="2"/>
      </w:r>
    </w:p>
    <w:p w14:paraId="5F0987E0" w14:textId="77777777" w:rsidR="004A1C95" w:rsidRPr="006E3747" w:rsidRDefault="004A1C95" w:rsidP="00D813C3">
      <w:pPr>
        <w:pStyle w:val="HChG"/>
      </w:pPr>
      <w:r w:rsidRPr="006E3747">
        <w:tab/>
        <w:t>III.</w:t>
      </w:r>
      <w:r w:rsidRPr="006E3747">
        <w:tab/>
        <w:t>Membership of the Committee</w:t>
      </w:r>
    </w:p>
    <w:p w14:paraId="0BAE94A3" w14:textId="77777777" w:rsidR="004A1C95" w:rsidRPr="006E3747" w:rsidRDefault="004A1C95" w:rsidP="004A1C95">
      <w:pPr>
        <w:pStyle w:val="SingleTxtG"/>
      </w:pPr>
      <w:r w:rsidRPr="006E3747">
        <w:t>4.</w:t>
      </w:r>
      <w:r w:rsidRPr="006E3747">
        <w:tab/>
        <w:t xml:space="preserve">On 18 August 2021, Committee member Soumia Amrani passed away. She </w:t>
      </w:r>
      <w:r>
        <w:t>had been</w:t>
      </w:r>
      <w:r w:rsidRPr="006E3747">
        <w:t xml:space="preserve"> elected to the Committee in 2020 to serve for the </w:t>
      </w:r>
      <w:r>
        <w:t>term</w:t>
      </w:r>
      <w:r w:rsidRPr="006E3747">
        <w:t xml:space="preserve"> 2021</w:t>
      </w:r>
      <w:r>
        <w:t>–</w:t>
      </w:r>
      <w:r w:rsidRPr="006E3747">
        <w:t xml:space="preserve">2024. On 26 August 2021, Morocco was invited to appoint, within two months, another expert from among its nationals, pursuant to </w:t>
      </w:r>
      <w:r>
        <w:t>a</w:t>
      </w:r>
      <w:r w:rsidRPr="006E3747">
        <w:t>rticle 34</w:t>
      </w:r>
      <w:r>
        <w:t xml:space="preserve"> (</w:t>
      </w:r>
      <w:r w:rsidRPr="006E3747">
        <w:t>9</w:t>
      </w:r>
      <w:r>
        <w:t>)</w:t>
      </w:r>
      <w:r w:rsidRPr="006E3747">
        <w:t xml:space="preserve"> of the Convention.</w:t>
      </w:r>
    </w:p>
    <w:p w14:paraId="4388F925" w14:textId="5ACA5C8E" w:rsidR="004A1C95" w:rsidRPr="006E3747" w:rsidRDefault="004A1C95" w:rsidP="004A1C95">
      <w:pPr>
        <w:pStyle w:val="SingleTxtG"/>
      </w:pPr>
      <w:r w:rsidRPr="006E3747">
        <w:t>5.</w:t>
      </w:r>
      <w:r w:rsidRPr="006E3747">
        <w:tab/>
        <w:t>The list of members of the Committee as at 14 September 2021, indicating the duration of their terms of office, is available on the Committee</w:t>
      </w:r>
      <w:r w:rsidR="001E00E5">
        <w:t>’</w:t>
      </w:r>
      <w:r w:rsidRPr="006E3747">
        <w:t>s website.</w:t>
      </w:r>
    </w:p>
    <w:p w14:paraId="1B4CB500" w14:textId="77777777" w:rsidR="004A1C95" w:rsidRPr="006E3747" w:rsidRDefault="004A1C95" w:rsidP="007F3D33">
      <w:pPr>
        <w:pStyle w:val="HChG"/>
      </w:pPr>
      <w:r w:rsidRPr="006E3747">
        <w:lastRenderedPageBreak/>
        <w:tab/>
      </w:r>
      <w:r>
        <w:t>I</w:t>
      </w:r>
      <w:r w:rsidRPr="006E3747">
        <w:t>V.</w:t>
      </w:r>
      <w:r w:rsidRPr="006E3747">
        <w:tab/>
        <w:t>Working methods</w:t>
      </w:r>
    </w:p>
    <w:p w14:paraId="68C8828F" w14:textId="47EE5F54" w:rsidR="004A1C95" w:rsidRPr="006E3747" w:rsidRDefault="009E0443" w:rsidP="007F3D33">
      <w:pPr>
        <w:pStyle w:val="SingleTxtG"/>
        <w:keepNext/>
        <w:keepLines/>
      </w:pPr>
      <w:r>
        <w:t>6</w:t>
      </w:r>
      <w:r w:rsidR="004A1C95" w:rsidRPr="006E3747">
        <w:t>.</w:t>
      </w:r>
      <w:r w:rsidR="004A1C95" w:rsidRPr="006E3747">
        <w:tab/>
        <w:t>The Committee discussed various issues related to its working methods.</w:t>
      </w:r>
    </w:p>
    <w:p w14:paraId="6F45A5AD" w14:textId="77777777" w:rsidR="004A1C95" w:rsidRPr="006E3747" w:rsidRDefault="004A1C95" w:rsidP="0025529E">
      <w:pPr>
        <w:pStyle w:val="HChG"/>
      </w:pPr>
      <w:r w:rsidRPr="006E3747">
        <w:tab/>
        <w:t>V.</w:t>
      </w:r>
      <w:r w:rsidRPr="006E3747">
        <w:tab/>
      </w:r>
      <w:r w:rsidRPr="0025529E">
        <w:t>Activities</w:t>
      </w:r>
      <w:r w:rsidRPr="006E3747">
        <w:t xml:space="preserve"> related to general comments</w:t>
      </w:r>
    </w:p>
    <w:p w14:paraId="7829E6E8" w14:textId="13E45D79" w:rsidR="001E00E5" w:rsidRDefault="009E0443" w:rsidP="004A1C95">
      <w:pPr>
        <w:pStyle w:val="SingleTxtG"/>
      </w:pPr>
      <w:r>
        <w:t>7</w:t>
      </w:r>
      <w:r w:rsidR="004A1C95" w:rsidRPr="006E3747">
        <w:t>.</w:t>
      </w:r>
      <w:r w:rsidR="004A1C95" w:rsidRPr="006E3747">
        <w:tab/>
        <w:t xml:space="preserve">The Committee continued its work to prepare a general comment on article 27 of the Convention, on the right to work and employment. It held two closed meetings for general discussion on the subject and adopted </w:t>
      </w:r>
      <w:r w:rsidR="004A1C95">
        <w:t>a</w:t>
      </w:r>
      <w:r w:rsidR="004A1C95" w:rsidRPr="006E3747">
        <w:t xml:space="preserve"> draft </w:t>
      </w:r>
      <w:r w:rsidR="004A1C95">
        <w:t xml:space="preserve">of </w:t>
      </w:r>
      <w:r w:rsidR="004A1C95" w:rsidRPr="006E3747">
        <w:t>general comment No. 8. The draft will be posted on the Committee</w:t>
      </w:r>
      <w:r w:rsidR="001E00E5">
        <w:t>’</w:t>
      </w:r>
      <w:r w:rsidR="004A1C95" w:rsidRPr="006E3747">
        <w:t xml:space="preserve">s website for broad consultation </w:t>
      </w:r>
      <w:r w:rsidR="004A1C95">
        <w:t>in October</w:t>
      </w:r>
      <w:r w:rsidR="004A1C95" w:rsidRPr="006E3747">
        <w:t xml:space="preserve"> 2021.</w:t>
      </w:r>
    </w:p>
    <w:p w14:paraId="21AFB82E" w14:textId="37B364AC" w:rsidR="004A1C95" w:rsidRPr="006E3747" w:rsidRDefault="004A1C95" w:rsidP="007F3D33">
      <w:pPr>
        <w:pStyle w:val="HChG"/>
      </w:pPr>
      <w:r w:rsidRPr="006E3747">
        <w:tab/>
        <w:t>VI.</w:t>
      </w:r>
      <w:r w:rsidRPr="006E3747">
        <w:tab/>
        <w:t>Activities related to the Optional Protocol</w:t>
      </w:r>
    </w:p>
    <w:p w14:paraId="6D39858A" w14:textId="220A63D4" w:rsidR="004A1C95" w:rsidRPr="006E3747" w:rsidRDefault="009E0443" w:rsidP="004A1C95">
      <w:pPr>
        <w:pStyle w:val="SingleTxtG"/>
      </w:pPr>
      <w:r>
        <w:t>8</w:t>
      </w:r>
      <w:r w:rsidR="004A1C95" w:rsidRPr="006E3747" w:rsidDel="004C259F">
        <w:t>.</w:t>
      </w:r>
      <w:r w:rsidR="004A1C95" w:rsidRPr="006E3747" w:rsidDel="004C259F">
        <w:tab/>
      </w:r>
      <w:r w:rsidR="004A1C95" w:rsidRPr="006E3747">
        <w:t xml:space="preserve">The Committee examined four communications. It found violations of the Convention in two of them: </w:t>
      </w:r>
      <w:r w:rsidR="004A1C95" w:rsidRPr="006E3747">
        <w:rPr>
          <w:i/>
        </w:rPr>
        <w:t>Rékasi v. Hungary</w:t>
      </w:r>
      <w:r w:rsidR="004A1C95" w:rsidRPr="006E3747">
        <w:t>,</w:t>
      </w:r>
      <w:r w:rsidR="004A1C95" w:rsidRPr="00D13F8E">
        <w:rPr>
          <w:rStyle w:val="FootnoteReference"/>
        </w:rPr>
        <w:footnoteReference w:id="3"/>
      </w:r>
      <w:r w:rsidR="004A1C95" w:rsidRPr="0025529E">
        <w:t xml:space="preserve"> </w:t>
      </w:r>
      <w:r w:rsidR="004A1C95" w:rsidRPr="006E3747">
        <w:t xml:space="preserve">regarding the </w:t>
      </w:r>
      <w:r w:rsidR="004A1C95">
        <w:t>author</w:t>
      </w:r>
      <w:r w:rsidR="001E00E5">
        <w:t>’</w:t>
      </w:r>
      <w:r w:rsidR="004A1C95">
        <w:t xml:space="preserve">s </w:t>
      </w:r>
      <w:r w:rsidR="004A1C95" w:rsidRPr="006E3747">
        <w:t>exercise of legal capacity in financial matters</w:t>
      </w:r>
      <w:r w:rsidR="004A1C95">
        <w:t>;</w:t>
      </w:r>
      <w:r w:rsidR="004A1C95" w:rsidRPr="006E3747">
        <w:t xml:space="preserve"> and </w:t>
      </w:r>
      <w:r w:rsidR="004A1C95" w:rsidRPr="00C35B96">
        <w:rPr>
          <w:i/>
          <w:iCs/>
        </w:rPr>
        <w:t>Z.H. v. Sweden</w:t>
      </w:r>
      <w:r w:rsidR="004A1C95" w:rsidRPr="006E3747">
        <w:t>,</w:t>
      </w:r>
      <w:r w:rsidR="004A1C95" w:rsidRPr="00D13F8E">
        <w:rPr>
          <w:rStyle w:val="FootnoteReference"/>
        </w:rPr>
        <w:footnoteReference w:id="4"/>
      </w:r>
      <w:r w:rsidR="004A1C95" w:rsidRPr="00D13F8E">
        <w:rPr>
          <w:rStyle w:val="FootnoteReference"/>
        </w:rPr>
        <w:t xml:space="preserve"> </w:t>
      </w:r>
      <w:r w:rsidR="004A1C95" w:rsidRPr="006E3747">
        <w:t xml:space="preserve">concerning the deportation of the author to Afghanistan where he would risk not having access to adequate medical treatment. The Committee decided to discontinue the consideration of </w:t>
      </w:r>
      <w:r w:rsidR="004A1C95">
        <w:t xml:space="preserve">the other </w:t>
      </w:r>
      <w:r w:rsidR="004A1C95" w:rsidRPr="006E3747">
        <w:t>two communications</w:t>
      </w:r>
      <w:r w:rsidR="004A1C95">
        <w:t>,</w:t>
      </w:r>
      <w:r w:rsidR="004A1C95" w:rsidRPr="006E3747">
        <w:t xml:space="preserve"> </w:t>
      </w:r>
      <w:r w:rsidR="004A1C95">
        <w:rPr>
          <w:i/>
          <w:iCs/>
        </w:rPr>
        <w:t>M.S. v. Sweden</w:t>
      </w:r>
      <w:r w:rsidR="004A1C95">
        <w:t xml:space="preserve"> and </w:t>
      </w:r>
      <w:r w:rsidR="004A1C95">
        <w:rPr>
          <w:i/>
          <w:iCs/>
        </w:rPr>
        <w:t>A.S. v. Sweden</w:t>
      </w:r>
      <w:r w:rsidR="004A1C95">
        <w:t>,</w:t>
      </w:r>
      <w:r w:rsidR="004A1C95" w:rsidRPr="00D13F8E">
        <w:rPr>
          <w:rStyle w:val="FootnoteReference"/>
        </w:rPr>
        <w:footnoteReference w:id="5"/>
      </w:r>
      <w:r w:rsidR="004A1C95" w:rsidRPr="00D13F8E">
        <w:rPr>
          <w:rStyle w:val="FootnoteReference"/>
        </w:rPr>
        <w:t xml:space="preserve"> </w:t>
      </w:r>
      <w:r w:rsidR="004A1C95" w:rsidRPr="006E3747">
        <w:t xml:space="preserve">as the expulsion decisions against the authors </w:t>
      </w:r>
      <w:r w:rsidR="004A1C95">
        <w:t xml:space="preserve">had </w:t>
      </w:r>
      <w:r w:rsidR="004A1C95" w:rsidRPr="006E3747">
        <w:t>bec</w:t>
      </w:r>
      <w:r w:rsidR="004A1C95">
        <w:t>o</w:t>
      </w:r>
      <w:r w:rsidR="004A1C95" w:rsidRPr="006E3747">
        <w:t xml:space="preserve">me statute-barred and they no longer </w:t>
      </w:r>
      <w:r w:rsidR="004A1C95">
        <w:t xml:space="preserve">faced </w:t>
      </w:r>
      <w:r w:rsidR="004A1C95" w:rsidRPr="006E3747">
        <w:t>a risk of being returned to Afghanistan.</w:t>
      </w:r>
    </w:p>
    <w:p w14:paraId="75D79EAF" w14:textId="57363C5B" w:rsidR="001E00E5" w:rsidRDefault="009E0443" w:rsidP="004A1C95">
      <w:pPr>
        <w:pStyle w:val="SingleTxtG"/>
      </w:pPr>
      <w:r>
        <w:t>9</w:t>
      </w:r>
      <w:r w:rsidR="004A1C95" w:rsidRPr="006E3747">
        <w:t>.</w:t>
      </w:r>
      <w:r w:rsidR="004A1C95" w:rsidRPr="006E3747">
        <w:tab/>
        <w:t>The Views and decisions adopted by the Committee regarding the communications will be made available on the Committee</w:t>
      </w:r>
      <w:r w:rsidR="001E00E5">
        <w:t>’</w:t>
      </w:r>
      <w:r w:rsidR="004A1C95" w:rsidRPr="006E3747">
        <w:t>s website.</w:t>
      </w:r>
    </w:p>
    <w:p w14:paraId="67F4F579" w14:textId="7A8C5CF8" w:rsidR="004A1C95" w:rsidRPr="006E3747" w:rsidRDefault="004A1C95" w:rsidP="00F409BB">
      <w:pPr>
        <w:pStyle w:val="HChG"/>
      </w:pPr>
      <w:r w:rsidRPr="006E3747">
        <w:tab/>
        <w:t>VII.</w:t>
      </w:r>
      <w:r w:rsidRPr="006E3747">
        <w:tab/>
        <w:t>Other decisions</w:t>
      </w:r>
    </w:p>
    <w:p w14:paraId="6394DE3E" w14:textId="2D9848E1" w:rsidR="001E00E5" w:rsidRDefault="004A1C95" w:rsidP="004A1C95">
      <w:pPr>
        <w:pStyle w:val="SingleTxtG"/>
      </w:pPr>
      <w:r w:rsidRPr="006E3747">
        <w:t>1</w:t>
      </w:r>
      <w:r w:rsidR="009E0443">
        <w:t>0</w:t>
      </w:r>
      <w:r w:rsidRPr="006E3747">
        <w:t>.</w:t>
      </w:r>
      <w:r w:rsidRPr="006E3747">
        <w:tab/>
        <w:t>The Committee adopted the present report on its twenty-fifth session.</w:t>
      </w:r>
    </w:p>
    <w:p w14:paraId="55B263F0" w14:textId="5344175B" w:rsidR="004A1C95" w:rsidRPr="006E3747" w:rsidRDefault="004A1C95" w:rsidP="004A1C95">
      <w:pPr>
        <w:pStyle w:val="SingleTxtG"/>
      </w:pPr>
      <w:r w:rsidRPr="006E3747">
        <w:t>1</w:t>
      </w:r>
      <w:r w:rsidR="009E0443">
        <w:t>1</w:t>
      </w:r>
      <w:r w:rsidRPr="006E3747">
        <w:t>.</w:t>
      </w:r>
      <w:r w:rsidRPr="006E3747">
        <w:tab/>
        <w:t>The full list of the decisions adopted by the Committee is available in the annex</w:t>
      </w:r>
      <w:r>
        <w:t xml:space="preserve"> I</w:t>
      </w:r>
      <w:r w:rsidRPr="006E3747">
        <w:t xml:space="preserve"> to the present report.</w:t>
      </w:r>
    </w:p>
    <w:p w14:paraId="37B0DDFB" w14:textId="77777777" w:rsidR="004A1C95" w:rsidRPr="006E3747" w:rsidRDefault="004A1C95" w:rsidP="00F409BB">
      <w:pPr>
        <w:pStyle w:val="HChG"/>
      </w:pPr>
      <w:r w:rsidRPr="006E3747">
        <w:tab/>
      </w:r>
      <w:r>
        <w:t>VIII</w:t>
      </w:r>
      <w:r w:rsidRPr="006E3747">
        <w:t>.</w:t>
      </w:r>
      <w:r w:rsidRPr="006E3747">
        <w:tab/>
        <w:t>Future sessions</w:t>
      </w:r>
    </w:p>
    <w:p w14:paraId="1740C053" w14:textId="309BE4BF" w:rsidR="004A1C95" w:rsidRPr="006E3747" w:rsidRDefault="004A1C95" w:rsidP="004A1C95">
      <w:pPr>
        <w:pStyle w:val="SingleTxtG"/>
      </w:pPr>
      <w:r w:rsidRPr="006E3747">
        <w:t>1</w:t>
      </w:r>
      <w:r w:rsidR="009E0443">
        <w:t>2</w:t>
      </w:r>
      <w:r w:rsidRPr="006E3747">
        <w:t>.</w:t>
      </w:r>
      <w:r w:rsidRPr="006E3747">
        <w:tab/>
        <w:t xml:space="preserve">The twenty-sixth session of the Committee is provisionally scheduled to be held in Geneva from 7 to 25 March 2022 and will be followed by the fifteenth meeting of the pre-sessional working group, from 28 March to 1 April 2022. In the context of the coronavirus disease (COVID-19) pandemic, OHCHR will continue </w:t>
      </w:r>
      <w:r>
        <w:t xml:space="preserve">to </w:t>
      </w:r>
      <w:r w:rsidRPr="006E3747">
        <w:t>assess whether in-person sessions of treaty bodies may take place. In the event that an in-person session is not possible, the Chair, with the support of the Secretary, will decide on the appropriate course of action.</w:t>
      </w:r>
    </w:p>
    <w:p w14:paraId="2A1EF756" w14:textId="18091395" w:rsidR="004A1C95" w:rsidRPr="006E3747" w:rsidRDefault="004A1C95" w:rsidP="00F409BB">
      <w:pPr>
        <w:pStyle w:val="HChG"/>
      </w:pPr>
      <w:r w:rsidRPr="006E3747">
        <w:tab/>
      </w:r>
      <w:r>
        <w:t>I</w:t>
      </w:r>
      <w:r w:rsidRPr="006E3747">
        <w:t>X.</w:t>
      </w:r>
      <w:r w:rsidRPr="006E3747">
        <w:tab/>
        <w:t>Accessibility of the Committee</w:t>
      </w:r>
      <w:r w:rsidR="001E00E5">
        <w:t>’</w:t>
      </w:r>
      <w:r w:rsidRPr="006E3747">
        <w:t>s meetings</w:t>
      </w:r>
    </w:p>
    <w:p w14:paraId="01036727" w14:textId="7B83A205" w:rsidR="004A1C95" w:rsidRPr="006E3747" w:rsidRDefault="004A1C95" w:rsidP="004A1C95">
      <w:pPr>
        <w:pStyle w:val="SingleTxtG"/>
      </w:pPr>
      <w:r w:rsidRPr="006E3747">
        <w:t>1</w:t>
      </w:r>
      <w:r w:rsidR="009E0443">
        <w:t>3</w:t>
      </w:r>
      <w:r w:rsidRPr="006E3747">
        <w:t>.</w:t>
      </w:r>
      <w:r w:rsidRPr="006E3747">
        <w:tab/>
        <w:t xml:space="preserve">The twenty-fifth session of the Committee was held virtually. Members and participants used an online platform for simultaneous interpretation in the three working languages of the Committee </w:t>
      </w:r>
      <w:r>
        <w:t>(</w:t>
      </w:r>
      <w:r w:rsidRPr="006E3747">
        <w:t>English, French and Spanish</w:t>
      </w:r>
      <w:r>
        <w:t>)</w:t>
      </w:r>
      <w:r w:rsidRPr="006E3747">
        <w:t xml:space="preserve">. International Sign interpretation, French Sign Language </w:t>
      </w:r>
      <w:r>
        <w:t>i</w:t>
      </w:r>
      <w:r w:rsidRPr="006E3747">
        <w:t xml:space="preserve">nterpretation and remote captioning in English and French were also available. Public meetings were webcast. Despite the online platform being more accessible to persons with disabilities than that used during the </w:t>
      </w:r>
      <w:r>
        <w:t>twenty-third</w:t>
      </w:r>
      <w:r w:rsidRPr="006E3747">
        <w:t xml:space="preserve"> session, particularly for persons with visual disabilities, certain members were still obliged to depend on the support of personal assistants to participate in the meetings on an equal basis with others. Only a few personal assistants of members with disabilities qualified for compensation for their work under the United Nations rules governing travel. OHCHR is making additional efforts to </w:t>
      </w:r>
      <w:r w:rsidRPr="006E3747">
        <w:lastRenderedPageBreak/>
        <w:t>provide reasonable accommodation for members who require it during future online sessions. No plain language, Easy Read or Braille versions of documents were available during the session.</w:t>
      </w:r>
    </w:p>
    <w:p w14:paraId="7A98EC86" w14:textId="77777777" w:rsidR="004A1C95" w:rsidRPr="006E3747" w:rsidRDefault="004A1C95" w:rsidP="00F409BB">
      <w:pPr>
        <w:pStyle w:val="HChG"/>
      </w:pPr>
      <w:r w:rsidRPr="006E3747">
        <w:tab/>
        <w:t>X.</w:t>
      </w:r>
      <w:r w:rsidRPr="006E3747">
        <w:tab/>
        <w:t>Cooperation with relevant bodies</w:t>
      </w:r>
    </w:p>
    <w:p w14:paraId="57B6DB13" w14:textId="77777777" w:rsidR="004A1C95" w:rsidRPr="006E3747" w:rsidRDefault="004A1C95" w:rsidP="00F409BB">
      <w:pPr>
        <w:pStyle w:val="H1G"/>
      </w:pPr>
      <w:r w:rsidRPr="006E3747">
        <w:tab/>
        <w:t>A.</w:t>
      </w:r>
      <w:r w:rsidRPr="006E3747">
        <w:tab/>
        <w:t>Cooperation with United Nations organs and specialized agencies</w:t>
      </w:r>
    </w:p>
    <w:p w14:paraId="1CFF39CD" w14:textId="7F4451C9" w:rsidR="004A1C95" w:rsidRPr="006E3747" w:rsidRDefault="004A1C95" w:rsidP="004A1C95">
      <w:pPr>
        <w:pStyle w:val="SingleTxtG"/>
      </w:pPr>
      <w:r w:rsidRPr="006E3747">
        <w:t>1</w:t>
      </w:r>
      <w:r w:rsidR="009E0443">
        <w:t>4</w:t>
      </w:r>
      <w:r w:rsidRPr="006E3747">
        <w:t>.</w:t>
      </w:r>
      <w:r w:rsidRPr="006E3747">
        <w:tab/>
        <w:t>At the opening meeting of the session, representatives of the following United Nations agencies, departments</w:t>
      </w:r>
      <w:r>
        <w:t xml:space="preserve"> and</w:t>
      </w:r>
      <w:r w:rsidRPr="006E3747">
        <w:t xml:space="preserve"> programmes made statements: the United Nations Office for Disaster Risk Reduction, the United Nations Population Fund, the United Nations Children</w:t>
      </w:r>
      <w:r w:rsidR="001E00E5">
        <w:t>’</w:t>
      </w:r>
      <w:r w:rsidRPr="006E3747">
        <w:t xml:space="preserve">s Fund and the International Labour Organization. </w:t>
      </w:r>
      <w:r>
        <w:t>T</w:t>
      </w:r>
      <w:r w:rsidRPr="006E3747">
        <w:t>he Special Envoy of the Secretary</w:t>
      </w:r>
      <w:r>
        <w:t>-</w:t>
      </w:r>
      <w:r w:rsidRPr="006E3747">
        <w:t xml:space="preserve">General on Disability and Accessibility </w:t>
      </w:r>
      <w:r>
        <w:t>also made a statement, in a pre-recorded</w:t>
      </w:r>
      <w:r w:rsidRPr="006E3747">
        <w:t xml:space="preserve"> video message</w:t>
      </w:r>
      <w:r>
        <w:t>.</w:t>
      </w:r>
    </w:p>
    <w:p w14:paraId="06593568" w14:textId="2BB61949" w:rsidR="004A1C95" w:rsidRPr="006E3747" w:rsidRDefault="004A1C95" w:rsidP="004A1C95">
      <w:pPr>
        <w:pStyle w:val="SingleTxtG"/>
      </w:pPr>
      <w:r w:rsidRPr="006E3747">
        <w:t>1</w:t>
      </w:r>
      <w:r w:rsidR="009E0443">
        <w:t>5</w:t>
      </w:r>
      <w:r w:rsidRPr="006E3747">
        <w:t>.</w:t>
      </w:r>
      <w:r w:rsidRPr="006E3747">
        <w:tab/>
        <w:t xml:space="preserve">The Chair of the Human Rights Council task force on secretariat services, accessibility for persons with disabilities and use of information technology delivered a statement, providing an update on activities undertaken to promote accessibility in </w:t>
      </w:r>
      <w:r>
        <w:t xml:space="preserve">meetings of the </w:t>
      </w:r>
      <w:r w:rsidRPr="006E3747">
        <w:t>Council.</w:t>
      </w:r>
    </w:p>
    <w:p w14:paraId="276298A5" w14:textId="62AE2F2A" w:rsidR="004A1C95" w:rsidRPr="006E3747" w:rsidRDefault="004A1C95" w:rsidP="004A1C95">
      <w:pPr>
        <w:pStyle w:val="SingleTxtG"/>
      </w:pPr>
      <w:r w:rsidRPr="006E3747">
        <w:t>1</w:t>
      </w:r>
      <w:r w:rsidR="009E0443">
        <w:t>6</w:t>
      </w:r>
      <w:r w:rsidRPr="006E3747">
        <w:t>.</w:t>
      </w:r>
      <w:r w:rsidRPr="006E3747">
        <w:tab/>
        <w:t>The Bureau of the Committee met with the Special Rapporteur on the rights of persons with disabilities to discuss topics of common interest and the status of his thematic reports. The discussion focused on a coordinated approach to future work and the content of the Special Rapporteur</w:t>
      </w:r>
      <w:r w:rsidR="001E00E5">
        <w:t>’</w:t>
      </w:r>
      <w:r w:rsidRPr="006E3747">
        <w:t>s next reports.</w:t>
      </w:r>
    </w:p>
    <w:p w14:paraId="0C86BED2" w14:textId="6DF01DA1" w:rsidR="004A1C95" w:rsidRPr="006E3747" w:rsidRDefault="004A1C95" w:rsidP="004A1C95">
      <w:pPr>
        <w:pStyle w:val="SingleTxtG"/>
      </w:pPr>
      <w:r w:rsidRPr="006E3747">
        <w:t>1</w:t>
      </w:r>
      <w:r w:rsidR="009E0443">
        <w:t>7</w:t>
      </w:r>
      <w:r w:rsidRPr="006E3747">
        <w:t>.</w:t>
      </w:r>
      <w:r w:rsidRPr="006E3747">
        <w:tab/>
        <w:t xml:space="preserve">The Bureau </w:t>
      </w:r>
      <w:r>
        <w:t>also</w:t>
      </w:r>
      <w:r w:rsidRPr="006E3747">
        <w:t xml:space="preserve"> met with the OHCHR Human Rights and Disability Advis</w:t>
      </w:r>
      <w:r>
        <w:t>e</w:t>
      </w:r>
      <w:r w:rsidRPr="006E3747">
        <w:t>r to discuss enhanced coordination.</w:t>
      </w:r>
    </w:p>
    <w:p w14:paraId="7A426A08" w14:textId="32E3CD9A" w:rsidR="001E00E5" w:rsidRDefault="004A1C95" w:rsidP="004A1C95">
      <w:pPr>
        <w:pStyle w:val="SingleTxtG"/>
      </w:pPr>
      <w:r w:rsidRPr="006E3747">
        <w:t>1</w:t>
      </w:r>
      <w:r w:rsidR="009E0443">
        <w:t>8</w:t>
      </w:r>
      <w:r w:rsidRPr="006E3747">
        <w:t xml:space="preserve">. </w:t>
      </w:r>
      <w:r w:rsidRPr="006E3747">
        <w:tab/>
        <w:t>At the closing meeting of the session</w:t>
      </w:r>
      <w:r>
        <w:t>,</w:t>
      </w:r>
      <w:r w:rsidRPr="006E3747">
        <w:t xml:space="preserve"> the following United Nations agencies</w:t>
      </w:r>
      <w:r>
        <w:t>, departments and programmes</w:t>
      </w:r>
      <w:r w:rsidRPr="006E3747">
        <w:t xml:space="preserve"> </w:t>
      </w:r>
      <w:r>
        <w:t>made</w:t>
      </w:r>
      <w:r w:rsidRPr="006E3747">
        <w:t xml:space="preserve"> statements: United Nations Mine Action Service (</w:t>
      </w:r>
      <w:r>
        <w:t>pre-recorded</w:t>
      </w:r>
      <w:r w:rsidRPr="006E3747">
        <w:t xml:space="preserve"> video statement), the World Health Organization, the United Nations Entity for Gender Equality and the Empowerment of Women (UN-Women), the International Telecommunication Union and the World Intellectual Property Organization. The </w:t>
      </w:r>
      <w:r>
        <w:t>film entitled</w:t>
      </w:r>
      <w:r w:rsidRPr="006E3747">
        <w:t xml:space="preserve"> </w:t>
      </w:r>
      <w:r w:rsidR="001E00E5">
        <w:t>“</w:t>
      </w:r>
      <w:r w:rsidRPr="006E3747">
        <w:t xml:space="preserve">For </w:t>
      </w:r>
      <w:r>
        <w:t>i</w:t>
      </w:r>
      <w:r w:rsidRPr="006E3747">
        <w:t xml:space="preserve">nclusive </w:t>
      </w:r>
      <w:r>
        <w:t>q</w:t>
      </w:r>
      <w:r w:rsidRPr="006E3747">
        <w:t xml:space="preserve">uality </w:t>
      </w:r>
      <w:r>
        <w:t>p</w:t>
      </w:r>
      <w:r w:rsidRPr="006E3747">
        <w:t xml:space="preserve">olice </w:t>
      </w:r>
      <w:r>
        <w:t>s</w:t>
      </w:r>
      <w:r w:rsidRPr="006E3747">
        <w:t xml:space="preserve">ervices for </w:t>
      </w:r>
      <w:r>
        <w:t>p</w:t>
      </w:r>
      <w:r w:rsidRPr="006E3747">
        <w:t xml:space="preserve">ersons with </w:t>
      </w:r>
      <w:r>
        <w:t>d</w:t>
      </w:r>
      <w:r w:rsidRPr="006E3747">
        <w:t>isabilities</w:t>
      </w:r>
      <w:r w:rsidR="001E00E5">
        <w:t>”</w:t>
      </w:r>
      <w:r>
        <w:t>, produced by</w:t>
      </w:r>
      <w:r w:rsidRPr="006E3747">
        <w:t xml:space="preserve"> the Special Envoy of the Secretary</w:t>
      </w:r>
      <w:r>
        <w:t>-</w:t>
      </w:r>
      <w:r w:rsidRPr="006E3747">
        <w:t xml:space="preserve">General on </w:t>
      </w:r>
      <w:r>
        <w:t>D</w:t>
      </w:r>
      <w:r w:rsidRPr="006E3747">
        <w:t xml:space="preserve">isability and </w:t>
      </w:r>
      <w:r>
        <w:t>A</w:t>
      </w:r>
      <w:r w:rsidRPr="006E3747">
        <w:t>ccessibility</w:t>
      </w:r>
      <w:r>
        <w:t>,</w:t>
      </w:r>
      <w:r w:rsidRPr="006E3747">
        <w:t xml:space="preserve"> was also shown.</w:t>
      </w:r>
    </w:p>
    <w:p w14:paraId="28E1F186" w14:textId="45E2B02C" w:rsidR="001E00E5" w:rsidRDefault="009E0443" w:rsidP="004A1C95">
      <w:pPr>
        <w:pStyle w:val="SingleTxtG"/>
      </w:pPr>
      <w:r>
        <w:t>19</w:t>
      </w:r>
      <w:r w:rsidR="004A1C95" w:rsidRPr="006E3747">
        <w:t xml:space="preserve">. </w:t>
      </w:r>
      <w:r w:rsidR="004A1C95" w:rsidRPr="006E3747">
        <w:tab/>
      </w:r>
      <w:proofErr w:type="gramStart"/>
      <w:r w:rsidR="004A1C95" w:rsidRPr="006E3747">
        <w:t>A</w:t>
      </w:r>
      <w:r w:rsidR="004A1C95">
        <w:t>lso</w:t>
      </w:r>
      <w:proofErr w:type="gramEnd"/>
      <w:r w:rsidR="004A1C95">
        <w:t xml:space="preserve"> a</w:t>
      </w:r>
      <w:r w:rsidR="004A1C95" w:rsidRPr="006E3747">
        <w:t xml:space="preserve">t </w:t>
      </w:r>
      <w:r w:rsidR="004A1C95">
        <w:t>the</w:t>
      </w:r>
      <w:r w:rsidR="004A1C95" w:rsidRPr="006E3747">
        <w:t xml:space="preserve"> closing meeting, the Director</w:t>
      </w:r>
      <w:r w:rsidR="004A1C95">
        <w:t>,</w:t>
      </w:r>
      <w:r w:rsidR="004A1C95" w:rsidRPr="006E3747">
        <w:t xml:space="preserve"> Division of Conference Management</w:t>
      </w:r>
      <w:r w:rsidR="004A1C95">
        <w:t>,</w:t>
      </w:r>
      <w:r w:rsidR="004A1C95" w:rsidRPr="006E3747">
        <w:t xml:space="preserve"> and the Chief</w:t>
      </w:r>
      <w:r w:rsidR="004A1C95">
        <w:t>,</w:t>
      </w:r>
      <w:r w:rsidR="004A1C95" w:rsidRPr="006E3747">
        <w:t xml:space="preserve"> Language</w:t>
      </w:r>
      <w:r w:rsidR="004A1C95">
        <w:t>s</w:t>
      </w:r>
      <w:r w:rsidR="004A1C95" w:rsidRPr="006E3747">
        <w:t xml:space="preserve"> Service</w:t>
      </w:r>
      <w:r w:rsidR="004A1C95">
        <w:t>, Division of Conference Management,</w:t>
      </w:r>
      <w:r w:rsidR="004A1C95" w:rsidRPr="006E3747">
        <w:t xml:space="preserve"> United Nations Office at Geneva</w:t>
      </w:r>
      <w:r w:rsidR="004A1C95">
        <w:t>,</w:t>
      </w:r>
      <w:r w:rsidR="004A1C95" w:rsidRPr="006E3747">
        <w:t xml:space="preserve"> addressed the Committee and presented the Disability</w:t>
      </w:r>
      <w:r w:rsidR="004A1C95">
        <w:t>-</w:t>
      </w:r>
      <w:r w:rsidR="004A1C95" w:rsidRPr="006E3747">
        <w:t xml:space="preserve">Inclusive Language Guidelines. The Guidelines </w:t>
      </w:r>
      <w:r w:rsidR="004A1C95">
        <w:t>were</w:t>
      </w:r>
      <w:r w:rsidR="004A1C95" w:rsidRPr="006E3747">
        <w:t xml:space="preserve"> available in the six official languages of the United Nations.</w:t>
      </w:r>
    </w:p>
    <w:p w14:paraId="7F49436D" w14:textId="60EAC059" w:rsidR="004A1C95" w:rsidRPr="006E3747" w:rsidRDefault="004A1C95" w:rsidP="00F409BB">
      <w:pPr>
        <w:pStyle w:val="H1G"/>
      </w:pPr>
      <w:r w:rsidRPr="006E3747">
        <w:tab/>
        <w:t>B.</w:t>
      </w:r>
      <w:r w:rsidRPr="006E3747">
        <w:tab/>
        <w:t>Cooperation with non-governmental organizations and other bodies</w:t>
      </w:r>
    </w:p>
    <w:p w14:paraId="0B520D75" w14:textId="60A399AA" w:rsidR="001E00E5" w:rsidRDefault="004A1C95" w:rsidP="004A1C95">
      <w:pPr>
        <w:pStyle w:val="SingleTxtG"/>
      </w:pPr>
      <w:r w:rsidRPr="006E3747">
        <w:t>2</w:t>
      </w:r>
      <w:r w:rsidR="009E0443">
        <w:t>0</w:t>
      </w:r>
      <w:r w:rsidRPr="006E3747">
        <w:t>.</w:t>
      </w:r>
      <w:r w:rsidRPr="006E3747">
        <w:tab/>
        <w:t>At the opening meeting of the session, the Committee was addressed by representatives of the Confederación Mexicana de Organizaciones</w:t>
      </w:r>
      <w:r w:rsidRPr="006E3747" w:rsidDel="0060248C">
        <w:t xml:space="preserve"> </w:t>
      </w:r>
      <w:r>
        <w:t>en</w:t>
      </w:r>
      <w:r w:rsidRPr="006E3747">
        <w:t xml:space="preserve"> Favor de la Persona con Discapacidad Intelectual, the International Disability and Development Consortium and the International Disability Alliance.</w:t>
      </w:r>
    </w:p>
    <w:p w14:paraId="50A2467F" w14:textId="7B959B8A" w:rsidR="004A1C95" w:rsidRPr="006E3747" w:rsidRDefault="004A1C95" w:rsidP="004A1C95">
      <w:pPr>
        <w:pStyle w:val="SingleTxtG"/>
      </w:pPr>
      <w:r w:rsidRPr="006E3747">
        <w:t>2</w:t>
      </w:r>
      <w:r w:rsidR="009E0443">
        <w:t>1</w:t>
      </w:r>
      <w:r w:rsidRPr="006E3747">
        <w:t>.</w:t>
      </w:r>
      <w:r w:rsidRPr="006E3747">
        <w:tab/>
        <w:t>The independent monitoring mechanism</w:t>
      </w:r>
      <w:r>
        <w:t xml:space="preserve"> of France</w:t>
      </w:r>
      <w:r w:rsidRPr="006E3747">
        <w:t xml:space="preserve"> under article 33 (2) of the Convention, the </w:t>
      </w:r>
      <w:r>
        <w:t>Defender of Rights</w:t>
      </w:r>
      <w:r w:rsidRPr="006E3747">
        <w:t>, and the Secretary</w:t>
      </w:r>
      <w:r>
        <w:t>-</w:t>
      </w:r>
      <w:r w:rsidRPr="006E3747">
        <w:t xml:space="preserve">General of the national human rights institution, the </w:t>
      </w:r>
      <w:r>
        <w:t>National Consultative Commission on Human Rights</w:t>
      </w:r>
      <w:r w:rsidRPr="006E3747">
        <w:t xml:space="preserve">, participated in the </w:t>
      </w:r>
      <w:r>
        <w:t>Committee</w:t>
      </w:r>
      <w:r w:rsidR="001E00E5">
        <w:t>’</w:t>
      </w:r>
      <w:r>
        <w:t xml:space="preserve">s </w:t>
      </w:r>
      <w:r w:rsidRPr="006E3747">
        <w:t>public review of the initial report of France. During the private meetings on country situations, the Committee had the opportunity to gather information and interact with several organi</w:t>
      </w:r>
      <w:r>
        <w:t>z</w:t>
      </w:r>
      <w:r w:rsidRPr="006E3747">
        <w:t>ations of persons with disabilities.</w:t>
      </w:r>
    </w:p>
    <w:p w14:paraId="1B3D1B23" w14:textId="15383334" w:rsidR="001E00E5" w:rsidRDefault="004A1C95" w:rsidP="004A1C95">
      <w:pPr>
        <w:pStyle w:val="SingleTxtG"/>
      </w:pPr>
      <w:r w:rsidRPr="006E3747">
        <w:t>2</w:t>
      </w:r>
      <w:r w:rsidR="009E0443">
        <w:t>2</w:t>
      </w:r>
      <w:r w:rsidRPr="006E3747">
        <w:t>.</w:t>
      </w:r>
      <w:r w:rsidRPr="006E3747">
        <w:tab/>
        <w:t>At the closing meeting of the session</w:t>
      </w:r>
      <w:r>
        <w:t>,</w:t>
      </w:r>
      <w:r w:rsidRPr="006E3747">
        <w:t xml:space="preserve"> the following organizations addressed the Committee: Deepness Dementia Radio, </w:t>
      </w:r>
      <w:r>
        <w:t xml:space="preserve">the </w:t>
      </w:r>
      <w:r w:rsidRPr="006E3747">
        <w:t xml:space="preserve">International Disability Alliance, Inclusion International, Inclusion Ireland, </w:t>
      </w:r>
      <w:r>
        <w:t xml:space="preserve">the </w:t>
      </w:r>
      <w:r w:rsidRPr="006E3747">
        <w:t xml:space="preserve">Fundación </w:t>
      </w:r>
      <w:r>
        <w:t>Saraki</w:t>
      </w:r>
      <w:r w:rsidRPr="006E3747">
        <w:t>, Human Rights Watch, and Autistic Minority International (</w:t>
      </w:r>
      <w:r>
        <w:t>pre-recorded</w:t>
      </w:r>
      <w:r w:rsidRPr="006E3747">
        <w:t xml:space="preserve"> video statement).</w:t>
      </w:r>
      <w:r>
        <w:t xml:space="preserve"> A </w:t>
      </w:r>
      <w:r w:rsidRPr="006E3747">
        <w:t>representative of youth with disabilities</w:t>
      </w:r>
      <w:r>
        <w:t xml:space="preserve"> also made a statement.</w:t>
      </w:r>
    </w:p>
    <w:p w14:paraId="08D694E6" w14:textId="65DAF02F" w:rsidR="004A1C95" w:rsidRPr="006E3747" w:rsidRDefault="004A1C95" w:rsidP="00F409BB">
      <w:pPr>
        <w:pStyle w:val="HChG"/>
      </w:pPr>
      <w:r w:rsidRPr="006E3747">
        <w:lastRenderedPageBreak/>
        <w:tab/>
        <w:t>XI.</w:t>
      </w:r>
      <w:r w:rsidRPr="006E3747">
        <w:tab/>
        <w:t>Consideration of reports submitted in accordance with article 35 of the Convention</w:t>
      </w:r>
    </w:p>
    <w:p w14:paraId="3EA50F87" w14:textId="2ECE66EB" w:rsidR="001E00E5" w:rsidRDefault="004A1C95" w:rsidP="004A1C95">
      <w:pPr>
        <w:pStyle w:val="SingleTxtG"/>
      </w:pPr>
      <w:r w:rsidRPr="006E3747">
        <w:t>2</w:t>
      </w:r>
      <w:r w:rsidR="009E0443">
        <w:t>3</w:t>
      </w:r>
      <w:r w:rsidRPr="006E3747">
        <w:t>.</w:t>
      </w:r>
      <w:r w:rsidRPr="006E3747">
        <w:tab/>
        <w:t>Owing to the COVID-19 pandemic, the Committee held two constructive dialogues online, on an exceptional, pilot basis. The Committee considered the initial reports of Djibouti</w:t>
      </w:r>
      <w:r>
        <w:t xml:space="preserve"> and France</w:t>
      </w:r>
      <w:r w:rsidRPr="006E3747">
        <w:t>,</w:t>
      </w:r>
      <w:r w:rsidRPr="00D13F8E">
        <w:rPr>
          <w:rStyle w:val="FootnoteReference"/>
        </w:rPr>
        <w:footnoteReference w:id="6"/>
      </w:r>
      <w:r w:rsidRPr="00D13F8E">
        <w:rPr>
          <w:rStyle w:val="FootnoteReference"/>
        </w:rPr>
        <w:t xml:space="preserve"> </w:t>
      </w:r>
      <w:r w:rsidRPr="006E3747">
        <w:t>and adopted concluding observations on those reports,</w:t>
      </w:r>
      <w:r w:rsidRPr="00D13F8E">
        <w:rPr>
          <w:rStyle w:val="FootnoteReference"/>
        </w:rPr>
        <w:footnoteReference w:id="7"/>
      </w:r>
      <w:r w:rsidRPr="00D13F8E">
        <w:rPr>
          <w:rStyle w:val="FootnoteReference"/>
        </w:rPr>
        <w:t xml:space="preserve"> </w:t>
      </w:r>
      <w:r w:rsidRPr="006E3747">
        <w:t>which are available on its website.</w:t>
      </w:r>
    </w:p>
    <w:p w14:paraId="1D711D3B" w14:textId="1246BBF3" w:rsidR="003B309C" w:rsidRDefault="003B309C" w:rsidP="004A1C95">
      <w:pPr>
        <w:pStyle w:val="SingleTxtG"/>
        <w:sectPr w:rsidR="003B309C"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pPr>
    </w:p>
    <w:p w14:paraId="6B7B8182" w14:textId="77777777" w:rsidR="004A1C95" w:rsidRPr="006E3747" w:rsidRDefault="004A1C95" w:rsidP="003B309C">
      <w:pPr>
        <w:pStyle w:val="HChG"/>
      </w:pPr>
      <w:r w:rsidRPr="006E3747">
        <w:lastRenderedPageBreak/>
        <w:tab/>
        <w:t>Annex I</w:t>
      </w:r>
    </w:p>
    <w:p w14:paraId="7C243BE1" w14:textId="0FDA1B96" w:rsidR="004A1C95" w:rsidRPr="006E3747" w:rsidRDefault="004A1C95" w:rsidP="003B309C">
      <w:pPr>
        <w:pStyle w:val="HChG"/>
      </w:pPr>
      <w:r w:rsidRPr="006E3747">
        <w:tab/>
      </w:r>
      <w:r w:rsidRPr="006E3747">
        <w:tab/>
        <w:t>Decisions adopted by the Committee at its twenty-fifth session</w:t>
      </w:r>
    </w:p>
    <w:p w14:paraId="151A170F" w14:textId="77777777" w:rsidR="004A1C95" w:rsidRPr="00D13F8E" w:rsidRDefault="004A1C95" w:rsidP="004A1C95">
      <w:pPr>
        <w:pStyle w:val="SingleTxtG"/>
        <w:rPr>
          <w:rStyle w:val="FootnoteReference"/>
        </w:rPr>
      </w:pPr>
      <w:r w:rsidRPr="006E3747">
        <w:t>1.</w:t>
      </w:r>
      <w:r w:rsidRPr="006E3747">
        <w:tab/>
        <w:t>The Committee adopted concluding observations in relation to the initial reports of Djibouti</w:t>
      </w:r>
      <w:r>
        <w:t xml:space="preserve"> and </w:t>
      </w:r>
      <w:r w:rsidRPr="006E3747">
        <w:t>France.</w:t>
      </w:r>
      <w:r w:rsidRPr="00D13F8E">
        <w:rPr>
          <w:rStyle w:val="FootnoteReference"/>
        </w:rPr>
        <w:footnoteReference w:id="8"/>
      </w:r>
    </w:p>
    <w:p w14:paraId="24F358B7" w14:textId="23B81B95" w:rsidR="004A1C95" w:rsidRPr="006E3747" w:rsidRDefault="004A1C95" w:rsidP="004A1C95">
      <w:pPr>
        <w:pStyle w:val="SingleTxtG"/>
      </w:pPr>
      <w:r w:rsidRPr="006E3747">
        <w:t>2.</w:t>
      </w:r>
      <w:r w:rsidRPr="006E3747">
        <w:tab/>
        <w:t>The Committee considered four individual communications submitted for its consideration under the Optional Protocol to the Convention. It found violations of the Convention in two of them, and decided to discontinue the other two. A summary of the Views</w:t>
      </w:r>
      <w:r>
        <w:t xml:space="preserve"> and decisions</w:t>
      </w:r>
      <w:r w:rsidRPr="006E3747">
        <w:t xml:space="preserve"> of the Committee can be found in annex II</w:t>
      </w:r>
      <w:r w:rsidR="0013143F">
        <w:t>I</w:t>
      </w:r>
      <w:r w:rsidRPr="006E3747">
        <w:t xml:space="preserve"> to the present report. The Views and decisions would be transmitted to the parties as soon as possible and would subsequently be made public.</w:t>
      </w:r>
    </w:p>
    <w:p w14:paraId="269F3C26" w14:textId="77777777" w:rsidR="004A1C95" w:rsidRPr="006E3747" w:rsidRDefault="004A1C95" w:rsidP="004A1C95">
      <w:pPr>
        <w:pStyle w:val="SingleTxtG"/>
      </w:pPr>
      <w:r w:rsidRPr="006E3747">
        <w:t>3.</w:t>
      </w:r>
      <w:r w:rsidRPr="006E3747">
        <w:tab/>
      </w:r>
      <w:bookmarkStart w:id="0" w:name="_Hlk70604741"/>
      <w:r w:rsidRPr="006E3747">
        <w:t>The Committee considered matters related to inquiries pursuant to the Optional Protocol</w:t>
      </w:r>
      <w:bookmarkEnd w:id="0"/>
      <w:r w:rsidRPr="006E3747">
        <w:t>, and decided to register an inquiry.</w:t>
      </w:r>
    </w:p>
    <w:p w14:paraId="19025B5E" w14:textId="77777777" w:rsidR="001E00E5" w:rsidRDefault="004A1C95" w:rsidP="004A1C95">
      <w:pPr>
        <w:pStyle w:val="SingleTxtG"/>
      </w:pPr>
      <w:r w:rsidRPr="006E3747">
        <w:t>4.</w:t>
      </w:r>
      <w:r w:rsidRPr="006E3747">
        <w:tab/>
        <w:t>The Committee deci</w:t>
      </w:r>
      <w:r>
        <w:t>ded</w:t>
      </w:r>
      <w:r w:rsidRPr="006E3747">
        <w:t xml:space="preserve"> to establish a working group on </w:t>
      </w:r>
      <w:r>
        <w:t>w</w:t>
      </w:r>
      <w:r w:rsidRPr="006E3747">
        <w:t xml:space="preserve">omen and </w:t>
      </w:r>
      <w:r>
        <w:t>g</w:t>
      </w:r>
      <w:r w:rsidRPr="006E3747">
        <w:t xml:space="preserve">irls with </w:t>
      </w:r>
      <w:r>
        <w:t>d</w:t>
      </w:r>
      <w:r w:rsidRPr="006E3747">
        <w:t>isabilities</w:t>
      </w:r>
      <w:r>
        <w:t>,</w:t>
      </w:r>
      <w:r w:rsidRPr="006E3747">
        <w:t xml:space="preserve"> and appointed Gertrude </w:t>
      </w:r>
      <w:r w:rsidRPr="00F536D8">
        <w:t xml:space="preserve">Oforiwa </w:t>
      </w:r>
      <w:r w:rsidRPr="006E3747">
        <w:t xml:space="preserve">Fefoame and </w:t>
      </w:r>
      <w:r w:rsidRPr="00F536D8">
        <w:t>Vivian</w:t>
      </w:r>
      <w:r w:rsidRPr="006E3747">
        <w:t xml:space="preserve"> Fernández de Torrijos as its Chair and Vice-Chair respectively.</w:t>
      </w:r>
    </w:p>
    <w:p w14:paraId="33147FEB" w14:textId="77777777" w:rsidR="001E00E5" w:rsidRDefault="004A1C95" w:rsidP="004A1C95">
      <w:pPr>
        <w:pStyle w:val="SingleTxtG"/>
      </w:pPr>
      <w:r w:rsidRPr="006E3747">
        <w:t>5.</w:t>
      </w:r>
      <w:r w:rsidRPr="006E3747">
        <w:tab/>
        <w:t xml:space="preserve">The Committee adopted a draft of the general comment on the right of persons with disabilities to work and employment. The draft </w:t>
      </w:r>
      <w:r>
        <w:t>would</w:t>
      </w:r>
      <w:r w:rsidRPr="006E3747">
        <w:t xml:space="preserve"> be posted on the Committee</w:t>
      </w:r>
      <w:r w:rsidR="001E00E5">
        <w:t>’</w:t>
      </w:r>
      <w:r w:rsidRPr="006E3747">
        <w:t>s website</w:t>
      </w:r>
      <w:r>
        <w:t>,</w:t>
      </w:r>
      <w:r w:rsidRPr="006E3747">
        <w:t xml:space="preserve"> with a call for submissions and broad consultation with all relevant stakeholders</w:t>
      </w:r>
      <w:r>
        <w:t>,</w:t>
      </w:r>
      <w:r w:rsidRPr="006E3747">
        <w:t xml:space="preserve"> in October 2021.</w:t>
      </w:r>
    </w:p>
    <w:p w14:paraId="55EA6D52" w14:textId="0A77DAE0" w:rsidR="004A1C95" w:rsidRPr="006E3747" w:rsidRDefault="004A1C95" w:rsidP="004A1C95">
      <w:pPr>
        <w:pStyle w:val="SingleTxtG"/>
      </w:pPr>
      <w:r w:rsidRPr="006E3747">
        <w:t>6.</w:t>
      </w:r>
      <w:r w:rsidRPr="006E3747">
        <w:tab/>
        <w:t xml:space="preserve">The Committee adopted a </w:t>
      </w:r>
      <w:r>
        <w:t xml:space="preserve">draft </w:t>
      </w:r>
      <w:r w:rsidRPr="006E3747">
        <w:t xml:space="preserve">outline of its </w:t>
      </w:r>
      <w:r>
        <w:t>g</w:t>
      </w:r>
      <w:r w:rsidRPr="006E3747">
        <w:t xml:space="preserve">uidelines on </w:t>
      </w:r>
      <w:r>
        <w:t>d</w:t>
      </w:r>
      <w:r w:rsidRPr="006E3747">
        <w:t xml:space="preserve">einstitutionalization, which it </w:t>
      </w:r>
      <w:r>
        <w:t>would</w:t>
      </w:r>
      <w:r w:rsidRPr="006E3747">
        <w:t xml:space="preserve"> publish on its website in </w:t>
      </w:r>
      <w:r>
        <w:t>October</w:t>
      </w:r>
      <w:r w:rsidRPr="006E3747">
        <w:t xml:space="preserve"> 2021. A broad consultation with all stakeholders </w:t>
      </w:r>
      <w:r>
        <w:t>would</w:t>
      </w:r>
      <w:r w:rsidRPr="006E3747">
        <w:t xml:space="preserve"> be launched by mid-December 2021 and </w:t>
      </w:r>
      <w:r>
        <w:t>would</w:t>
      </w:r>
      <w:r w:rsidRPr="006E3747">
        <w:t xml:space="preserve"> be open until </w:t>
      </w:r>
      <w:r>
        <w:t xml:space="preserve">the </w:t>
      </w:r>
      <w:r w:rsidRPr="006E3747">
        <w:t xml:space="preserve">end of January 2022. The guidelines </w:t>
      </w:r>
      <w:r>
        <w:t>would</w:t>
      </w:r>
      <w:r w:rsidRPr="006E3747">
        <w:t xml:space="preserve"> supplement the Committee</w:t>
      </w:r>
      <w:r w:rsidR="001E00E5">
        <w:t>’</w:t>
      </w:r>
      <w:r w:rsidRPr="006E3747">
        <w:t>s general comment No. 5</w:t>
      </w:r>
      <w:r>
        <w:t xml:space="preserve"> (2017),</w:t>
      </w:r>
      <w:r w:rsidRPr="006E3747">
        <w:t xml:space="preserve"> on liv</w:t>
      </w:r>
      <w:r>
        <w:t>ing</w:t>
      </w:r>
      <w:r w:rsidRPr="006E3747">
        <w:t xml:space="preserve"> independently and being included in the community</w:t>
      </w:r>
      <w:r>
        <w:t>.</w:t>
      </w:r>
      <w:r w:rsidRPr="006E3747">
        <w:t xml:space="preserve"> The </w:t>
      </w:r>
      <w:r>
        <w:t>w</w:t>
      </w:r>
      <w:r w:rsidRPr="006E3747">
        <w:t xml:space="preserve">orking </w:t>
      </w:r>
      <w:r>
        <w:t>g</w:t>
      </w:r>
      <w:r w:rsidRPr="006E3747">
        <w:t xml:space="preserve">roup on </w:t>
      </w:r>
      <w:r>
        <w:t>d</w:t>
      </w:r>
      <w:r w:rsidRPr="006E3747">
        <w:t xml:space="preserve">einstitutionalization </w:t>
      </w:r>
      <w:r>
        <w:t>would</w:t>
      </w:r>
      <w:r w:rsidRPr="006E3747">
        <w:t xml:space="preserve"> continue </w:t>
      </w:r>
      <w:r>
        <w:t xml:space="preserve">to </w:t>
      </w:r>
      <w:r w:rsidRPr="006E3747">
        <w:t>work on the draft guidelines.</w:t>
      </w:r>
    </w:p>
    <w:p w14:paraId="1D70C7F2" w14:textId="77777777" w:rsidR="004A1C95" w:rsidRPr="006E3747" w:rsidRDefault="004A1C95" w:rsidP="004A1C95">
      <w:pPr>
        <w:pStyle w:val="SingleTxtG"/>
      </w:pPr>
      <w:r w:rsidRPr="006E3747">
        <w:t>7.</w:t>
      </w:r>
      <w:r w:rsidRPr="006E3747">
        <w:tab/>
        <w:t xml:space="preserve">The Committee </w:t>
      </w:r>
      <w:r>
        <w:t xml:space="preserve">decided to </w:t>
      </w:r>
      <w:r w:rsidRPr="006E3747">
        <w:t xml:space="preserve">continue its engagement with the Special Rapporteur on the rights of persons with disabilities and the </w:t>
      </w:r>
      <w:r w:rsidRPr="00F22CBD">
        <w:t>Special Envoy of the Secretary-General on Disability and Accessibility</w:t>
      </w:r>
      <w:r w:rsidRPr="006E3747">
        <w:t>, including on the subject of the incompatibility with the Convention of the draft additional protocol to the Convention for the Protection of Human Rights and Dignity of the Human Being with regard to the Application of Biology and Medicine, of the Council of Europe.</w:t>
      </w:r>
    </w:p>
    <w:p w14:paraId="0AB34AA3" w14:textId="77777777" w:rsidR="004A1C95" w:rsidRPr="006E3747" w:rsidRDefault="004A1C95" w:rsidP="004A1C95">
      <w:pPr>
        <w:pStyle w:val="SingleTxtG"/>
      </w:pPr>
      <w:r w:rsidRPr="006E3747">
        <w:t>8.</w:t>
      </w:r>
      <w:r w:rsidRPr="006E3747">
        <w:tab/>
        <w:t>The Committee decided that its twenty-sixth session would be held in Geneva from 7 to 25 March 2022, subject to confirmation by the Secretar</w:t>
      </w:r>
      <w:r>
        <w:t>y</w:t>
      </w:r>
      <w:r w:rsidRPr="006E3747">
        <w:t xml:space="preserve"> of the feasibility of an in-person session. </w:t>
      </w:r>
      <w:bookmarkStart w:id="1" w:name="_Hlk85025455"/>
      <w:r w:rsidRPr="006E3747">
        <w:t>At that session, the Committee would consider the initial reports of Jamaica, Switzerland</w:t>
      </w:r>
      <w:r>
        <w:t xml:space="preserve"> and Venezuela (Bolivarian Republic of) and the combined second and third periodic reports of Hungary, Mexico and Tunisia.</w:t>
      </w:r>
      <w:r w:rsidRPr="006E3747">
        <w:t xml:space="preserve"> </w:t>
      </w:r>
      <w:bookmarkEnd w:id="1"/>
      <w:r w:rsidRPr="006E3747">
        <w:t>In the event that an in-person session was not possible, the Chair of the Committee, with the support of the Secretary, would decide on the appropriate course of action.</w:t>
      </w:r>
    </w:p>
    <w:p w14:paraId="1B42F9C7" w14:textId="77777777" w:rsidR="004A1C95" w:rsidRPr="006E3747" w:rsidRDefault="004A1C95" w:rsidP="004A1C95">
      <w:pPr>
        <w:pStyle w:val="SingleTxtG"/>
      </w:pPr>
      <w:r w:rsidRPr="006E3747">
        <w:t>9.</w:t>
      </w:r>
      <w:r w:rsidRPr="006E3747">
        <w:tab/>
        <w:t>The Committee decided that the fifteenth session of the pre-sessional working group would be held from 28 March to 1 April 2022. The Chair of the Committee, with the support of the Secretary, would identify the lists of issues and lists of issues prior to reporting to be adopted by the pre-sessional working group at that session.</w:t>
      </w:r>
    </w:p>
    <w:p w14:paraId="7375015C" w14:textId="77777777" w:rsidR="004A1C95" w:rsidRPr="006E3747" w:rsidRDefault="004A1C95" w:rsidP="004A1C95">
      <w:pPr>
        <w:pStyle w:val="SingleTxtG"/>
      </w:pPr>
      <w:r w:rsidRPr="006E3747">
        <w:t>10.</w:t>
      </w:r>
      <w:r w:rsidRPr="006E3747">
        <w:tab/>
        <w:t xml:space="preserve">The Committee decided that additional resources </w:t>
      </w:r>
      <w:r>
        <w:t>were</w:t>
      </w:r>
      <w:r w:rsidRPr="006E3747">
        <w:t xml:space="preserve"> required in </w:t>
      </w:r>
      <w:r>
        <w:t xml:space="preserve">the following </w:t>
      </w:r>
      <w:r w:rsidRPr="006E3747">
        <w:t>three priority areas</w:t>
      </w:r>
      <w:r>
        <w:t>,</w:t>
      </w:r>
      <w:r w:rsidRPr="006E3747">
        <w:t xml:space="preserve"> </w:t>
      </w:r>
      <w:r>
        <w:t xml:space="preserve">to enable it </w:t>
      </w:r>
      <w:r w:rsidRPr="006E3747">
        <w:t xml:space="preserve">to address </w:t>
      </w:r>
      <w:r>
        <w:t>its</w:t>
      </w:r>
      <w:r w:rsidRPr="006E3747">
        <w:t xml:space="preserve"> increased workload:</w:t>
      </w:r>
    </w:p>
    <w:p w14:paraId="6AC21DDB" w14:textId="3C7BA2E2" w:rsidR="004A1C95" w:rsidRPr="006E3747" w:rsidRDefault="003B309C" w:rsidP="004A1C95">
      <w:pPr>
        <w:pStyle w:val="SingleTxtG"/>
      </w:pPr>
      <w:r>
        <w:tab/>
      </w:r>
      <w:r w:rsidR="004A1C95" w:rsidRPr="006E3747">
        <w:t>(a)</w:t>
      </w:r>
      <w:r w:rsidR="004A1C95" w:rsidRPr="006E3747">
        <w:tab/>
      </w:r>
      <w:r w:rsidR="004A1C95">
        <w:t>Dealing with t</w:t>
      </w:r>
      <w:r w:rsidR="004A1C95" w:rsidRPr="006E3747">
        <w:t xml:space="preserve">he backlog of submitted reports pending review (currently 82 reports), </w:t>
      </w:r>
      <w:r w:rsidR="004A1C95">
        <w:t>with</w:t>
      </w:r>
      <w:r w:rsidR="004A1C95" w:rsidRPr="006E3747">
        <w:t xml:space="preserve"> a third session </w:t>
      </w:r>
      <w:r w:rsidR="004A1C95">
        <w:t>in</w:t>
      </w:r>
      <w:r w:rsidR="004A1C95" w:rsidRPr="006E3747">
        <w:t xml:space="preserve"> 2023, 2024 and 2025;</w:t>
      </w:r>
    </w:p>
    <w:p w14:paraId="1A92DCD0" w14:textId="77777777" w:rsidR="001E00E5" w:rsidRDefault="003B309C" w:rsidP="004A1C95">
      <w:pPr>
        <w:pStyle w:val="SingleTxtG"/>
      </w:pPr>
      <w:r>
        <w:lastRenderedPageBreak/>
        <w:tab/>
      </w:r>
      <w:r w:rsidR="004A1C95" w:rsidRPr="006E3747">
        <w:t>(b)</w:t>
      </w:r>
      <w:r w:rsidR="004A1C95" w:rsidRPr="006E3747">
        <w:tab/>
      </w:r>
      <w:r w:rsidR="004A1C95">
        <w:t>P</w:t>
      </w:r>
      <w:r w:rsidR="004A1C95" w:rsidRPr="006E3747">
        <w:t>roduc</w:t>
      </w:r>
      <w:r w:rsidR="004A1C95">
        <w:t>ing</w:t>
      </w:r>
      <w:r w:rsidR="004A1C95" w:rsidRPr="006E3747">
        <w:t xml:space="preserve"> documents, including those relating to individual communications, in plain language and Easy Read;</w:t>
      </w:r>
    </w:p>
    <w:p w14:paraId="6A20D852" w14:textId="77777777" w:rsidR="001E00E5" w:rsidRDefault="003B309C" w:rsidP="004A1C95">
      <w:pPr>
        <w:pStyle w:val="SingleTxtG"/>
      </w:pPr>
      <w:r>
        <w:tab/>
      </w:r>
      <w:r w:rsidR="004A1C95" w:rsidRPr="006E3747">
        <w:t>(c)</w:t>
      </w:r>
      <w:r w:rsidR="004A1C95" w:rsidRPr="006E3747">
        <w:tab/>
      </w:r>
      <w:r w:rsidR="004A1C95">
        <w:t>H</w:t>
      </w:r>
      <w:r w:rsidR="004A1C95" w:rsidRPr="006E3747">
        <w:t xml:space="preserve">olding sessions </w:t>
      </w:r>
      <w:r w:rsidR="004A1C95">
        <w:t>of the Committee away from Geneva</w:t>
      </w:r>
      <w:r w:rsidR="004A1C95" w:rsidRPr="006E3747">
        <w:t>.</w:t>
      </w:r>
    </w:p>
    <w:p w14:paraId="6D749639" w14:textId="303A89C4" w:rsidR="001E00E5" w:rsidRDefault="004A1C95" w:rsidP="004A1C95">
      <w:pPr>
        <w:pStyle w:val="SingleTxtG"/>
      </w:pPr>
      <w:r w:rsidRPr="006E3747">
        <w:t>11.</w:t>
      </w:r>
      <w:r w:rsidRPr="006E3747">
        <w:tab/>
        <w:t xml:space="preserve">Pursuant to </w:t>
      </w:r>
      <w:r>
        <w:t>rule</w:t>
      </w:r>
      <w:r w:rsidRPr="006E3747">
        <w:t xml:space="preserve"> 22 of the Committee</w:t>
      </w:r>
      <w:r w:rsidR="001E00E5">
        <w:t>’</w:t>
      </w:r>
      <w:r w:rsidRPr="006E3747">
        <w:t xml:space="preserve">s </w:t>
      </w:r>
      <w:r>
        <w:t>r</w:t>
      </w:r>
      <w:r w:rsidRPr="006E3747">
        <w:t xml:space="preserve">ules of </w:t>
      </w:r>
      <w:r>
        <w:t>p</w:t>
      </w:r>
      <w:r w:rsidRPr="006E3747">
        <w:t>rocedure,</w:t>
      </w:r>
      <w:r w:rsidR="00A667AF">
        <w:rPr>
          <w:rStyle w:val="FootnoteReference"/>
        </w:rPr>
        <w:footnoteReference w:id="9"/>
      </w:r>
      <w:r w:rsidRPr="006E3747">
        <w:t xml:space="preserve"> as the above-mentioned decision ha</w:t>
      </w:r>
      <w:r>
        <w:t>d</w:t>
      </w:r>
      <w:r w:rsidRPr="006E3747">
        <w:t xml:space="preserve"> </w:t>
      </w:r>
      <w:r>
        <w:t>financial</w:t>
      </w:r>
      <w:r w:rsidRPr="006E3747">
        <w:t xml:space="preserve"> implications, the Committee decided to request the Secretary-General </w:t>
      </w:r>
      <w:r>
        <w:t xml:space="preserve">to </w:t>
      </w:r>
      <w:r w:rsidRPr="006E3747">
        <w:t xml:space="preserve">prepare programme budget implications for the </w:t>
      </w:r>
      <w:r>
        <w:t>following</w:t>
      </w:r>
      <w:r w:rsidRPr="006E3747">
        <w:t xml:space="preserve">, </w:t>
      </w:r>
      <w:r>
        <w:t xml:space="preserve">all </w:t>
      </w:r>
      <w:r w:rsidRPr="006E3747">
        <w:t>beginning in 2023:</w:t>
      </w:r>
    </w:p>
    <w:p w14:paraId="0DE41124" w14:textId="77777777" w:rsidR="001E00E5" w:rsidRDefault="003B309C" w:rsidP="004A1C95">
      <w:pPr>
        <w:pStyle w:val="SingleTxtG"/>
      </w:pPr>
      <w:r>
        <w:tab/>
      </w:r>
      <w:r w:rsidR="004A1C95" w:rsidRPr="006E3747">
        <w:t>(a)</w:t>
      </w:r>
      <w:r w:rsidR="004A1C95" w:rsidRPr="006E3747">
        <w:tab/>
      </w:r>
      <w:r w:rsidR="004A1C95">
        <w:t>H</w:t>
      </w:r>
      <w:r w:rsidR="004A1C95" w:rsidRPr="006E3747">
        <w:t xml:space="preserve">olding a third session </w:t>
      </w:r>
      <w:r w:rsidR="004A1C95">
        <w:t>each</w:t>
      </w:r>
      <w:r w:rsidR="004A1C95" w:rsidRPr="006E3747">
        <w:t xml:space="preserve"> year </w:t>
      </w:r>
      <w:r w:rsidR="004A1C95">
        <w:t>for</w:t>
      </w:r>
      <w:r w:rsidR="004A1C95" w:rsidRPr="006E3747">
        <w:t xml:space="preserve"> three years, </w:t>
      </w:r>
      <w:r w:rsidR="004A1C95">
        <w:t xml:space="preserve">each </w:t>
      </w:r>
      <w:r w:rsidR="004A1C95" w:rsidRPr="006E3747">
        <w:t xml:space="preserve">consisting of three weeks of plenary meetings with International Sign </w:t>
      </w:r>
      <w:r w:rsidR="004A1C95">
        <w:t>i</w:t>
      </w:r>
      <w:r w:rsidR="004A1C95" w:rsidRPr="006E3747">
        <w:t xml:space="preserve">nterpretation, </w:t>
      </w:r>
      <w:r w:rsidR="004A1C95">
        <w:t>other s</w:t>
      </w:r>
      <w:r w:rsidR="004A1C95" w:rsidRPr="006E3747">
        <w:t xml:space="preserve">ign </w:t>
      </w:r>
      <w:r w:rsidR="004A1C95">
        <w:t>l</w:t>
      </w:r>
      <w:r w:rsidR="004A1C95" w:rsidRPr="006E3747">
        <w:t xml:space="preserve">anguage interpretation, </w:t>
      </w:r>
      <w:r w:rsidR="004A1C95">
        <w:t>remote</w:t>
      </w:r>
      <w:r w:rsidR="004A1C95" w:rsidRPr="006E3747">
        <w:t xml:space="preserve"> captioning and documents in plain language</w:t>
      </w:r>
      <w:r w:rsidR="004A1C95">
        <w:t>,</w:t>
      </w:r>
      <w:r w:rsidR="004A1C95" w:rsidRPr="006E3747">
        <w:t xml:space="preserve"> Easy Read</w:t>
      </w:r>
      <w:r w:rsidR="004A1C95">
        <w:t xml:space="preserve"> and Braille,</w:t>
      </w:r>
      <w:r w:rsidR="004A1C95" w:rsidRPr="006E3747">
        <w:t xml:space="preserve"> </w:t>
      </w:r>
      <w:r w:rsidR="004A1C95">
        <w:t>to enable the Committee to review</w:t>
      </w:r>
      <w:r w:rsidR="004A1C95" w:rsidRPr="006E3747">
        <w:t xml:space="preserve"> at least 10 additional </w:t>
      </w:r>
      <w:r w:rsidR="004A1C95">
        <w:t>States parties</w:t>
      </w:r>
      <w:r w:rsidR="004A1C95" w:rsidRPr="006E3747">
        <w:t xml:space="preserve"> </w:t>
      </w:r>
      <w:r w:rsidR="004A1C95">
        <w:t>at each additional</w:t>
      </w:r>
      <w:r w:rsidR="004A1C95" w:rsidRPr="006E3747">
        <w:t xml:space="preserve"> session;</w:t>
      </w:r>
    </w:p>
    <w:p w14:paraId="1EBC51D1" w14:textId="2CB3EEFC" w:rsidR="004A1C95" w:rsidRPr="006E3747" w:rsidRDefault="003B309C" w:rsidP="004A1C95">
      <w:pPr>
        <w:pStyle w:val="SingleTxtG"/>
      </w:pPr>
      <w:r>
        <w:tab/>
      </w:r>
      <w:r w:rsidR="004A1C95" w:rsidRPr="006E3747">
        <w:t>(b)</w:t>
      </w:r>
      <w:r w:rsidR="004A1C95" w:rsidRPr="006E3747">
        <w:tab/>
      </w:r>
      <w:r w:rsidR="004A1C95">
        <w:t>P</w:t>
      </w:r>
      <w:r w:rsidR="004A1C95" w:rsidRPr="006E3747">
        <w:t>roduc</w:t>
      </w:r>
      <w:r w:rsidR="004A1C95">
        <w:t>ing</w:t>
      </w:r>
      <w:r w:rsidR="004A1C95" w:rsidRPr="006E3747">
        <w:t xml:space="preserve"> </w:t>
      </w:r>
      <w:r w:rsidR="004A1C95">
        <w:t xml:space="preserve">other </w:t>
      </w:r>
      <w:r w:rsidR="004A1C95" w:rsidRPr="006E3747">
        <w:t>documents, including those relating to individual communications, in plain language and Easy Read;</w:t>
      </w:r>
    </w:p>
    <w:p w14:paraId="19D473E3" w14:textId="77777777" w:rsidR="001E00E5" w:rsidRDefault="003B309C" w:rsidP="004A1C95">
      <w:pPr>
        <w:pStyle w:val="SingleTxtG"/>
      </w:pPr>
      <w:r>
        <w:tab/>
      </w:r>
      <w:r w:rsidR="004A1C95" w:rsidRPr="006E3747">
        <w:t>(c)</w:t>
      </w:r>
      <w:r w:rsidR="004A1C95" w:rsidRPr="006E3747">
        <w:tab/>
      </w:r>
      <w:r w:rsidR="004A1C95">
        <w:t>H</w:t>
      </w:r>
      <w:r w:rsidR="004A1C95" w:rsidRPr="006E3747">
        <w:t xml:space="preserve">olding </w:t>
      </w:r>
      <w:r w:rsidR="004A1C95">
        <w:t>one</w:t>
      </w:r>
      <w:r w:rsidR="004A1C95" w:rsidRPr="006E3747">
        <w:t xml:space="preserve"> session</w:t>
      </w:r>
      <w:r w:rsidR="004A1C95">
        <w:t xml:space="preserve"> each year away from Geneva,</w:t>
      </w:r>
      <w:r w:rsidR="004A1C95" w:rsidRPr="006E3747">
        <w:t xml:space="preserve"> in one of the regional commissions of the United Nations, ensuring geographical rotation of the venue.</w:t>
      </w:r>
    </w:p>
    <w:p w14:paraId="1DC830D7" w14:textId="01725285" w:rsidR="004A1C95" w:rsidRPr="006E3747" w:rsidRDefault="004A1C95" w:rsidP="004A1C95">
      <w:pPr>
        <w:pStyle w:val="SingleTxtG"/>
      </w:pPr>
      <w:r w:rsidRPr="006E3747">
        <w:t>12.</w:t>
      </w:r>
      <w:r w:rsidRPr="006E3747">
        <w:tab/>
        <w:t>The Committee adopted the report on its twenty-fifth session.</w:t>
      </w:r>
    </w:p>
    <w:p w14:paraId="2406628D" w14:textId="77777777" w:rsidR="004A1C95" w:rsidRPr="006E3747" w:rsidRDefault="004A1C95" w:rsidP="004A1C95">
      <w:pPr>
        <w:pStyle w:val="SingleTxtG"/>
      </w:pPr>
      <w:r w:rsidRPr="006E3747">
        <w:br w:type="page"/>
      </w:r>
    </w:p>
    <w:p w14:paraId="23FF88C7" w14:textId="77777777" w:rsidR="004A1C95" w:rsidRPr="006E3747" w:rsidRDefault="004A1C95" w:rsidP="003B309C">
      <w:pPr>
        <w:pStyle w:val="HChG"/>
        <w:rPr>
          <w:u w:val="single"/>
        </w:rPr>
      </w:pPr>
      <w:r w:rsidRPr="006E3747">
        <w:lastRenderedPageBreak/>
        <w:tab/>
        <w:t>Annex II</w:t>
      </w:r>
    </w:p>
    <w:p w14:paraId="1D2EEDB2" w14:textId="77777777" w:rsidR="004A1C95" w:rsidRPr="006E3747" w:rsidRDefault="004A1C95" w:rsidP="003B309C">
      <w:pPr>
        <w:pStyle w:val="HChG"/>
      </w:pPr>
      <w:r w:rsidRPr="006E3747">
        <w:tab/>
      </w:r>
      <w:r w:rsidRPr="006E3747">
        <w:tab/>
      </w:r>
      <w:r>
        <w:t>States parties whose i</w:t>
      </w:r>
      <w:r w:rsidRPr="006E3747">
        <w:t xml:space="preserve">nitial reports </w:t>
      </w:r>
      <w:r>
        <w:t>are</w:t>
      </w:r>
      <w:r w:rsidRPr="006E3747">
        <w:t xml:space="preserve"> more than five years</w:t>
      </w:r>
      <w:r>
        <w:t xml:space="preserve"> overdue</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5"/>
        <w:gridCol w:w="3685"/>
      </w:tblGrid>
      <w:tr w:rsidR="003B309C" w:rsidRPr="00B41E4A" w14:paraId="27F61D21" w14:textId="77777777" w:rsidTr="00B41E4A">
        <w:trPr>
          <w:cantSplit/>
          <w:tblHeader/>
        </w:trPr>
        <w:tc>
          <w:tcPr>
            <w:tcW w:w="3685" w:type="dxa"/>
            <w:tcBorders>
              <w:top w:val="single" w:sz="4" w:space="0" w:color="auto"/>
              <w:bottom w:val="single" w:sz="12" w:space="0" w:color="auto"/>
            </w:tcBorders>
            <w:shd w:val="clear" w:color="auto" w:fill="auto"/>
            <w:vAlign w:val="bottom"/>
          </w:tcPr>
          <w:p w14:paraId="1B015E42" w14:textId="13B2E0D9" w:rsidR="003B309C" w:rsidRPr="00B41E4A" w:rsidRDefault="003B309C" w:rsidP="00B41E4A">
            <w:pPr>
              <w:suppressAutoHyphens w:val="0"/>
              <w:spacing w:before="80" w:after="80" w:line="200" w:lineRule="exact"/>
              <w:ind w:right="113"/>
              <w:rPr>
                <w:i/>
                <w:sz w:val="16"/>
              </w:rPr>
            </w:pPr>
            <w:r w:rsidRPr="00B41E4A">
              <w:rPr>
                <w:i/>
                <w:sz w:val="16"/>
              </w:rPr>
              <w:t>Party</w:t>
            </w:r>
          </w:p>
        </w:tc>
        <w:tc>
          <w:tcPr>
            <w:tcW w:w="3685" w:type="dxa"/>
            <w:tcBorders>
              <w:top w:val="single" w:sz="4" w:space="0" w:color="auto"/>
              <w:bottom w:val="single" w:sz="12" w:space="0" w:color="auto"/>
            </w:tcBorders>
            <w:shd w:val="clear" w:color="auto" w:fill="auto"/>
            <w:vAlign w:val="bottom"/>
          </w:tcPr>
          <w:p w14:paraId="1E89CFD0" w14:textId="303B7456" w:rsidR="003B309C" w:rsidRPr="00B41E4A" w:rsidRDefault="003B309C" w:rsidP="00B41E4A">
            <w:pPr>
              <w:suppressAutoHyphens w:val="0"/>
              <w:spacing w:before="80" w:after="80" w:line="200" w:lineRule="exact"/>
              <w:ind w:right="113"/>
              <w:rPr>
                <w:i/>
                <w:sz w:val="16"/>
              </w:rPr>
            </w:pPr>
            <w:r w:rsidRPr="00B41E4A">
              <w:rPr>
                <w:i/>
                <w:sz w:val="16"/>
              </w:rPr>
              <w:t>Due date</w:t>
            </w:r>
          </w:p>
        </w:tc>
      </w:tr>
      <w:tr w:rsidR="003B309C" w:rsidRPr="00B41E4A" w14:paraId="1A6FC3CF" w14:textId="77777777" w:rsidTr="00B41E4A">
        <w:trPr>
          <w:cantSplit/>
        </w:trPr>
        <w:tc>
          <w:tcPr>
            <w:tcW w:w="3685" w:type="dxa"/>
            <w:tcBorders>
              <w:top w:val="single" w:sz="12" w:space="0" w:color="auto"/>
            </w:tcBorders>
            <w:shd w:val="clear" w:color="auto" w:fill="auto"/>
          </w:tcPr>
          <w:p w14:paraId="27C8482B" w14:textId="144B3A14" w:rsidR="003B309C" w:rsidRPr="00B41E4A" w:rsidRDefault="003B309C" w:rsidP="00B41E4A">
            <w:pPr>
              <w:pStyle w:val="SingleTxtG"/>
              <w:tabs>
                <w:tab w:val="clear" w:pos="1701"/>
                <w:tab w:val="clear" w:pos="2268"/>
              </w:tabs>
              <w:suppressAutoHyphens w:val="0"/>
              <w:spacing w:before="40" w:line="220" w:lineRule="exact"/>
              <w:ind w:left="0" w:right="113"/>
              <w:jc w:val="left"/>
            </w:pPr>
            <w:r w:rsidRPr="00B41E4A">
              <w:t>Guinea</w:t>
            </w:r>
          </w:p>
        </w:tc>
        <w:tc>
          <w:tcPr>
            <w:tcW w:w="3685" w:type="dxa"/>
            <w:tcBorders>
              <w:top w:val="single" w:sz="12" w:space="0" w:color="auto"/>
            </w:tcBorders>
            <w:shd w:val="clear" w:color="auto" w:fill="auto"/>
          </w:tcPr>
          <w:p w14:paraId="4985508B" w14:textId="08841547" w:rsidR="003B309C" w:rsidRPr="00B41E4A" w:rsidRDefault="003B309C" w:rsidP="00B41E4A">
            <w:pPr>
              <w:suppressAutoHyphens w:val="0"/>
              <w:spacing w:before="40" w:after="120" w:line="220" w:lineRule="exact"/>
              <w:ind w:right="113"/>
            </w:pPr>
            <w:r w:rsidRPr="00B41E4A">
              <w:t>8 March 2010</w:t>
            </w:r>
          </w:p>
        </w:tc>
      </w:tr>
      <w:tr w:rsidR="003B309C" w:rsidRPr="00B41E4A" w14:paraId="00B40216" w14:textId="77777777" w:rsidTr="00B41E4A">
        <w:trPr>
          <w:cantSplit/>
        </w:trPr>
        <w:tc>
          <w:tcPr>
            <w:tcW w:w="3685" w:type="dxa"/>
            <w:shd w:val="clear" w:color="auto" w:fill="auto"/>
          </w:tcPr>
          <w:p w14:paraId="4CB79179" w14:textId="5A54A84F" w:rsidR="003B309C" w:rsidRPr="00B41E4A" w:rsidRDefault="003B309C" w:rsidP="00B41E4A">
            <w:pPr>
              <w:pStyle w:val="SingleTxtG"/>
              <w:tabs>
                <w:tab w:val="clear" w:pos="1701"/>
                <w:tab w:val="clear" w:pos="2268"/>
              </w:tabs>
              <w:suppressAutoHyphens w:val="0"/>
              <w:spacing w:before="40" w:line="220" w:lineRule="exact"/>
              <w:ind w:left="0" w:right="113"/>
              <w:jc w:val="left"/>
            </w:pPr>
            <w:r w:rsidRPr="00B41E4A">
              <w:t>San Marino</w:t>
            </w:r>
          </w:p>
        </w:tc>
        <w:tc>
          <w:tcPr>
            <w:tcW w:w="3685" w:type="dxa"/>
            <w:shd w:val="clear" w:color="auto" w:fill="auto"/>
          </w:tcPr>
          <w:p w14:paraId="3954AE6B" w14:textId="3C02162D" w:rsidR="003B309C" w:rsidRPr="00B41E4A" w:rsidRDefault="003B309C" w:rsidP="00B41E4A">
            <w:pPr>
              <w:pStyle w:val="SingleTxtG"/>
              <w:tabs>
                <w:tab w:val="clear" w:pos="1701"/>
                <w:tab w:val="clear" w:pos="2268"/>
              </w:tabs>
              <w:suppressAutoHyphens w:val="0"/>
              <w:spacing w:before="40" w:line="220" w:lineRule="exact"/>
              <w:ind w:left="0" w:right="113"/>
              <w:jc w:val="left"/>
            </w:pPr>
            <w:r w:rsidRPr="00B41E4A">
              <w:t>22 March 2010</w:t>
            </w:r>
          </w:p>
        </w:tc>
      </w:tr>
      <w:tr w:rsidR="003B309C" w:rsidRPr="00B41E4A" w14:paraId="0EFB556D" w14:textId="77777777" w:rsidTr="00B41E4A">
        <w:trPr>
          <w:cantSplit/>
        </w:trPr>
        <w:tc>
          <w:tcPr>
            <w:tcW w:w="3685" w:type="dxa"/>
            <w:shd w:val="clear" w:color="auto" w:fill="auto"/>
          </w:tcPr>
          <w:p w14:paraId="14C0B6D9" w14:textId="0517DCBC" w:rsidR="003B309C" w:rsidRPr="00B41E4A" w:rsidRDefault="003B309C" w:rsidP="00B41E4A">
            <w:pPr>
              <w:pStyle w:val="SingleTxtG"/>
              <w:tabs>
                <w:tab w:val="clear" w:pos="1701"/>
                <w:tab w:val="clear" w:pos="2268"/>
              </w:tabs>
              <w:suppressAutoHyphens w:val="0"/>
              <w:spacing w:before="40" w:line="220" w:lineRule="exact"/>
              <w:ind w:left="0" w:right="113"/>
              <w:jc w:val="left"/>
            </w:pPr>
            <w:r w:rsidRPr="00B41E4A">
              <w:t>Lesotho</w:t>
            </w:r>
          </w:p>
        </w:tc>
        <w:tc>
          <w:tcPr>
            <w:tcW w:w="3685" w:type="dxa"/>
            <w:shd w:val="clear" w:color="auto" w:fill="auto"/>
          </w:tcPr>
          <w:p w14:paraId="403366CB" w14:textId="7DFBB2AA" w:rsidR="003B309C" w:rsidRPr="00B41E4A" w:rsidRDefault="003B309C" w:rsidP="00B41E4A">
            <w:pPr>
              <w:pStyle w:val="SingleTxtG"/>
              <w:tabs>
                <w:tab w:val="clear" w:pos="1701"/>
                <w:tab w:val="clear" w:pos="2268"/>
              </w:tabs>
              <w:suppressAutoHyphens w:val="0"/>
              <w:spacing w:before="40" w:line="220" w:lineRule="exact"/>
              <w:ind w:left="0" w:right="113"/>
              <w:jc w:val="left"/>
            </w:pPr>
            <w:r w:rsidRPr="00B41E4A">
              <w:t>2 January 2011</w:t>
            </w:r>
          </w:p>
        </w:tc>
      </w:tr>
      <w:tr w:rsidR="003B309C" w:rsidRPr="00B41E4A" w14:paraId="40AF858D" w14:textId="77777777" w:rsidTr="00B41E4A">
        <w:trPr>
          <w:cantSplit/>
        </w:trPr>
        <w:tc>
          <w:tcPr>
            <w:tcW w:w="3685" w:type="dxa"/>
            <w:shd w:val="clear" w:color="auto" w:fill="auto"/>
          </w:tcPr>
          <w:p w14:paraId="5B08DFF5" w14:textId="24FFCDF6" w:rsidR="003B309C" w:rsidRPr="00B41E4A" w:rsidRDefault="003B309C" w:rsidP="00B41E4A">
            <w:pPr>
              <w:pStyle w:val="SingleTxtG"/>
              <w:tabs>
                <w:tab w:val="clear" w:pos="1701"/>
                <w:tab w:val="clear" w:pos="2268"/>
              </w:tabs>
              <w:suppressAutoHyphens w:val="0"/>
              <w:spacing w:before="40" w:line="220" w:lineRule="exact"/>
              <w:ind w:left="0" w:right="113"/>
              <w:jc w:val="left"/>
            </w:pPr>
            <w:r w:rsidRPr="00B41E4A">
              <w:t>Yemen</w:t>
            </w:r>
          </w:p>
        </w:tc>
        <w:tc>
          <w:tcPr>
            <w:tcW w:w="3685" w:type="dxa"/>
            <w:shd w:val="clear" w:color="auto" w:fill="auto"/>
          </w:tcPr>
          <w:p w14:paraId="7E849E08" w14:textId="60CEF0E0" w:rsidR="003B309C" w:rsidRPr="00B41E4A" w:rsidRDefault="003B309C" w:rsidP="00B41E4A">
            <w:pPr>
              <w:pStyle w:val="SingleTxtG"/>
              <w:tabs>
                <w:tab w:val="clear" w:pos="1701"/>
                <w:tab w:val="clear" w:pos="2268"/>
              </w:tabs>
              <w:suppressAutoHyphens w:val="0"/>
              <w:spacing w:before="40" w:line="220" w:lineRule="exact"/>
              <w:ind w:left="0" w:right="113"/>
              <w:jc w:val="left"/>
            </w:pPr>
            <w:r w:rsidRPr="00B41E4A">
              <w:t>26 April 2011</w:t>
            </w:r>
          </w:p>
        </w:tc>
      </w:tr>
      <w:tr w:rsidR="003B309C" w:rsidRPr="00B41E4A" w14:paraId="4B0C2802" w14:textId="77777777" w:rsidTr="00B41E4A">
        <w:trPr>
          <w:cantSplit/>
        </w:trPr>
        <w:tc>
          <w:tcPr>
            <w:tcW w:w="3685" w:type="dxa"/>
            <w:shd w:val="clear" w:color="auto" w:fill="auto"/>
          </w:tcPr>
          <w:p w14:paraId="28A35AC0" w14:textId="048D0ECB" w:rsidR="003B309C" w:rsidRPr="00B41E4A" w:rsidRDefault="003B309C" w:rsidP="00B41E4A">
            <w:pPr>
              <w:pStyle w:val="SingleTxtG"/>
              <w:tabs>
                <w:tab w:val="clear" w:pos="1701"/>
                <w:tab w:val="clear" w:pos="2268"/>
              </w:tabs>
              <w:suppressAutoHyphens w:val="0"/>
              <w:spacing w:before="40" w:line="220" w:lineRule="exact"/>
              <w:ind w:left="0" w:right="113"/>
              <w:jc w:val="left"/>
            </w:pPr>
            <w:r w:rsidRPr="00B41E4A">
              <w:t>Syrian Arab Republic</w:t>
            </w:r>
          </w:p>
        </w:tc>
        <w:tc>
          <w:tcPr>
            <w:tcW w:w="3685" w:type="dxa"/>
            <w:shd w:val="clear" w:color="auto" w:fill="auto"/>
          </w:tcPr>
          <w:p w14:paraId="1DDD3A24" w14:textId="46630BF8" w:rsidR="003B309C" w:rsidRPr="00B41E4A" w:rsidRDefault="003B309C" w:rsidP="00B41E4A">
            <w:pPr>
              <w:pStyle w:val="SingleTxtG"/>
              <w:tabs>
                <w:tab w:val="clear" w:pos="1701"/>
                <w:tab w:val="clear" w:pos="2268"/>
              </w:tabs>
              <w:suppressAutoHyphens w:val="0"/>
              <w:spacing w:before="40" w:line="220" w:lineRule="exact"/>
              <w:ind w:left="0" w:right="113"/>
              <w:jc w:val="left"/>
            </w:pPr>
            <w:r w:rsidRPr="00B41E4A">
              <w:t>10 August 2011</w:t>
            </w:r>
          </w:p>
        </w:tc>
      </w:tr>
      <w:tr w:rsidR="003B309C" w:rsidRPr="00B41E4A" w14:paraId="1990597B" w14:textId="77777777" w:rsidTr="00B41E4A">
        <w:trPr>
          <w:cantSplit/>
        </w:trPr>
        <w:tc>
          <w:tcPr>
            <w:tcW w:w="3685" w:type="dxa"/>
            <w:shd w:val="clear" w:color="auto" w:fill="auto"/>
          </w:tcPr>
          <w:p w14:paraId="2C679FA8" w14:textId="327D2C9B" w:rsidR="003B309C" w:rsidRPr="00B41E4A" w:rsidRDefault="003B309C" w:rsidP="00B41E4A">
            <w:pPr>
              <w:pStyle w:val="SingleTxtG"/>
              <w:tabs>
                <w:tab w:val="clear" w:pos="1701"/>
                <w:tab w:val="clear" w:pos="2268"/>
              </w:tabs>
              <w:suppressAutoHyphens w:val="0"/>
              <w:spacing w:before="40" w:line="220" w:lineRule="exact"/>
              <w:ind w:left="0" w:right="113"/>
              <w:jc w:val="left"/>
            </w:pPr>
            <w:r w:rsidRPr="00B41E4A">
              <w:t>United Republic of Tanzania</w:t>
            </w:r>
          </w:p>
        </w:tc>
        <w:tc>
          <w:tcPr>
            <w:tcW w:w="3685" w:type="dxa"/>
            <w:shd w:val="clear" w:color="auto" w:fill="auto"/>
          </w:tcPr>
          <w:p w14:paraId="1E64BC16" w14:textId="03253B5D" w:rsidR="003B309C" w:rsidRPr="00B41E4A" w:rsidRDefault="003B309C" w:rsidP="00B41E4A">
            <w:pPr>
              <w:pStyle w:val="SingleTxtG"/>
              <w:tabs>
                <w:tab w:val="clear" w:pos="1701"/>
                <w:tab w:val="clear" w:pos="2268"/>
              </w:tabs>
              <w:suppressAutoHyphens w:val="0"/>
              <w:spacing w:before="40" w:line="220" w:lineRule="exact"/>
              <w:ind w:left="0" w:right="113"/>
              <w:jc w:val="left"/>
            </w:pPr>
            <w:r w:rsidRPr="00B41E4A">
              <w:t>10 December 2011</w:t>
            </w:r>
          </w:p>
        </w:tc>
      </w:tr>
      <w:tr w:rsidR="003B309C" w:rsidRPr="00B41E4A" w14:paraId="4D9B0ADC" w14:textId="77777777" w:rsidTr="00B41E4A">
        <w:trPr>
          <w:cantSplit/>
        </w:trPr>
        <w:tc>
          <w:tcPr>
            <w:tcW w:w="3685" w:type="dxa"/>
            <w:shd w:val="clear" w:color="auto" w:fill="auto"/>
          </w:tcPr>
          <w:p w14:paraId="51C59415" w14:textId="07250C41" w:rsidR="003B309C" w:rsidRPr="00B41E4A" w:rsidRDefault="003B309C" w:rsidP="00B41E4A">
            <w:pPr>
              <w:pStyle w:val="SingleTxtG"/>
              <w:tabs>
                <w:tab w:val="clear" w:pos="1701"/>
                <w:tab w:val="clear" w:pos="2268"/>
              </w:tabs>
              <w:suppressAutoHyphens w:val="0"/>
              <w:spacing w:before="40" w:line="220" w:lineRule="exact"/>
              <w:ind w:left="0" w:right="113"/>
              <w:jc w:val="left"/>
            </w:pPr>
            <w:r w:rsidRPr="00B41E4A">
              <w:t>Malaysia</w:t>
            </w:r>
          </w:p>
        </w:tc>
        <w:tc>
          <w:tcPr>
            <w:tcW w:w="3685" w:type="dxa"/>
            <w:shd w:val="clear" w:color="auto" w:fill="auto"/>
          </w:tcPr>
          <w:p w14:paraId="23CEBFA6" w14:textId="6F82AC9F" w:rsidR="003B309C" w:rsidRPr="00B41E4A" w:rsidRDefault="003B309C" w:rsidP="00B41E4A">
            <w:pPr>
              <w:pStyle w:val="SingleTxtG"/>
              <w:tabs>
                <w:tab w:val="clear" w:pos="1701"/>
                <w:tab w:val="clear" w:pos="2268"/>
              </w:tabs>
              <w:suppressAutoHyphens w:val="0"/>
              <w:spacing w:before="40" w:line="220" w:lineRule="exact"/>
              <w:ind w:left="0" w:right="113"/>
              <w:jc w:val="left"/>
            </w:pPr>
            <w:r w:rsidRPr="00B41E4A">
              <w:t>19 August 2012</w:t>
            </w:r>
          </w:p>
        </w:tc>
      </w:tr>
      <w:tr w:rsidR="003B309C" w:rsidRPr="00B41E4A" w14:paraId="25BC43DA" w14:textId="77777777" w:rsidTr="00B41E4A">
        <w:trPr>
          <w:cantSplit/>
        </w:trPr>
        <w:tc>
          <w:tcPr>
            <w:tcW w:w="3685" w:type="dxa"/>
            <w:shd w:val="clear" w:color="auto" w:fill="auto"/>
          </w:tcPr>
          <w:p w14:paraId="4FFC85AB" w14:textId="3353DA34" w:rsidR="003B309C" w:rsidRPr="00B41E4A" w:rsidRDefault="003B309C" w:rsidP="00B41E4A">
            <w:pPr>
              <w:pStyle w:val="SingleTxtG"/>
              <w:tabs>
                <w:tab w:val="clear" w:pos="1701"/>
                <w:tab w:val="clear" w:pos="2268"/>
              </w:tabs>
              <w:suppressAutoHyphens w:val="0"/>
              <w:spacing w:before="40" w:line="220" w:lineRule="exact"/>
              <w:ind w:left="0" w:right="113"/>
              <w:jc w:val="left"/>
            </w:pPr>
            <w:r w:rsidRPr="00B41E4A">
              <w:t>Saint Vincent and the Grenadines</w:t>
            </w:r>
          </w:p>
        </w:tc>
        <w:tc>
          <w:tcPr>
            <w:tcW w:w="3685" w:type="dxa"/>
            <w:shd w:val="clear" w:color="auto" w:fill="auto"/>
          </w:tcPr>
          <w:p w14:paraId="25A0D29B" w14:textId="2C310467" w:rsidR="003B309C" w:rsidRPr="00B41E4A" w:rsidRDefault="003B309C" w:rsidP="00B41E4A">
            <w:pPr>
              <w:pStyle w:val="SingleTxtG"/>
              <w:tabs>
                <w:tab w:val="clear" w:pos="1701"/>
                <w:tab w:val="clear" w:pos="2268"/>
              </w:tabs>
              <w:suppressAutoHyphens w:val="0"/>
              <w:spacing w:before="40" w:line="220" w:lineRule="exact"/>
              <w:ind w:left="0" w:right="113"/>
              <w:jc w:val="left"/>
            </w:pPr>
            <w:r w:rsidRPr="00B41E4A">
              <w:t>29 November 2012</w:t>
            </w:r>
          </w:p>
        </w:tc>
      </w:tr>
      <w:tr w:rsidR="003B309C" w:rsidRPr="00B41E4A" w14:paraId="1818CB2D" w14:textId="77777777" w:rsidTr="00B41E4A">
        <w:trPr>
          <w:cantSplit/>
        </w:trPr>
        <w:tc>
          <w:tcPr>
            <w:tcW w:w="3685" w:type="dxa"/>
            <w:shd w:val="clear" w:color="auto" w:fill="auto"/>
          </w:tcPr>
          <w:p w14:paraId="4283B6DF" w14:textId="32E6C665" w:rsidR="003B309C" w:rsidRPr="00B41E4A" w:rsidRDefault="003B309C" w:rsidP="00B41E4A">
            <w:pPr>
              <w:pStyle w:val="SingleTxtG"/>
              <w:tabs>
                <w:tab w:val="clear" w:pos="1701"/>
                <w:tab w:val="clear" w:pos="2268"/>
              </w:tabs>
              <w:suppressAutoHyphens w:val="0"/>
              <w:spacing w:before="40" w:line="220" w:lineRule="exact"/>
              <w:ind w:left="0" w:right="113"/>
              <w:jc w:val="left"/>
            </w:pPr>
            <w:r w:rsidRPr="00B41E4A">
              <w:t>Romania</w:t>
            </w:r>
          </w:p>
        </w:tc>
        <w:tc>
          <w:tcPr>
            <w:tcW w:w="3685" w:type="dxa"/>
            <w:shd w:val="clear" w:color="auto" w:fill="auto"/>
          </w:tcPr>
          <w:p w14:paraId="520B5716" w14:textId="3367B254" w:rsidR="003B309C" w:rsidRPr="00B41E4A" w:rsidRDefault="003B309C" w:rsidP="00B41E4A">
            <w:pPr>
              <w:pStyle w:val="SingleTxtG"/>
              <w:tabs>
                <w:tab w:val="clear" w:pos="1701"/>
                <w:tab w:val="clear" w:pos="2268"/>
              </w:tabs>
              <w:suppressAutoHyphens w:val="0"/>
              <w:spacing w:before="40" w:line="220" w:lineRule="exact"/>
              <w:ind w:left="0" w:right="113"/>
              <w:jc w:val="left"/>
            </w:pPr>
            <w:r w:rsidRPr="00B41E4A">
              <w:t>3 March 2013</w:t>
            </w:r>
          </w:p>
        </w:tc>
      </w:tr>
      <w:tr w:rsidR="003B309C" w:rsidRPr="00B41E4A" w14:paraId="5801A3BE" w14:textId="77777777" w:rsidTr="00B41E4A">
        <w:trPr>
          <w:cantSplit/>
        </w:trPr>
        <w:tc>
          <w:tcPr>
            <w:tcW w:w="3685" w:type="dxa"/>
            <w:shd w:val="clear" w:color="auto" w:fill="auto"/>
          </w:tcPr>
          <w:p w14:paraId="0A372B35" w14:textId="2DAED74B" w:rsidR="003B309C" w:rsidRPr="00B41E4A" w:rsidRDefault="003B309C" w:rsidP="00B41E4A">
            <w:pPr>
              <w:pStyle w:val="SingleTxtG"/>
              <w:tabs>
                <w:tab w:val="clear" w:pos="1701"/>
                <w:tab w:val="clear" w:pos="2268"/>
              </w:tabs>
              <w:suppressAutoHyphens w:val="0"/>
              <w:spacing w:before="40" w:line="220" w:lineRule="exact"/>
              <w:ind w:left="0" w:right="113"/>
              <w:jc w:val="left"/>
            </w:pPr>
            <w:r w:rsidRPr="00B41E4A">
              <w:t>Belize</w:t>
            </w:r>
          </w:p>
        </w:tc>
        <w:tc>
          <w:tcPr>
            <w:tcW w:w="3685" w:type="dxa"/>
            <w:shd w:val="clear" w:color="auto" w:fill="auto"/>
          </w:tcPr>
          <w:p w14:paraId="01814A07" w14:textId="428CECDD" w:rsidR="003B309C" w:rsidRPr="00B41E4A" w:rsidRDefault="003B309C" w:rsidP="00B41E4A">
            <w:pPr>
              <w:pStyle w:val="SingleTxtG"/>
              <w:tabs>
                <w:tab w:val="clear" w:pos="1701"/>
                <w:tab w:val="clear" w:pos="2268"/>
              </w:tabs>
              <w:suppressAutoHyphens w:val="0"/>
              <w:spacing w:before="40" w:line="220" w:lineRule="exact"/>
              <w:ind w:left="0" w:right="113"/>
              <w:jc w:val="left"/>
            </w:pPr>
            <w:r w:rsidRPr="00B41E4A">
              <w:t>2 July 2013</w:t>
            </w:r>
          </w:p>
        </w:tc>
      </w:tr>
      <w:tr w:rsidR="003B309C" w:rsidRPr="00B41E4A" w14:paraId="687B4E93" w14:textId="77777777" w:rsidTr="00B41E4A">
        <w:trPr>
          <w:cantSplit/>
        </w:trPr>
        <w:tc>
          <w:tcPr>
            <w:tcW w:w="3685" w:type="dxa"/>
            <w:shd w:val="clear" w:color="auto" w:fill="auto"/>
          </w:tcPr>
          <w:p w14:paraId="51F38884" w14:textId="2E2A0889" w:rsidR="003B309C" w:rsidRPr="00B41E4A" w:rsidRDefault="003B309C" w:rsidP="00B41E4A">
            <w:pPr>
              <w:pStyle w:val="SingleTxtG"/>
              <w:tabs>
                <w:tab w:val="clear" w:pos="1701"/>
                <w:tab w:val="clear" w:pos="2268"/>
              </w:tabs>
              <w:suppressAutoHyphens w:val="0"/>
              <w:spacing w:before="40" w:line="220" w:lineRule="exact"/>
              <w:ind w:left="0" w:right="113"/>
              <w:jc w:val="left"/>
            </w:pPr>
            <w:r w:rsidRPr="00B41E4A">
              <w:t>Cabo Verde</w:t>
            </w:r>
          </w:p>
        </w:tc>
        <w:tc>
          <w:tcPr>
            <w:tcW w:w="3685" w:type="dxa"/>
            <w:shd w:val="clear" w:color="auto" w:fill="auto"/>
          </w:tcPr>
          <w:p w14:paraId="06C902C1" w14:textId="35316217" w:rsidR="003B309C" w:rsidRPr="00B41E4A" w:rsidRDefault="003B309C" w:rsidP="00B41E4A">
            <w:pPr>
              <w:pStyle w:val="SingleTxtG"/>
              <w:tabs>
                <w:tab w:val="clear" w:pos="1701"/>
                <w:tab w:val="clear" w:pos="2268"/>
              </w:tabs>
              <w:suppressAutoHyphens w:val="0"/>
              <w:spacing w:before="40" w:line="220" w:lineRule="exact"/>
              <w:ind w:left="0" w:right="113"/>
              <w:jc w:val="left"/>
            </w:pPr>
            <w:r w:rsidRPr="00B41E4A">
              <w:t>10 November 2013</w:t>
            </w:r>
          </w:p>
        </w:tc>
      </w:tr>
      <w:tr w:rsidR="003B309C" w:rsidRPr="00B41E4A" w14:paraId="4536E5BE" w14:textId="77777777" w:rsidTr="00B41E4A">
        <w:trPr>
          <w:cantSplit/>
        </w:trPr>
        <w:tc>
          <w:tcPr>
            <w:tcW w:w="3685" w:type="dxa"/>
            <w:shd w:val="clear" w:color="auto" w:fill="auto"/>
          </w:tcPr>
          <w:p w14:paraId="5D823A89" w14:textId="1D96390D" w:rsidR="003B309C" w:rsidRPr="00B41E4A" w:rsidRDefault="003B309C" w:rsidP="00B41E4A">
            <w:pPr>
              <w:pStyle w:val="SingleTxtG"/>
              <w:tabs>
                <w:tab w:val="clear" w:pos="1701"/>
                <w:tab w:val="clear" w:pos="2268"/>
              </w:tabs>
              <w:suppressAutoHyphens w:val="0"/>
              <w:spacing w:before="40" w:line="220" w:lineRule="exact"/>
              <w:ind w:left="0" w:right="113"/>
              <w:jc w:val="left"/>
            </w:pPr>
            <w:r w:rsidRPr="00B41E4A">
              <w:t>Nauru</w:t>
            </w:r>
          </w:p>
        </w:tc>
        <w:tc>
          <w:tcPr>
            <w:tcW w:w="3685" w:type="dxa"/>
            <w:shd w:val="clear" w:color="auto" w:fill="auto"/>
          </w:tcPr>
          <w:p w14:paraId="680C9181" w14:textId="4145FE16" w:rsidR="003B309C" w:rsidRPr="00B41E4A" w:rsidRDefault="003B309C" w:rsidP="00B41E4A">
            <w:pPr>
              <w:pStyle w:val="SingleTxtG"/>
              <w:tabs>
                <w:tab w:val="clear" w:pos="1701"/>
                <w:tab w:val="clear" w:pos="2268"/>
              </w:tabs>
              <w:suppressAutoHyphens w:val="0"/>
              <w:spacing w:before="40" w:line="220" w:lineRule="exact"/>
              <w:ind w:left="0" w:right="113"/>
              <w:jc w:val="left"/>
            </w:pPr>
            <w:r w:rsidRPr="00B41E4A">
              <w:t>27 July 2014</w:t>
            </w:r>
          </w:p>
        </w:tc>
      </w:tr>
      <w:tr w:rsidR="003B309C" w:rsidRPr="00B41E4A" w14:paraId="4B322149" w14:textId="77777777" w:rsidTr="00B41E4A">
        <w:trPr>
          <w:cantSplit/>
        </w:trPr>
        <w:tc>
          <w:tcPr>
            <w:tcW w:w="3685" w:type="dxa"/>
            <w:shd w:val="clear" w:color="auto" w:fill="auto"/>
          </w:tcPr>
          <w:p w14:paraId="661888BB" w14:textId="49C71A85" w:rsidR="003B309C" w:rsidRPr="00B41E4A" w:rsidRDefault="003B309C" w:rsidP="00B41E4A">
            <w:pPr>
              <w:pStyle w:val="SingleTxtG"/>
              <w:tabs>
                <w:tab w:val="clear" w:pos="1701"/>
                <w:tab w:val="clear" w:pos="2268"/>
              </w:tabs>
              <w:suppressAutoHyphens w:val="0"/>
              <w:spacing w:before="40" w:line="220" w:lineRule="exact"/>
              <w:ind w:left="0" w:right="113"/>
              <w:jc w:val="left"/>
            </w:pPr>
            <w:r w:rsidRPr="00B41E4A">
              <w:t>Eswatini</w:t>
            </w:r>
          </w:p>
        </w:tc>
        <w:tc>
          <w:tcPr>
            <w:tcW w:w="3685" w:type="dxa"/>
            <w:shd w:val="clear" w:color="auto" w:fill="auto"/>
          </w:tcPr>
          <w:p w14:paraId="56425E8D" w14:textId="0F6DEF65" w:rsidR="003B309C" w:rsidRPr="00B41E4A" w:rsidRDefault="003B309C" w:rsidP="00B41E4A">
            <w:pPr>
              <w:pStyle w:val="SingleTxtG"/>
              <w:tabs>
                <w:tab w:val="clear" w:pos="1701"/>
                <w:tab w:val="clear" w:pos="2268"/>
              </w:tabs>
              <w:suppressAutoHyphens w:val="0"/>
              <w:spacing w:before="40" w:line="220" w:lineRule="exact"/>
              <w:ind w:left="0" w:right="113"/>
              <w:jc w:val="left"/>
            </w:pPr>
            <w:r w:rsidRPr="00B41E4A">
              <w:t>24 October 2014</w:t>
            </w:r>
          </w:p>
        </w:tc>
      </w:tr>
      <w:tr w:rsidR="003B309C" w:rsidRPr="00B41E4A" w14:paraId="02115186" w14:textId="77777777" w:rsidTr="00B41E4A">
        <w:trPr>
          <w:cantSplit/>
        </w:trPr>
        <w:tc>
          <w:tcPr>
            <w:tcW w:w="3685" w:type="dxa"/>
            <w:shd w:val="clear" w:color="auto" w:fill="auto"/>
          </w:tcPr>
          <w:p w14:paraId="5D33D418" w14:textId="76514ED5" w:rsidR="003B309C" w:rsidRPr="00B41E4A" w:rsidRDefault="00B41E4A" w:rsidP="00B41E4A">
            <w:pPr>
              <w:pStyle w:val="SingleTxtG"/>
              <w:tabs>
                <w:tab w:val="clear" w:pos="1701"/>
                <w:tab w:val="clear" w:pos="2268"/>
              </w:tabs>
              <w:suppressAutoHyphens w:val="0"/>
              <w:spacing w:before="40" w:line="220" w:lineRule="exact"/>
              <w:ind w:left="0" w:right="113"/>
              <w:jc w:val="left"/>
            </w:pPr>
            <w:r w:rsidRPr="00B41E4A">
              <w:t>Dominica</w:t>
            </w:r>
          </w:p>
        </w:tc>
        <w:tc>
          <w:tcPr>
            <w:tcW w:w="3685" w:type="dxa"/>
            <w:shd w:val="clear" w:color="auto" w:fill="auto"/>
          </w:tcPr>
          <w:p w14:paraId="285C901C" w14:textId="514CEEB1" w:rsidR="003B309C" w:rsidRPr="00B41E4A" w:rsidRDefault="00B41E4A" w:rsidP="00B41E4A">
            <w:pPr>
              <w:pStyle w:val="SingleTxtG"/>
              <w:tabs>
                <w:tab w:val="clear" w:pos="1701"/>
                <w:tab w:val="clear" w:pos="2268"/>
              </w:tabs>
              <w:suppressAutoHyphens w:val="0"/>
              <w:spacing w:before="40" w:line="220" w:lineRule="exact"/>
              <w:ind w:left="0" w:right="113"/>
              <w:jc w:val="left"/>
            </w:pPr>
            <w:r w:rsidRPr="00B41E4A">
              <w:t>1 November 2014</w:t>
            </w:r>
          </w:p>
        </w:tc>
      </w:tr>
      <w:tr w:rsidR="003B309C" w:rsidRPr="00B41E4A" w14:paraId="1D239A47" w14:textId="77777777" w:rsidTr="00B41E4A">
        <w:trPr>
          <w:cantSplit/>
        </w:trPr>
        <w:tc>
          <w:tcPr>
            <w:tcW w:w="3685" w:type="dxa"/>
            <w:shd w:val="clear" w:color="auto" w:fill="auto"/>
          </w:tcPr>
          <w:p w14:paraId="6D7142DD" w14:textId="284A3E83" w:rsidR="003B309C" w:rsidRPr="00B41E4A" w:rsidRDefault="00B41E4A" w:rsidP="00B41E4A">
            <w:pPr>
              <w:pStyle w:val="SingleTxtG"/>
              <w:tabs>
                <w:tab w:val="clear" w:pos="1701"/>
                <w:tab w:val="clear" w:pos="2268"/>
              </w:tabs>
              <w:suppressAutoHyphens w:val="0"/>
              <w:spacing w:before="40" w:line="220" w:lineRule="exact"/>
              <w:ind w:left="0" w:right="113"/>
              <w:jc w:val="left"/>
            </w:pPr>
            <w:r w:rsidRPr="00B41E4A">
              <w:t>Cambodia</w:t>
            </w:r>
          </w:p>
        </w:tc>
        <w:tc>
          <w:tcPr>
            <w:tcW w:w="3685" w:type="dxa"/>
            <w:shd w:val="clear" w:color="auto" w:fill="auto"/>
          </w:tcPr>
          <w:p w14:paraId="2D1F198A" w14:textId="01FFE6FB" w:rsidR="003B309C" w:rsidRPr="00B41E4A" w:rsidRDefault="00B41E4A" w:rsidP="00B41E4A">
            <w:pPr>
              <w:pStyle w:val="SingleTxtG"/>
              <w:tabs>
                <w:tab w:val="clear" w:pos="1701"/>
                <w:tab w:val="clear" w:pos="2268"/>
              </w:tabs>
              <w:suppressAutoHyphens w:val="0"/>
              <w:spacing w:before="40" w:line="220" w:lineRule="exact"/>
              <w:ind w:left="0" w:right="113"/>
              <w:jc w:val="left"/>
            </w:pPr>
            <w:r w:rsidRPr="00B41E4A">
              <w:t>20 January 2015</w:t>
            </w:r>
          </w:p>
        </w:tc>
      </w:tr>
      <w:tr w:rsidR="003B309C" w:rsidRPr="00B41E4A" w14:paraId="51018D3D" w14:textId="77777777" w:rsidTr="00B41E4A">
        <w:trPr>
          <w:cantSplit/>
        </w:trPr>
        <w:tc>
          <w:tcPr>
            <w:tcW w:w="3685" w:type="dxa"/>
            <w:shd w:val="clear" w:color="auto" w:fill="auto"/>
          </w:tcPr>
          <w:p w14:paraId="79E252C8" w14:textId="434CE841" w:rsidR="003B309C" w:rsidRPr="00B41E4A" w:rsidRDefault="00B41E4A" w:rsidP="00B41E4A">
            <w:pPr>
              <w:suppressAutoHyphens w:val="0"/>
              <w:spacing w:before="40" w:after="120" w:line="220" w:lineRule="exact"/>
              <w:ind w:right="113"/>
            </w:pPr>
            <w:r w:rsidRPr="00B41E4A">
              <w:t>Barbados</w:t>
            </w:r>
          </w:p>
        </w:tc>
        <w:tc>
          <w:tcPr>
            <w:tcW w:w="3685" w:type="dxa"/>
            <w:shd w:val="clear" w:color="auto" w:fill="auto"/>
          </w:tcPr>
          <w:p w14:paraId="7A8EBD50" w14:textId="5816977F" w:rsidR="003B309C" w:rsidRPr="00B41E4A" w:rsidRDefault="00B41E4A" w:rsidP="00B41E4A">
            <w:pPr>
              <w:suppressAutoHyphens w:val="0"/>
              <w:spacing w:before="40" w:after="120" w:line="220" w:lineRule="exact"/>
              <w:ind w:right="113"/>
            </w:pPr>
            <w:r w:rsidRPr="00B41E4A">
              <w:t>27 March 2015</w:t>
            </w:r>
          </w:p>
        </w:tc>
      </w:tr>
      <w:tr w:rsidR="003B309C" w:rsidRPr="00B41E4A" w14:paraId="022902E5" w14:textId="77777777" w:rsidTr="00B41E4A">
        <w:trPr>
          <w:cantSplit/>
        </w:trPr>
        <w:tc>
          <w:tcPr>
            <w:tcW w:w="3685" w:type="dxa"/>
            <w:shd w:val="clear" w:color="auto" w:fill="auto"/>
          </w:tcPr>
          <w:p w14:paraId="1402F0D3" w14:textId="48843DFF" w:rsidR="003B309C" w:rsidRPr="00B41E4A" w:rsidRDefault="00B41E4A" w:rsidP="00B41E4A">
            <w:pPr>
              <w:pStyle w:val="SingleTxtG"/>
              <w:tabs>
                <w:tab w:val="clear" w:pos="1701"/>
                <w:tab w:val="clear" w:pos="2268"/>
              </w:tabs>
              <w:suppressAutoHyphens w:val="0"/>
              <w:spacing w:before="40" w:line="220" w:lineRule="exact"/>
              <w:ind w:left="0" w:right="113"/>
              <w:jc w:val="left"/>
            </w:pPr>
            <w:r w:rsidRPr="00B41E4A">
              <w:t>Papua New Guinea</w:t>
            </w:r>
          </w:p>
        </w:tc>
        <w:tc>
          <w:tcPr>
            <w:tcW w:w="3685" w:type="dxa"/>
            <w:shd w:val="clear" w:color="auto" w:fill="auto"/>
          </w:tcPr>
          <w:p w14:paraId="4FDD91A3" w14:textId="7876D615" w:rsidR="003B309C" w:rsidRPr="00B41E4A" w:rsidRDefault="00B41E4A" w:rsidP="00B41E4A">
            <w:pPr>
              <w:pStyle w:val="SingleTxtG"/>
              <w:tabs>
                <w:tab w:val="clear" w:pos="1701"/>
                <w:tab w:val="clear" w:pos="2268"/>
              </w:tabs>
              <w:suppressAutoHyphens w:val="0"/>
              <w:spacing w:before="40" w:line="220" w:lineRule="exact"/>
              <w:ind w:left="0" w:right="113"/>
              <w:jc w:val="left"/>
            </w:pPr>
            <w:r w:rsidRPr="00B41E4A">
              <w:t>26 October 2015</w:t>
            </w:r>
          </w:p>
        </w:tc>
      </w:tr>
    </w:tbl>
    <w:p w14:paraId="2CAA6015" w14:textId="77777777" w:rsidR="00895805" w:rsidRDefault="00895805" w:rsidP="004A1C95">
      <w:pPr>
        <w:pStyle w:val="SingleTxtG"/>
        <w:rPr>
          <w:b/>
          <w:sz w:val="28"/>
        </w:rPr>
        <w:sectPr w:rsidR="00895805" w:rsidSect="009C7535">
          <w:footerReference w:type="default" r:id="rId14"/>
          <w:headerReference w:type="first" r:id="rId15"/>
          <w:footerReference w:type="first" r:id="rId16"/>
          <w:footnotePr>
            <w:numRestart w:val="eachSect"/>
          </w:footnotePr>
          <w:endnotePr>
            <w:numFmt w:val="decimal"/>
          </w:endnotePr>
          <w:pgSz w:w="11907" w:h="16840" w:code="9"/>
          <w:pgMar w:top="1417" w:right="1134" w:bottom="1134" w:left="1134" w:header="850" w:footer="567" w:gutter="0"/>
          <w:cols w:space="720"/>
          <w:titlePg/>
          <w:docGrid w:linePitch="272"/>
        </w:sectPr>
      </w:pPr>
    </w:p>
    <w:p w14:paraId="6D904512" w14:textId="77777777" w:rsidR="004A1C95" w:rsidRPr="006E3747" w:rsidRDefault="004A1C95" w:rsidP="00895805">
      <w:pPr>
        <w:pStyle w:val="HChG"/>
        <w:rPr>
          <w:u w:val="single"/>
        </w:rPr>
      </w:pPr>
      <w:r w:rsidRPr="006E3747">
        <w:lastRenderedPageBreak/>
        <w:t>Annex III</w:t>
      </w:r>
    </w:p>
    <w:p w14:paraId="52B6AADD" w14:textId="77777777" w:rsidR="004A1C95" w:rsidRPr="006E3747" w:rsidRDefault="004A1C95" w:rsidP="00895805">
      <w:pPr>
        <w:pStyle w:val="HChG"/>
      </w:pPr>
      <w:r w:rsidRPr="006E3747">
        <w:tab/>
      </w:r>
      <w:r w:rsidRPr="006E3747">
        <w:tab/>
        <w:t xml:space="preserve">Summary of </w:t>
      </w:r>
      <w:r>
        <w:t xml:space="preserve">the Views and </w:t>
      </w:r>
      <w:r w:rsidRPr="006E3747">
        <w:t>decisions</w:t>
      </w:r>
      <w:r>
        <w:t xml:space="preserve"> adopted by the Committee</w:t>
      </w:r>
      <w:r w:rsidRPr="006E3747">
        <w:t xml:space="preserve"> </w:t>
      </w:r>
      <w:r>
        <w:t>regarding</w:t>
      </w:r>
      <w:r w:rsidRPr="006E3747">
        <w:t xml:space="preserve"> individual communications</w:t>
      </w:r>
      <w:r>
        <w:t xml:space="preserve"> submitted under the Optional Protocol</w:t>
      </w:r>
    </w:p>
    <w:p w14:paraId="44C5CCB5" w14:textId="77777777" w:rsidR="004A1C95" w:rsidRPr="00895805" w:rsidRDefault="004A1C95" w:rsidP="00895805">
      <w:pPr>
        <w:pStyle w:val="H23G"/>
        <w:rPr>
          <w:i/>
          <w:iCs/>
        </w:rPr>
      </w:pPr>
      <w:r w:rsidRPr="006E3747">
        <w:tab/>
      </w:r>
      <w:r w:rsidRPr="00895805">
        <w:rPr>
          <w:i/>
          <w:iCs/>
        </w:rPr>
        <w:tab/>
        <w:t>Rékasi v. Hungary</w:t>
      </w:r>
    </w:p>
    <w:p w14:paraId="5A5BC5F4" w14:textId="77777777" w:rsidR="001E00E5" w:rsidRDefault="004A1C95" w:rsidP="004A1C95">
      <w:pPr>
        <w:pStyle w:val="SingleTxtG"/>
      </w:pPr>
      <w:r w:rsidRPr="006E3747">
        <w:t>1.</w:t>
      </w:r>
      <w:r w:rsidRPr="006E3747">
        <w:tab/>
        <w:t xml:space="preserve">The Committee examined </w:t>
      </w:r>
      <w:r>
        <w:t xml:space="preserve">the </w:t>
      </w:r>
      <w:r w:rsidRPr="006E3747">
        <w:t xml:space="preserve">communication </w:t>
      </w:r>
      <w:r>
        <w:t>in the case of</w:t>
      </w:r>
      <w:r w:rsidRPr="006E3747">
        <w:t xml:space="preserve"> </w:t>
      </w:r>
      <w:r w:rsidRPr="00C35B96">
        <w:rPr>
          <w:i/>
          <w:iCs/>
        </w:rPr>
        <w:t>Rékasi v. Hungary</w:t>
      </w:r>
      <w:r w:rsidRPr="006E3747">
        <w:t>.</w:t>
      </w:r>
      <w:r w:rsidR="00895805" w:rsidRPr="00D13F8E">
        <w:rPr>
          <w:rStyle w:val="FootnoteReference"/>
        </w:rPr>
        <w:footnoteReference w:id="10"/>
      </w:r>
      <w:r w:rsidRPr="00D13F8E">
        <w:rPr>
          <w:rStyle w:val="FootnoteReference"/>
        </w:rPr>
        <w:t xml:space="preserve"> </w:t>
      </w:r>
      <w:r w:rsidRPr="006A31B2">
        <w:t xml:space="preserve">The author of the communication </w:t>
      </w:r>
      <w:r>
        <w:t>was</w:t>
      </w:r>
      <w:r w:rsidRPr="006A31B2">
        <w:t xml:space="preserve"> Magdolna Rékasi, a national of Hungary</w:t>
      </w:r>
      <w:r>
        <w:t>. She</w:t>
      </w:r>
      <w:r w:rsidRPr="006E3747">
        <w:t xml:space="preserve"> claimed </w:t>
      </w:r>
      <w:r>
        <w:t xml:space="preserve">to be a victim of </w:t>
      </w:r>
      <w:r w:rsidRPr="006E3747">
        <w:t xml:space="preserve">a violation </w:t>
      </w:r>
      <w:r>
        <w:t xml:space="preserve">by the State party </w:t>
      </w:r>
      <w:r w:rsidRPr="006E3747">
        <w:t>of her rights under articles 3 and 12 (3), (4) and (5) of the Convention</w:t>
      </w:r>
      <w:r>
        <w:t>,</w:t>
      </w:r>
      <w:r w:rsidRPr="006E3747">
        <w:t xml:space="preserve"> as her will and preferences </w:t>
      </w:r>
      <w:r>
        <w:t>had</w:t>
      </w:r>
      <w:r w:rsidRPr="006E3747">
        <w:t xml:space="preserve"> not</w:t>
      </w:r>
      <w:r>
        <w:t xml:space="preserve"> been</w:t>
      </w:r>
      <w:r w:rsidRPr="006E3747">
        <w:t xml:space="preserve"> taken into consideration </w:t>
      </w:r>
      <w:r>
        <w:t>in relation to</w:t>
      </w:r>
      <w:r w:rsidRPr="006E3747">
        <w:t xml:space="preserve"> her financial matters while she was under guardianship.</w:t>
      </w:r>
    </w:p>
    <w:p w14:paraId="00125677" w14:textId="77777777" w:rsidR="001E00E5" w:rsidRDefault="004A1C95" w:rsidP="004A1C95">
      <w:pPr>
        <w:pStyle w:val="SingleTxtG"/>
      </w:pPr>
      <w:r w:rsidRPr="006E3747">
        <w:t>2.</w:t>
      </w:r>
      <w:r w:rsidRPr="006E3747">
        <w:tab/>
        <w:t>On 29 January 2009, the author was placed under guardianship by the Municipal Court of J</w:t>
      </w:r>
      <w:r w:rsidRPr="00F62BD1">
        <w:t>á</w:t>
      </w:r>
      <w:r w:rsidRPr="006E3747">
        <w:t xml:space="preserve">szberény, after having been diagnosed with schizophrenia. </w:t>
      </w:r>
      <w:r>
        <w:t>U</w:t>
      </w:r>
      <w:r w:rsidRPr="006E3747">
        <w:t xml:space="preserve">ntil 2016, she </w:t>
      </w:r>
      <w:r>
        <w:t>had</w:t>
      </w:r>
      <w:r w:rsidRPr="006E3747">
        <w:t xml:space="preserve"> not </w:t>
      </w:r>
      <w:r>
        <w:t>had</w:t>
      </w:r>
      <w:r w:rsidRPr="006E3747">
        <w:t xml:space="preserve"> the legal capacity to exercise her rights over her financial assets as the guardianship </w:t>
      </w:r>
      <w:r>
        <w:t xml:space="preserve">had </w:t>
      </w:r>
      <w:r w:rsidRPr="006E3747">
        <w:t>fully limited her legal capacity in</w:t>
      </w:r>
      <w:r>
        <w:t xml:space="preserve"> relation to</w:t>
      </w:r>
      <w:r w:rsidRPr="006E3747">
        <w:t xml:space="preserve"> </w:t>
      </w:r>
      <w:r>
        <w:t>financial</w:t>
      </w:r>
      <w:r w:rsidRPr="006E3747">
        <w:t xml:space="preserve"> matters. As a result of a </w:t>
      </w:r>
      <w:r>
        <w:t>review</w:t>
      </w:r>
      <w:r w:rsidRPr="006E3747">
        <w:t xml:space="preserve"> process, the author </w:t>
      </w:r>
      <w:r>
        <w:t xml:space="preserve">had </w:t>
      </w:r>
      <w:r w:rsidRPr="006E3747">
        <w:t xml:space="preserve">regained her legal capacity in relation to her financial matters. On 20 June 2016, </w:t>
      </w:r>
      <w:r>
        <w:t>the</w:t>
      </w:r>
      <w:r w:rsidRPr="006E3747">
        <w:t xml:space="preserve"> guardian </w:t>
      </w:r>
      <w:r>
        <w:t xml:space="preserve">had </w:t>
      </w:r>
      <w:r w:rsidRPr="006E3747">
        <w:t xml:space="preserve">handed over the final account of the management of </w:t>
      </w:r>
      <w:r>
        <w:t>the author</w:t>
      </w:r>
      <w:r w:rsidR="001E00E5">
        <w:t>’</w:t>
      </w:r>
      <w:r>
        <w:t>s</w:t>
      </w:r>
      <w:r w:rsidRPr="006E3747">
        <w:t xml:space="preserve"> finances. The account showed that, on 22 March 2012, the guardian had entered into a contract for life insurance on behalf of the author. The </w:t>
      </w:r>
      <w:r>
        <w:t>g</w:t>
      </w:r>
      <w:r w:rsidRPr="006E3747">
        <w:t>uardian</w:t>
      </w:r>
      <w:r>
        <w:t>ship</w:t>
      </w:r>
      <w:r w:rsidRPr="006E3747">
        <w:t xml:space="preserve"> </w:t>
      </w:r>
      <w:r>
        <w:t>a</w:t>
      </w:r>
      <w:r w:rsidRPr="006E3747">
        <w:t xml:space="preserve">uthority of the city of </w:t>
      </w:r>
      <w:r w:rsidRPr="00F62BD1">
        <w:t>Ú</w:t>
      </w:r>
      <w:r w:rsidRPr="006E3747">
        <w:t>jsz</w:t>
      </w:r>
      <w:r w:rsidRPr="00F62BD1">
        <w:t>á</w:t>
      </w:r>
      <w:r w:rsidRPr="006E3747">
        <w:t xml:space="preserve">sz had approved the payment of the insurance fee. The author </w:t>
      </w:r>
      <w:r>
        <w:t>had</w:t>
      </w:r>
      <w:r w:rsidRPr="006E3747">
        <w:t xml:space="preserve"> not</w:t>
      </w:r>
      <w:r>
        <w:t xml:space="preserve"> been</w:t>
      </w:r>
      <w:r w:rsidRPr="006E3747">
        <w:t xml:space="preserve"> informed about the insurance contract, and she </w:t>
      </w:r>
      <w:r>
        <w:t>had</w:t>
      </w:r>
      <w:r w:rsidRPr="006E3747">
        <w:t xml:space="preserve"> not </w:t>
      </w:r>
      <w:r>
        <w:t>had</w:t>
      </w:r>
      <w:r w:rsidRPr="006E3747">
        <w:t xml:space="preserve"> the opportunity to express her opinion or personal preference about it as the guardian </w:t>
      </w:r>
      <w:r>
        <w:t xml:space="preserve">had </w:t>
      </w:r>
      <w:r w:rsidRPr="006E3747">
        <w:t xml:space="preserve">never sought her opinion. She </w:t>
      </w:r>
      <w:r>
        <w:t xml:space="preserve">had </w:t>
      </w:r>
      <w:r w:rsidRPr="006E3747">
        <w:t xml:space="preserve">never received a copy of the contract nor a copy of the petition submitted by the guardian or </w:t>
      </w:r>
      <w:r>
        <w:t xml:space="preserve">a copy of </w:t>
      </w:r>
      <w:r w:rsidRPr="006E3747">
        <w:t xml:space="preserve">the approval of the </w:t>
      </w:r>
      <w:r>
        <w:t xml:space="preserve">guardianship </w:t>
      </w:r>
      <w:r w:rsidRPr="006E3747">
        <w:t xml:space="preserve">authority. The insurance fee </w:t>
      </w:r>
      <w:r>
        <w:t xml:space="preserve">had </w:t>
      </w:r>
      <w:r w:rsidRPr="006E3747">
        <w:t xml:space="preserve">amounted to approximately </w:t>
      </w:r>
      <w:r>
        <w:t>$</w:t>
      </w:r>
      <w:r w:rsidRPr="006E3747">
        <w:t>1,50</w:t>
      </w:r>
      <w:r>
        <w:t>0.</w:t>
      </w:r>
      <w:r w:rsidRPr="006E3747">
        <w:t xml:space="preserve"> </w:t>
      </w:r>
      <w:r>
        <w:t>T</w:t>
      </w:r>
      <w:r w:rsidRPr="006E3747">
        <w:t>he only goal of the insurance was to cover the cost and expenses of the author</w:t>
      </w:r>
      <w:r w:rsidR="001E00E5">
        <w:t>’</w:t>
      </w:r>
      <w:r w:rsidRPr="006E3747">
        <w:t xml:space="preserve">s funeral in </w:t>
      </w:r>
      <w:r>
        <w:t>the event</w:t>
      </w:r>
      <w:r w:rsidRPr="006E3747">
        <w:t xml:space="preserve"> of her death.</w:t>
      </w:r>
    </w:p>
    <w:p w14:paraId="3CAC7DF3" w14:textId="77777777" w:rsidR="001E00E5" w:rsidRDefault="004A1C95" w:rsidP="004A1C95">
      <w:pPr>
        <w:pStyle w:val="SingleTxtG"/>
      </w:pPr>
      <w:r w:rsidRPr="006E3747">
        <w:t>3.</w:t>
      </w:r>
      <w:r w:rsidRPr="006E3747">
        <w:tab/>
        <w:t xml:space="preserve">In its </w:t>
      </w:r>
      <w:r>
        <w:t>V</w:t>
      </w:r>
      <w:r w:rsidRPr="006E3747">
        <w:t>iews, the Committee noted that the author was only 42 years old at the time of the conclusion of the contract, in a good state of health, and with no immediate risk of death at that moment. The Committee also noted the author</w:t>
      </w:r>
      <w:r w:rsidR="001E00E5">
        <w:t>’</w:t>
      </w:r>
      <w:r w:rsidRPr="006E3747">
        <w:t>s statement that the conclusion of the insurance contract, the sole goal of which was to provide coverage for her burial, was</w:t>
      </w:r>
      <w:r>
        <w:t>,</w:t>
      </w:r>
      <w:r w:rsidRPr="006E3747">
        <w:t xml:space="preserve"> in her opinion, an irresponsible financial decision </w:t>
      </w:r>
      <w:r>
        <w:t>that</w:t>
      </w:r>
      <w:r w:rsidRPr="006E3747">
        <w:t xml:space="preserve"> was contrary to her interests. It observed that, while the author </w:t>
      </w:r>
      <w:r>
        <w:t>was</w:t>
      </w:r>
      <w:r w:rsidRPr="006E3747">
        <w:t xml:space="preserve"> entitled to repurchase the insurance under the contract, she </w:t>
      </w:r>
      <w:r>
        <w:t xml:space="preserve">could </w:t>
      </w:r>
      <w:r w:rsidRPr="006E3747">
        <w:t>not recover the full amount, which represent</w:t>
      </w:r>
      <w:r>
        <w:t>ed</w:t>
      </w:r>
      <w:r w:rsidRPr="006E3747">
        <w:t xml:space="preserve"> a significant loss for the author, who only receive</w:t>
      </w:r>
      <w:r>
        <w:t>d</w:t>
      </w:r>
      <w:r w:rsidRPr="006E3747">
        <w:t xml:space="preserve"> a monthly pension of </w:t>
      </w:r>
      <w:r>
        <w:t>$</w:t>
      </w:r>
      <w:r w:rsidRPr="006E3747">
        <w:t xml:space="preserve">203. In that regard, it observed that the State party had not explained the urgency </w:t>
      </w:r>
      <w:r>
        <w:t>or the</w:t>
      </w:r>
      <w:r w:rsidRPr="006E3747">
        <w:t xml:space="preserve"> need </w:t>
      </w:r>
      <w:r>
        <w:t>to</w:t>
      </w:r>
      <w:r w:rsidRPr="006E3747">
        <w:t xml:space="preserve"> conclud</w:t>
      </w:r>
      <w:r>
        <w:t>e</w:t>
      </w:r>
      <w:r w:rsidRPr="006E3747">
        <w:t xml:space="preserve"> the life insurance contract on behalf of the author, considering all the circumstances.</w:t>
      </w:r>
    </w:p>
    <w:p w14:paraId="0905BDC0" w14:textId="77777777" w:rsidR="001E00E5" w:rsidRDefault="004A1C95" w:rsidP="004A1C95">
      <w:pPr>
        <w:pStyle w:val="SingleTxtG"/>
      </w:pPr>
      <w:r w:rsidRPr="006E3747">
        <w:t>4.</w:t>
      </w:r>
      <w:r w:rsidRPr="006E3747">
        <w:tab/>
        <w:t xml:space="preserve">The Committee recalled that, under article 12 of the Convention, States parties </w:t>
      </w:r>
      <w:r>
        <w:t>were</w:t>
      </w:r>
      <w:r w:rsidRPr="006E3747">
        <w:t xml:space="preserve"> obliged to recognize that persons with disabilities enjoy</w:t>
      </w:r>
      <w:r>
        <w:t>ed</w:t>
      </w:r>
      <w:r w:rsidRPr="006E3747">
        <w:t xml:space="preserve"> legal capacity on an equal basis with others in all aspects of life. The Committee also recalled that States parties are obliged to provide support in the exercise of the legal capacity of persons with disabilities. The Committee further recalled that </w:t>
      </w:r>
      <w:r>
        <w:t xml:space="preserve">in </w:t>
      </w:r>
      <w:r w:rsidRPr="006E3747">
        <w:t>accord</w:t>
      </w:r>
      <w:r>
        <w:t>ance</w:t>
      </w:r>
      <w:r w:rsidRPr="006E3747">
        <w:t xml:space="preserve"> </w:t>
      </w:r>
      <w:r>
        <w:t>with paragraph 21 of</w:t>
      </w:r>
      <w:r w:rsidRPr="006E3747">
        <w:t xml:space="preserve"> its general comment No. 1 (2014), where, after significant efforts ha</w:t>
      </w:r>
      <w:r>
        <w:t>d</w:t>
      </w:r>
      <w:r w:rsidRPr="006E3747">
        <w:t xml:space="preserve"> been made, it </w:t>
      </w:r>
      <w:r>
        <w:t>was</w:t>
      </w:r>
      <w:r w:rsidRPr="006E3747">
        <w:t xml:space="preserve"> not practicable to determine the will and preferences of an individual, the </w:t>
      </w:r>
      <w:r w:rsidR="001E00E5">
        <w:t>“</w:t>
      </w:r>
      <w:r w:rsidRPr="006E3747">
        <w:t>best interpretation of will and preferences</w:t>
      </w:r>
      <w:r w:rsidR="001E00E5">
        <w:t>”</w:t>
      </w:r>
      <w:r w:rsidRPr="006E3747">
        <w:t xml:space="preserve"> must replace the </w:t>
      </w:r>
      <w:r w:rsidR="001E00E5">
        <w:t>“</w:t>
      </w:r>
      <w:r w:rsidRPr="006E3747">
        <w:t>best interests</w:t>
      </w:r>
      <w:r w:rsidR="001E00E5">
        <w:t>”</w:t>
      </w:r>
      <w:r w:rsidRPr="006E3747">
        <w:t xml:space="preserve"> determinations.</w:t>
      </w:r>
    </w:p>
    <w:p w14:paraId="702FFF51" w14:textId="4068A16E" w:rsidR="004A1C95" w:rsidRPr="006E3747" w:rsidRDefault="004A1C95" w:rsidP="004A1C95">
      <w:pPr>
        <w:pStyle w:val="SingleTxtG"/>
      </w:pPr>
      <w:r w:rsidRPr="006E3747">
        <w:t>5.</w:t>
      </w:r>
      <w:r w:rsidRPr="006E3747">
        <w:tab/>
        <w:t>The Committee found that the decision of the guardian</w:t>
      </w:r>
      <w:r>
        <w:t>ship</w:t>
      </w:r>
      <w:r w:rsidRPr="006E3747">
        <w:t xml:space="preserve"> authority to authorize the author</w:t>
      </w:r>
      <w:r w:rsidR="001E00E5">
        <w:t>’</w:t>
      </w:r>
      <w:r w:rsidRPr="006E3747">
        <w:t>s guardian to conclude a life insurance contract on behalf of the author, without having made significant efforts to determine her will or preferences</w:t>
      </w:r>
      <w:r>
        <w:t>,</w:t>
      </w:r>
      <w:r w:rsidRPr="006E3747">
        <w:t xml:space="preserve"> or the </w:t>
      </w:r>
      <w:r w:rsidR="001E00E5">
        <w:t>“</w:t>
      </w:r>
      <w:r w:rsidRPr="006E3747">
        <w:t>best interpretation</w:t>
      </w:r>
      <w:r w:rsidR="001E00E5">
        <w:t>”</w:t>
      </w:r>
      <w:r w:rsidRPr="006E3747">
        <w:t xml:space="preserve"> of her will and preferences, </w:t>
      </w:r>
      <w:r>
        <w:t xml:space="preserve">had </w:t>
      </w:r>
      <w:r w:rsidRPr="006E3747">
        <w:t>amounted to a violation of her rights under article 12 (3), (4) and (5) of the Convention.</w:t>
      </w:r>
    </w:p>
    <w:p w14:paraId="7C62ABE0" w14:textId="77777777" w:rsidR="004A1C95" w:rsidRPr="00895805" w:rsidRDefault="004A1C95" w:rsidP="00895805">
      <w:pPr>
        <w:pStyle w:val="H23G"/>
        <w:rPr>
          <w:i/>
          <w:iCs/>
        </w:rPr>
      </w:pPr>
      <w:r w:rsidRPr="00895805">
        <w:rPr>
          <w:i/>
          <w:iCs/>
        </w:rPr>
        <w:lastRenderedPageBreak/>
        <w:tab/>
      </w:r>
      <w:r w:rsidRPr="00895805">
        <w:rPr>
          <w:i/>
          <w:iCs/>
        </w:rPr>
        <w:tab/>
        <w:t>Z.H. v. Sweden</w:t>
      </w:r>
    </w:p>
    <w:p w14:paraId="74B12D8D" w14:textId="77777777" w:rsidR="001E00E5" w:rsidRDefault="004A1C95" w:rsidP="004A1C95">
      <w:pPr>
        <w:pStyle w:val="SingleTxtG"/>
      </w:pPr>
      <w:r>
        <w:t>6</w:t>
      </w:r>
      <w:r w:rsidRPr="006E3747">
        <w:t>.</w:t>
      </w:r>
      <w:r w:rsidRPr="006E3747">
        <w:tab/>
        <w:t xml:space="preserve">The Committee examined </w:t>
      </w:r>
      <w:r>
        <w:t xml:space="preserve">the </w:t>
      </w:r>
      <w:r w:rsidRPr="006E3747">
        <w:t xml:space="preserve">communication </w:t>
      </w:r>
      <w:r>
        <w:t>in the case of</w:t>
      </w:r>
      <w:r w:rsidRPr="006E3747">
        <w:t xml:space="preserve"> </w:t>
      </w:r>
      <w:r w:rsidRPr="00C35B96">
        <w:rPr>
          <w:i/>
          <w:iCs/>
        </w:rPr>
        <w:t>Z.H. v. Sweden</w:t>
      </w:r>
      <w:r w:rsidRPr="006E3747">
        <w:t>.</w:t>
      </w:r>
      <w:r w:rsidR="005440F6" w:rsidRPr="00D13F8E">
        <w:rPr>
          <w:rStyle w:val="FootnoteReference"/>
        </w:rPr>
        <w:footnoteReference w:id="11"/>
      </w:r>
      <w:r w:rsidRPr="00D13F8E">
        <w:rPr>
          <w:rStyle w:val="FootnoteReference"/>
        </w:rPr>
        <w:t xml:space="preserve"> </w:t>
      </w:r>
      <w:r w:rsidRPr="006E3747">
        <w:t xml:space="preserve">The author of the communication </w:t>
      </w:r>
      <w:r>
        <w:t>was</w:t>
      </w:r>
      <w:r w:rsidRPr="006E3747">
        <w:t xml:space="preserve"> Z.H., a national of </w:t>
      </w:r>
      <w:r>
        <w:t>Afghanistan</w:t>
      </w:r>
      <w:r w:rsidRPr="006E3747">
        <w:t xml:space="preserve">. His application for asylum had been rejected by the State party. He claimed that </w:t>
      </w:r>
      <w:r>
        <w:t>his</w:t>
      </w:r>
      <w:r w:rsidRPr="006E3747">
        <w:t xml:space="preserve"> deport</w:t>
      </w:r>
      <w:r>
        <w:t>ation</w:t>
      </w:r>
      <w:r w:rsidRPr="006E3747">
        <w:t xml:space="preserve"> to Afghanistan would </w:t>
      </w:r>
      <w:r>
        <w:t xml:space="preserve">constitute a </w:t>
      </w:r>
      <w:r w:rsidRPr="006E3747">
        <w:t>violat</w:t>
      </w:r>
      <w:r>
        <w:t>ion of</w:t>
      </w:r>
      <w:r w:rsidRPr="006E3747">
        <w:t xml:space="preserve"> his rights</w:t>
      </w:r>
      <w:r>
        <w:t xml:space="preserve"> by the State party</w:t>
      </w:r>
      <w:r w:rsidRPr="006E3747">
        <w:t xml:space="preserve"> under articles 10 and 15 of the Convention</w:t>
      </w:r>
      <w:r>
        <w:t>.</w:t>
      </w:r>
      <w:r w:rsidRPr="00574782">
        <w:t xml:space="preserve"> He also claim</w:t>
      </w:r>
      <w:r>
        <w:t>ed</w:t>
      </w:r>
      <w:r w:rsidRPr="00574782">
        <w:t xml:space="preserve"> that he had</w:t>
      </w:r>
      <w:r>
        <w:t xml:space="preserve"> had</w:t>
      </w:r>
      <w:r w:rsidRPr="00574782">
        <w:t xml:space="preserve"> no access to justice and </w:t>
      </w:r>
      <w:r>
        <w:t>had</w:t>
      </w:r>
      <w:r w:rsidRPr="00574782">
        <w:t xml:space="preserve"> not</w:t>
      </w:r>
      <w:r>
        <w:t xml:space="preserve"> been</w:t>
      </w:r>
      <w:r w:rsidRPr="00574782">
        <w:t xml:space="preserve"> treated with equal recognition before the law by the domestic authorities in the course of his asylum procedure, contrary to articles 12 and 13 of the Convention</w:t>
      </w:r>
      <w:r w:rsidRPr="006E3747">
        <w:t>.</w:t>
      </w:r>
    </w:p>
    <w:p w14:paraId="7AFA7321" w14:textId="3C4D187C" w:rsidR="004A1C95" w:rsidRDefault="004A1C95" w:rsidP="004A1C95">
      <w:pPr>
        <w:pStyle w:val="SingleTxtG"/>
      </w:pPr>
      <w:r>
        <w:t>7</w:t>
      </w:r>
      <w:r w:rsidRPr="006E3747">
        <w:t>.</w:t>
      </w:r>
      <w:r w:rsidRPr="006E3747">
        <w:tab/>
        <w:t xml:space="preserve">In his complaint, the author </w:t>
      </w:r>
      <w:r>
        <w:t>claimed</w:t>
      </w:r>
      <w:r w:rsidRPr="006E3747">
        <w:t xml:space="preserve"> that he ha</w:t>
      </w:r>
      <w:r>
        <w:t>d</w:t>
      </w:r>
      <w:r w:rsidRPr="006E3747">
        <w:t xml:space="preserve"> been diagnosed with post-traumatic stress disorder with psychotic features. According to medical reports, he suffer</w:t>
      </w:r>
      <w:r>
        <w:t>ed</w:t>
      </w:r>
      <w:r w:rsidRPr="006E3747">
        <w:t xml:space="preserve"> from anxiety, tension, restlessness, sleep disturbances, delusions</w:t>
      </w:r>
      <w:r>
        <w:t>,</w:t>
      </w:r>
      <w:r w:rsidRPr="006E3747">
        <w:t xml:space="preserve"> hallucinations and suicidal thoughts. His condition </w:t>
      </w:r>
      <w:r>
        <w:t>had been</w:t>
      </w:r>
      <w:r w:rsidRPr="006E3747">
        <w:t xml:space="preserve"> assessed to be life-threatening because of the risk of suicide. The </w:t>
      </w:r>
      <w:r>
        <w:t>Swedish Migration Agency</w:t>
      </w:r>
      <w:r w:rsidRPr="006E3747">
        <w:t xml:space="preserve"> considered that the circumstances in the author</w:t>
      </w:r>
      <w:r w:rsidR="001E00E5">
        <w:t>’</w:t>
      </w:r>
      <w:r w:rsidRPr="006E3747">
        <w:t xml:space="preserve">s case </w:t>
      </w:r>
      <w:r>
        <w:t>had been</w:t>
      </w:r>
      <w:r w:rsidRPr="006E3747">
        <w:t xml:space="preserve"> exceptionally distressing and acknowledged that there </w:t>
      </w:r>
      <w:r>
        <w:t>had been</w:t>
      </w:r>
      <w:r w:rsidRPr="006E3747">
        <w:t xml:space="preserve"> shortcomings in the care available to patients with mental health problems</w:t>
      </w:r>
      <w:r>
        <w:t xml:space="preserve"> in the Afghan health system</w:t>
      </w:r>
      <w:r w:rsidRPr="006E3747">
        <w:t>. Relying on the available country information, the</w:t>
      </w:r>
      <w:r>
        <w:t xml:space="preserve"> Migration Agency had</w:t>
      </w:r>
      <w:r w:rsidRPr="006E3747">
        <w:t xml:space="preserve"> nonetheless concluded that some sort of psychiatric treatment, and the medications prescribed for the author in Sweden</w:t>
      </w:r>
      <w:r>
        <w:t>,</w:t>
      </w:r>
      <w:r w:rsidRPr="006E3747">
        <w:t xml:space="preserve"> would be available in Kabul and therefore</w:t>
      </w:r>
      <w:r>
        <w:t xml:space="preserve"> that</w:t>
      </w:r>
      <w:r w:rsidRPr="006E3747">
        <w:t xml:space="preserve"> he would run no risk of death or other forms of ill-treatment if returned to Afghanistan.</w:t>
      </w:r>
    </w:p>
    <w:p w14:paraId="751FC015" w14:textId="785F2D09" w:rsidR="004A1C95" w:rsidRPr="006E3747" w:rsidRDefault="004A1C95" w:rsidP="004A1C95">
      <w:pPr>
        <w:pStyle w:val="SingleTxtG"/>
      </w:pPr>
      <w:r>
        <w:t>8.</w:t>
      </w:r>
      <w:r>
        <w:tab/>
      </w:r>
      <w:r w:rsidRPr="006E3747">
        <w:t xml:space="preserve">Subsequently, the author </w:t>
      </w:r>
      <w:r>
        <w:t xml:space="preserve">had </w:t>
      </w:r>
      <w:r w:rsidRPr="006E3747">
        <w:t xml:space="preserve">claimed that there </w:t>
      </w:r>
      <w:r>
        <w:t>had been</w:t>
      </w:r>
      <w:r w:rsidRPr="006E3747">
        <w:t xml:space="preserve"> impediments to the enforcement of his deportation order. He </w:t>
      </w:r>
      <w:r>
        <w:t xml:space="preserve">had </w:t>
      </w:r>
      <w:r w:rsidRPr="006E3747">
        <w:t>submitted new medical reports as evidence to substantiate that he suffer</w:t>
      </w:r>
      <w:r>
        <w:t>ed</w:t>
      </w:r>
      <w:r w:rsidRPr="006E3747">
        <w:t xml:space="preserve"> not only from post-traumatic stress disorder but also from paranoid schizophrenia. The </w:t>
      </w:r>
      <w:r>
        <w:t>Migration Agency had</w:t>
      </w:r>
      <w:r w:rsidRPr="006E3747">
        <w:t xml:space="preserve"> found, however, that </w:t>
      </w:r>
      <w:r>
        <w:t xml:space="preserve">the medical certificates that he had submitted, including regarding </w:t>
      </w:r>
      <w:r w:rsidRPr="006E3747">
        <w:t>the author</w:t>
      </w:r>
      <w:r w:rsidR="001E00E5">
        <w:t>’</w:t>
      </w:r>
      <w:r w:rsidRPr="006E3747">
        <w:t xml:space="preserve">s diagnosis </w:t>
      </w:r>
      <w:r>
        <w:t>with</w:t>
      </w:r>
      <w:r w:rsidRPr="006E3747">
        <w:t xml:space="preserve"> paranoid schizophrenia</w:t>
      </w:r>
      <w:r>
        <w:t>,</w:t>
      </w:r>
      <w:r w:rsidRPr="006E3747">
        <w:t xml:space="preserve"> did not constitute new circumstances that would warrant a </w:t>
      </w:r>
      <w:r>
        <w:t>fresh</w:t>
      </w:r>
      <w:r w:rsidRPr="006E3747">
        <w:t xml:space="preserve"> examination of the case</w:t>
      </w:r>
      <w:r>
        <w:t>,</w:t>
      </w:r>
      <w:r w:rsidRPr="006E3747">
        <w:t xml:space="preserve"> owing to the fact that his symptoms </w:t>
      </w:r>
      <w:r>
        <w:t>had already been</w:t>
      </w:r>
      <w:r w:rsidRPr="006E3747">
        <w:t xml:space="preserve"> brought before the authorities in the context of his post-traumatic stress disorder diagnosis and </w:t>
      </w:r>
      <w:r>
        <w:t xml:space="preserve">had </w:t>
      </w:r>
      <w:r w:rsidRPr="006E3747">
        <w:t>constituted part of the asylum authorities</w:t>
      </w:r>
      <w:r w:rsidR="001E00E5">
        <w:t>’</w:t>
      </w:r>
      <w:r w:rsidRPr="006E3747">
        <w:t xml:space="preserve"> consideration.</w:t>
      </w:r>
    </w:p>
    <w:p w14:paraId="5E18D2A6" w14:textId="27862E1E" w:rsidR="004A1C95" w:rsidRPr="006E3747" w:rsidRDefault="004A1C95" w:rsidP="004A1C95">
      <w:pPr>
        <w:pStyle w:val="SingleTxtG"/>
      </w:pPr>
      <w:r>
        <w:t>9</w:t>
      </w:r>
      <w:r w:rsidRPr="006E3747">
        <w:t>.</w:t>
      </w:r>
      <w:r w:rsidRPr="006E3747">
        <w:tab/>
        <w:t xml:space="preserve">In its </w:t>
      </w:r>
      <w:r>
        <w:t>V</w:t>
      </w:r>
      <w:r w:rsidRPr="006E3747">
        <w:t>iews, the Committee declared the communication admissible</w:t>
      </w:r>
      <w:r>
        <w:t>,</w:t>
      </w:r>
      <w:r w:rsidRPr="006E3747">
        <w:t xml:space="preserve"> insofar as it concerned the author</w:t>
      </w:r>
      <w:r w:rsidR="001E00E5">
        <w:t>’</w:t>
      </w:r>
      <w:r w:rsidRPr="006E3747">
        <w:t>s claims under articles 10 and 15 of the Convention. It recalled that article 10 of the Convention stipulate</w:t>
      </w:r>
      <w:r>
        <w:t>d</w:t>
      </w:r>
      <w:r w:rsidRPr="006E3747">
        <w:t xml:space="preserve"> that States parties reaffirm</w:t>
      </w:r>
      <w:r>
        <w:t>ed</w:t>
      </w:r>
      <w:r w:rsidRPr="006E3747">
        <w:t xml:space="preserve"> that every </w:t>
      </w:r>
      <w:r>
        <w:t>human being</w:t>
      </w:r>
      <w:r w:rsidRPr="006E3747">
        <w:t xml:space="preserve"> ha</w:t>
      </w:r>
      <w:r>
        <w:t>d</w:t>
      </w:r>
      <w:r w:rsidRPr="006E3747">
        <w:t xml:space="preserve"> the inherent right to life and </w:t>
      </w:r>
      <w:r>
        <w:t>that they must</w:t>
      </w:r>
      <w:r w:rsidRPr="006E3747">
        <w:t xml:space="preserve"> take all necessary measures to ensure its effective enjoyment by persons with disabilities on an equal basis with others. The Committee </w:t>
      </w:r>
      <w:r>
        <w:t>also</w:t>
      </w:r>
      <w:r w:rsidRPr="006E3747">
        <w:t xml:space="preserve"> recalled that</w:t>
      </w:r>
      <w:r>
        <w:t>,</w:t>
      </w:r>
      <w:r w:rsidRPr="006E3747">
        <w:t xml:space="preserve"> under article 15 of the Convention</w:t>
      </w:r>
      <w:r>
        <w:t>,</w:t>
      </w:r>
      <w:r w:rsidRPr="006E3747">
        <w:t xml:space="preserve"> State</w:t>
      </w:r>
      <w:r w:rsidR="00FB3CF4">
        <w:t>s</w:t>
      </w:r>
      <w:r w:rsidRPr="006E3747">
        <w:t xml:space="preserve"> parties ha</w:t>
      </w:r>
      <w:r>
        <w:t>d</w:t>
      </w:r>
      <w:r w:rsidRPr="006E3747">
        <w:t xml:space="preserve"> the obligation to take all effective legislative, administrative, judicial or other measures to prevent persons with disabilities, on an equal basis with others, from being subjected to torture or cruel, inhuman or degrading treatment or punishment. In addition, the Committee recalled its recent decision in </w:t>
      </w:r>
      <w:r w:rsidRPr="00C35B96">
        <w:rPr>
          <w:i/>
          <w:iCs/>
        </w:rPr>
        <w:t>N.L. v. Sweden</w:t>
      </w:r>
      <w:r w:rsidRPr="006E3747">
        <w:t>,</w:t>
      </w:r>
      <w:r w:rsidR="005440F6" w:rsidRPr="00D13F8E">
        <w:rPr>
          <w:rStyle w:val="FootnoteReference"/>
        </w:rPr>
        <w:footnoteReference w:id="12"/>
      </w:r>
      <w:r w:rsidRPr="00D13F8E">
        <w:rPr>
          <w:rStyle w:val="FootnoteReference"/>
        </w:rPr>
        <w:t xml:space="preserve"> </w:t>
      </w:r>
      <w:r w:rsidRPr="006E3747">
        <w:t xml:space="preserve">in which </w:t>
      </w:r>
      <w:r>
        <w:t>it had</w:t>
      </w:r>
      <w:r w:rsidRPr="006E3747">
        <w:t xml:space="preserve"> found a violation of article 15 of the Convention on account of the State party</w:t>
      </w:r>
      <w:r w:rsidR="001E00E5">
        <w:t>’</w:t>
      </w:r>
      <w:r w:rsidRPr="006E3747">
        <w:t xml:space="preserve">s failure to assess whether the author would be able to access medical care in Iraq corresponding to her diagnosis. </w:t>
      </w:r>
      <w:r>
        <w:t>The Committee</w:t>
      </w:r>
      <w:r w:rsidRPr="006E3747">
        <w:t xml:space="preserve"> noted that in that decision</w:t>
      </w:r>
      <w:r>
        <w:t>,</w:t>
      </w:r>
      <w:r w:rsidRPr="006E3747">
        <w:t xml:space="preserve"> reference </w:t>
      </w:r>
      <w:r>
        <w:t>had been</w:t>
      </w:r>
      <w:r w:rsidRPr="006E3747">
        <w:t xml:space="preserve"> made to the relevant jurisprudence of the Human Rights Committee, the Committee against Torture and the European Court of Human Rights</w:t>
      </w:r>
      <w:r>
        <w:t>,</w:t>
      </w:r>
      <w:r w:rsidRPr="006E3747">
        <w:t xml:space="preserve"> and that the general principles established in those decisions </w:t>
      </w:r>
      <w:r>
        <w:t>had been</w:t>
      </w:r>
      <w:r w:rsidRPr="006E3747">
        <w:t xml:space="preserve"> reiterated in </w:t>
      </w:r>
      <w:r w:rsidRPr="00C35B96">
        <w:rPr>
          <w:i/>
          <w:iCs/>
        </w:rPr>
        <w:t>N.L. v. Sweden</w:t>
      </w:r>
      <w:r w:rsidRPr="006E3747">
        <w:t xml:space="preserve"> and remain</w:t>
      </w:r>
      <w:r>
        <w:t>ed</w:t>
      </w:r>
      <w:r w:rsidRPr="006E3747">
        <w:t xml:space="preserve"> relevant in the assessment of the case</w:t>
      </w:r>
      <w:r>
        <w:t xml:space="preserve"> under consideration</w:t>
      </w:r>
      <w:r w:rsidRPr="006E3747">
        <w:t>.</w:t>
      </w:r>
    </w:p>
    <w:p w14:paraId="79560F3B" w14:textId="539EB11E" w:rsidR="004A1C95" w:rsidRDefault="004A1C95" w:rsidP="004A1C95">
      <w:pPr>
        <w:pStyle w:val="SingleTxtG"/>
      </w:pPr>
      <w:r>
        <w:t>10</w:t>
      </w:r>
      <w:r w:rsidRPr="006E3747">
        <w:t>.</w:t>
      </w:r>
      <w:r w:rsidRPr="006E3747">
        <w:tab/>
        <w:t>In the author</w:t>
      </w:r>
      <w:r w:rsidR="001E00E5">
        <w:t>’</w:t>
      </w:r>
      <w:r w:rsidRPr="006E3747">
        <w:t xml:space="preserve">s case, the Committee had to determine whether there </w:t>
      </w:r>
      <w:r>
        <w:t>were</w:t>
      </w:r>
      <w:r w:rsidRPr="006E3747">
        <w:t xml:space="preserve"> substantial grounds for believing that the author would face a real risk of irreparable harm as contemplated </w:t>
      </w:r>
      <w:r>
        <w:t>in</w:t>
      </w:r>
      <w:r w:rsidRPr="006E3747">
        <w:t xml:space="preserve"> articles 10 and 15</w:t>
      </w:r>
      <w:r>
        <w:t xml:space="preserve"> of the Convention</w:t>
      </w:r>
      <w:r w:rsidRPr="006E3747">
        <w:t xml:space="preserve"> if he were to be removed to Afghanistan, such as being exposed to a serious, rapid and irreversible decline in his health resulting in intense suffering or to a significant reduction in life expectancy. The Committee noted that it was undisputed between the parties that the author ha</w:t>
      </w:r>
      <w:r>
        <w:t>d</w:t>
      </w:r>
      <w:r w:rsidRPr="006E3747">
        <w:t xml:space="preserve"> been diagnosed with post-traumatic stress disorder and that he was being treated for </w:t>
      </w:r>
      <w:r>
        <w:t>that</w:t>
      </w:r>
      <w:r w:rsidRPr="006E3747">
        <w:t xml:space="preserve"> condition, which </w:t>
      </w:r>
      <w:r>
        <w:t>had been</w:t>
      </w:r>
      <w:r w:rsidRPr="006E3747">
        <w:t xml:space="preserve"> assessed to be life-threatening due to the risk of suicide. The Committee was mindful of the author</w:t>
      </w:r>
      <w:r w:rsidR="001E00E5">
        <w:t>’</w:t>
      </w:r>
      <w:r w:rsidRPr="006E3747">
        <w:t xml:space="preserve">s arguments that a new assessment would have been required by the domestic authorities in </w:t>
      </w:r>
      <w:r w:rsidRPr="006E3747">
        <w:lastRenderedPageBreak/>
        <w:t xml:space="preserve">the light of his diagnosis </w:t>
      </w:r>
      <w:r>
        <w:t>with</w:t>
      </w:r>
      <w:r w:rsidRPr="006E3747">
        <w:t xml:space="preserve"> paranoid schizophrenia. </w:t>
      </w:r>
      <w:r>
        <w:t>I</w:t>
      </w:r>
      <w:r w:rsidRPr="006E3747">
        <w:t>n view of the fact that there ha</w:t>
      </w:r>
      <w:r>
        <w:t>d</w:t>
      </w:r>
      <w:r w:rsidRPr="006E3747">
        <w:t xml:space="preserve"> been an assessment by the asylum authorities of the risks of harm associated with the author</w:t>
      </w:r>
      <w:r w:rsidR="001E00E5">
        <w:t>’</w:t>
      </w:r>
      <w:r w:rsidRPr="006E3747">
        <w:t>s mental health condition, the Committee could not conclude that the refusal of the State party</w:t>
      </w:r>
      <w:r w:rsidR="001E00E5">
        <w:t>’</w:t>
      </w:r>
      <w:r w:rsidRPr="006E3747">
        <w:t>s authorities to conduct a separate risk analysis in a new set of proceedings, based on the author</w:t>
      </w:r>
      <w:r w:rsidR="001E00E5">
        <w:t>’</w:t>
      </w:r>
      <w:r w:rsidRPr="006E3747">
        <w:t xml:space="preserve">s new diagnosis, </w:t>
      </w:r>
      <w:r>
        <w:t xml:space="preserve">had </w:t>
      </w:r>
      <w:r w:rsidRPr="006E3747">
        <w:t>rendered the rejection of the author</w:t>
      </w:r>
      <w:r w:rsidR="001E00E5">
        <w:t>’</w:t>
      </w:r>
      <w:r w:rsidRPr="006E3747">
        <w:t xml:space="preserve">s asylum application arbitrary or amounted to a manifest error or denial of justice. </w:t>
      </w:r>
      <w:r>
        <w:t>In</w:t>
      </w:r>
      <w:r w:rsidRPr="006E3747">
        <w:t xml:space="preserve"> the Committee</w:t>
      </w:r>
      <w:r w:rsidR="001E00E5">
        <w:t>’</w:t>
      </w:r>
      <w:r>
        <w:t>s</w:t>
      </w:r>
      <w:r w:rsidRPr="006E3747">
        <w:t xml:space="preserve"> </w:t>
      </w:r>
      <w:r>
        <w:t>opinion</w:t>
      </w:r>
      <w:r w:rsidRPr="006E3747">
        <w:t xml:space="preserve">, the author </w:t>
      </w:r>
      <w:r>
        <w:t xml:space="preserve">had </w:t>
      </w:r>
      <w:r w:rsidRPr="006E3747">
        <w:t>discharged the burden of proof</w:t>
      </w:r>
      <w:r>
        <w:t xml:space="preserve"> upon him,</w:t>
      </w:r>
      <w:r w:rsidRPr="006E3747">
        <w:t xml:space="preserve"> by having adduced evidence capable of demonstrating that there </w:t>
      </w:r>
      <w:r>
        <w:t>were</w:t>
      </w:r>
      <w:r w:rsidRPr="006E3747">
        <w:t xml:space="preserve"> substantial grounds for believing that he would be exposed to a real risk of ill-treatment if removed. However, the domestic authorities </w:t>
      </w:r>
      <w:r>
        <w:t xml:space="preserve">had </w:t>
      </w:r>
      <w:r w:rsidRPr="006E3747">
        <w:t xml:space="preserve">failed to dispel any doubts about the risks </w:t>
      </w:r>
      <w:r>
        <w:t xml:space="preserve">that </w:t>
      </w:r>
      <w:r w:rsidRPr="006E3747">
        <w:t xml:space="preserve">he would face upon his return to Afghanistan. In </w:t>
      </w:r>
      <w:r>
        <w:t>that</w:t>
      </w:r>
      <w:r w:rsidRPr="006E3747">
        <w:t xml:space="preserve"> respect, the Committee noted that the domestic authorities </w:t>
      </w:r>
      <w:r>
        <w:t xml:space="preserve">had </w:t>
      </w:r>
      <w:r w:rsidRPr="006E3747">
        <w:t>assessed the author</w:t>
      </w:r>
      <w:r w:rsidR="001E00E5">
        <w:t>’</w:t>
      </w:r>
      <w:r w:rsidRPr="006E3747">
        <w:t>s ill health and suicidal ideation to be primarily linked to his disappointment at his asylum process, which seem</w:t>
      </w:r>
      <w:r>
        <w:t>ed</w:t>
      </w:r>
      <w:r w:rsidRPr="006E3747">
        <w:t xml:space="preserve"> to have unreasonably weakened the author</w:t>
      </w:r>
      <w:r w:rsidR="001E00E5">
        <w:t>’</w:t>
      </w:r>
      <w:r w:rsidRPr="006E3747">
        <w:t xml:space="preserve">s claims associated with his diagnosis. </w:t>
      </w:r>
      <w:r w:rsidRPr="00CB1C8E">
        <w:t>The Committee observe</w:t>
      </w:r>
      <w:r>
        <w:t>d</w:t>
      </w:r>
      <w:r w:rsidRPr="00CB1C8E">
        <w:t xml:space="preserve"> that the migration authorities </w:t>
      </w:r>
      <w:r>
        <w:t xml:space="preserve">had </w:t>
      </w:r>
      <w:r w:rsidRPr="00CB1C8E">
        <w:t>held that the medical care necessary to prevent the author from suffering a violation of his rights under article 15</w:t>
      </w:r>
      <w:r>
        <w:t xml:space="preserve"> of the Convention</w:t>
      </w:r>
      <w:r w:rsidRPr="00CB1C8E">
        <w:t xml:space="preserve"> would be available to him upon return to Afghanistan. </w:t>
      </w:r>
      <w:r w:rsidRPr="006E3747">
        <w:t xml:space="preserve">The basis for </w:t>
      </w:r>
      <w:r>
        <w:t>that</w:t>
      </w:r>
      <w:r w:rsidRPr="006E3747">
        <w:t xml:space="preserve"> assessment </w:t>
      </w:r>
      <w:r>
        <w:t>had been</w:t>
      </w:r>
      <w:r w:rsidRPr="006E3747">
        <w:t xml:space="preserve"> reports on the general situation of access to health care in Afghanistan, which, however, reveal</w:t>
      </w:r>
      <w:r>
        <w:t>ed the</w:t>
      </w:r>
      <w:r w:rsidRPr="006E3747">
        <w:t xml:space="preserve"> limited availability of psychiatric care and access to medication. The Committee noted that </w:t>
      </w:r>
      <w:r>
        <w:t xml:space="preserve">the </w:t>
      </w:r>
      <w:r w:rsidRPr="006E3747">
        <w:t>domestic authorities ha</w:t>
      </w:r>
      <w:r>
        <w:t>d</w:t>
      </w:r>
      <w:r w:rsidRPr="006E3747">
        <w:t xml:space="preserve">, to a large extent, acknowledged </w:t>
      </w:r>
      <w:r>
        <w:t>those</w:t>
      </w:r>
      <w:r w:rsidRPr="006E3747">
        <w:t xml:space="preserve"> deficiencies</w:t>
      </w:r>
      <w:r>
        <w:t>.</w:t>
      </w:r>
      <w:r w:rsidRPr="006E3747">
        <w:t xml:space="preserve"> </w:t>
      </w:r>
      <w:r>
        <w:t>U</w:t>
      </w:r>
      <w:r w:rsidRPr="006E3747">
        <w:t xml:space="preserve">nder </w:t>
      </w:r>
      <w:r>
        <w:t>those</w:t>
      </w:r>
      <w:r w:rsidRPr="006E3747">
        <w:t xml:space="preserve"> circumstances, the State party</w:t>
      </w:r>
      <w:r w:rsidR="001E00E5">
        <w:t>’</w:t>
      </w:r>
      <w:r w:rsidRPr="006E3747">
        <w:t xml:space="preserve">s authorities </w:t>
      </w:r>
      <w:r>
        <w:t>had been</w:t>
      </w:r>
      <w:r w:rsidRPr="006E3747">
        <w:t xml:space="preserve"> under an obligation to consider the extent to which the author would actually have access to the required care in Afghanistan and</w:t>
      </w:r>
      <w:r>
        <w:t>, if serious doubts persisted,</w:t>
      </w:r>
      <w:r w:rsidRPr="006E3747">
        <w:t xml:space="preserve"> to obtain individual and sufficient assurances from that State.</w:t>
      </w:r>
      <w:r w:rsidRPr="00694B40">
        <w:t xml:space="preserve"> The Committee consider</w:t>
      </w:r>
      <w:r>
        <w:t>ed</w:t>
      </w:r>
      <w:r w:rsidRPr="00694B40">
        <w:t xml:space="preserve"> that the State party</w:t>
      </w:r>
      <w:r w:rsidR="001E00E5">
        <w:t>’</w:t>
      </w:r>
      <w:r w:rsidRPr="00694B40">
        <w:t>s assertion</w:t>
      </w:r>
      <w:r>
        <w:t>s</w:t>
      </w:r>
      <w:r w:rsidRPr="00694B40">
        <w:t xml:space="preserve"> </w:t>
      </w:r>
      <w:r>
        <w:t xml:space="preserve">could </w:t>
      </w:r>
      <w:r w:rsidRPr="00694B40">
        <w:t>not suffice in th</w:t>
      </w:r>
      <w:r>
        <w:t>at</w:t>
      </w:r>
      <w:r w:rsidRPr="00694B40">
        <w:t xml:space="preserve"> regard.</w:t>
      </w:r>
    </w:p>
    <w:p w14:paraId="75933DF8" w14:textId="3F7A51B6" w:rsidR="004A1C95" w:rsidRPr="006E3747" w:rsidRDefault="004A1C95" w:rsidP="004A1C95">
      <w:pPr>
        <w:pStyle w:val="SingleTxtG"/>
      </w:pPr>
      <w:r>
        <w:t>11.</w:t>
      </w:r>
      <w:r>
        <w:tab/>
        <w:t>In such circumstances, t</w:t>
      </w:r>
      <w:r w:rsidRPr="006E3747">
        <w:t>he Committee considered that there remain</w:t>
      </w:r>
      <w:r>
        <w:t>ed</w:t>
      </w:r>
      <w:r w:rsidRPr="006E3747">
        <w:t xml:space="preserve"> serious doubts as to whether the author would indeed have access to adequate medical treatment to prevent a violation of his rights under article 15</w:t>
      </w:r>
      <w:r>
        <w:t xml:space="preserve"> of the Convention</w:t>
      </w:r>
      <w:r w:rsidRPr="006E3747">
        <w:t xml:space="preserve"> in Afghanistan</w:t>
      </w:r>
      <w:r>
        <w:t>.</w:t>
      </w:r>
      <w:r w:rsidRPr="006E3747">
        <w:t xml:space="preserve"> </w:t>
      </w:r>
      <w:r>
        <w:t>It</w:t>
      </w:r>
      <w:r w:rsidRPr="006E3747">
        <w:t xml:space="preserve"> was </w:t>
      </w:r>
      <w:r>
        <w:t xml:space="preserve">therefore </w:t>
      </w:r>
      <w:r w:rsidRPr="006E3747">
        <w:t>unable to conclude that the domestic authorities</w:t>
      </w:r>
      <w:r w:rsidR="001E00E5">
        <w:t>’</w:t>
      </w:r>
      <w:r w:rsidRPr="006E3747">
        <w:t xml:space="preserve"> assessment ha</w:t>
      </w:r>
      <w:r>
        <w:t>d</w:t>
      </w:r>
      <w:r w:rsidRPr="006E3747">
        <w:t xml:space="preserve"> not been arbitrary regard</w:t>
      </w:r>
      <w:r>
        <w:t>ing</w:t>
      </w:r>
      <w:r w:rsidRPr="006E3747">
        <w:t xml:space="preserve"> the existence of </w:t>
      </w:r>
      <w:r>
        <w:t xml:space="preserve">a </w:t>
      </w:r>
      <w:r w:rsidRPr="006E3747">
        <w:t xml:space="preserve">real risk of irreparable harm for the author in his country of origin. In </w:t>
      </w:r>
      <w:r>
        <w:t xml:space="preserve">the </w:t>
      </w:r>
      <w:r w:rsidRPr="006E3747">
        <w:t xml:space="preserve">light of </w:t>
      </w:r>
      <w:r>
        <w:t>those</w:t>
      </w:r>
      <w:r w:rsidRPr="006E3747">
        <w:t xml:space="preserve"> finding</w:t>
      </w:r>
      <w:r>
        <w:t>s</w:t>
      </w:r>
      <w:r w:rsidRPr="006E3747">
        <w:t>, the Committee considered it unnecessary to separately consider the author</w:t>
      </w:r>
      <w:r w:rsidR="001E00E5">
        <w:t>’</w:t>
      </w:r>
      <w:r w:rsidRPr="006E3747">
        <w:t>s claims under article 10 of the Convention.</w:t>
      </w:r>
    </w:p>
    <w:p w14:paraId="2CBD56E5" w14:textId="77777777" w:rsidR="004A1C95" w:rsidRPr="005440F6" w:rsidRDefault="004A1C95" w:rsidP="005440F6">
      <w:pPr>
        <w:pStyle w:val="H23G"/>
        <w:rPr>
          <w:i/>
          <w:iCs/>
        </w:rPr>
      </w:pPr>
      <w:r w:rsidRPr="005440F6">
        <w:rPr>
          <w:i/>
          <w:iCs/>
        </w:rPr>
        <w:tab/>
      </w:r>
      <w:r w:rsidRPr="005440F6">
        <w:rPr>
          <w:i/>
          <w:iCs/>
        </w:rPr>
        <w:tab/>
        <w:t>M.S. v. Sweden</w:t>
      </w:r>
    </w:p>
    <w:p w14:paraId="76BB5625" w14:textId="01270554" w:rsidR="004A1C95" w:rsidRPr="006E3747" w:rsidRDefault="004A1C95" w:rsidP="004A1C95">
      <w:pPr>
        <w:pStyle w:val="SingleTxtG"/>
      </w:pPr>
      <w:r>
        <w:t>12.</w:t>
      </w:r>
      <w:r>
        <w:tab/>
      </w:r>
      <w:r w:rsidRPr="006E3747">
        <w:t xml:space="preserve">The Committee decided to discontinue the consideration of </w:t>
      </w:r>
      <w:r>
        <w:t xml:space="preserve">the </w:t>
      </w:r>
      <w:r w:rsidRPr="006E3747">
        <w:t xml:space="preserve">communication </w:t>
      </w:r>
      <w:r>
        <w:t xml:space="preserve">in the case of </w:t>
      </w:r>
      <w:r>
        <w:rPr>
          <w:i/>
          <w:iCs/>
        </w:rPr>
        <w:t xml:space="preserve">M.S. v. </w:t>
      </w:r>
      <w:r w:rsidRPr="005721E3">
        <w:rPr>
          <w:i/>
          <w:iCs/>
        </w:rPr>
        <w:t>Sweden</w:t>
      </w:r>
      <w:r>
        <w:t>.</w:t>
      </w:r>
      <w:r w:rsidR="001E00E5" w:rsidRPr="00D13F8E">
        <w:rPr>
          <w:rStyle w:val="FootnoteReference"/>
        </w:rPr>
        <w:footnoteReference w:id="13"/>
      </w:r>
      <w:r w:rsidRPr="00D13F8E">
        <w:rPr>
          <w:rStyle w:val="FootnoteReference"/>
        </w:rPr>
        <w:t xml:space="preserve"> </w:t>
      </w:r>
      <w:r>
        <w:t>T</w:t>
      </w:r>
      <w:r w:rsidRPr="006E3747">
        <w:t>he State party</w:t>
      </w:r>
      <w:r w:rsidR="001E00E5">
        <w:t>’</w:t>
      </w:r>
      <w:r w:rsidRPr="006E3747">
        <w:t xml:space="preserve">s decision to deport the author to Afghanistan </w:t>
      </w:r>
      <w:r>
        <w:t xml:space="preserve">had </w:t>
      </w:r>
      <w:r w:rsidRPr="006E3747">
        <w:t>bec</w:t>
      </w:r>
      <w:r>
        <w:t>o</w:t>
      </w:r>
      <w:r w:rsidRPr="006E3747">
        <w:t xml:space="preserve">me statute-barred on 16 May 2021 and the author therefore no longer </w:t>
      </w:r>
      <w:r>
        <w:t xml:space="preserve">faced </w:t>
      </w:r>
      <w:r w:rsidRPr="006E3747">
        <w:t>a risk of being returned to Afghanistan.</w:t>
      </w:r>
      <w:r w:rsidRPr="006E3747">
        <w:rPr>
          <w:rFonts w:ascii="Calibri" w:hAnsi="Calibri" w:cs="Calibri"/>
          <w:sz w:val="22"/>
          <w:szCs w:val="22"/>
        </w:rPr>
        <w:t xml:space="preserve"> </w:t>
      </w:r>
      <w:r w:rsidRPr="006E3747">
        <w:t xml:space="preserve">The State party had requested that the </w:t>
      </w:r>
      <w:r>
        <w:t xml:space="preserve">Committee discontinue its </w:t>
      </w:r>
      <w:r w:rsidRPr="006E3747">
        <w:t>consideration of the communication</w:t>
      </w:r>
      <w:r>
        <w:t>,</w:t>
      </w:r>
      <w:r w:rsidRPr="006E3747">
        <w:t xml:space="preserve"> and the author accepted </w:t>
      </w:r>
      <w:r>
        <w:t>that</w:t>
      </w:r>
      <w:r w:rsidRPr="006E3747">
        <w:t xml:space="preserve"> request.</w:t>
      </w:r>
    </w:p>
    <w:p w14:paraId="0BE4CA2C" w14:textId="77777777" w:rsidR="004A1C95" w:rsidRPr="005440F6" w:rsidRDefault="004A1C95" w:rsidP="005440F6">
      <w:pPr>
        <w:pStyle w:val="H23G"/>
        <w:rPr>
          <w:i/>
          <w:iCs/>
        </w:rPr>
      </w:pPr>
      <w:r w:rsidRPr="005440F6">
        <w:rPr>
          <w:i/>
          <w:iCs/>
        </w:rPr>
        <w:tab/>
      </w:r>
      <w:r w:rsidRPr="005440F6">
        <w:rPr>
          <w:i/>
          <w:iCs/>
        </w:rPr>
        <w:tab/>
        <w:t>A.S. v. Sweden</w:t>
      </w:r>
    </w:p>
    <w:p w14:paraId="632CAFDB" w14:textId="22D1D360" w:rsidR="004A1C95" w:rsidRDefault="004A1C95" w:rsidP="004A1C95">
      <w:pPr>
        <w:pStyle w:val="SingleTxtG"/>
      </w:pPr>
      <w:r>
        <w:t>13.</w:t>
      </w:r>
      <w:r>
        <w:tab/>
      </w:r>
      <w:r w:rsidRPr="006E3747">
        <w:t xml:space="preserve">The Committee decided to discontinue the consideration of </w:t>
      </w:r>
      <w:r>
        <w:t xml:space="preserve">the </w:t>
      </w:r>
      <w:r w:rsidRPr="006E3747">
        <w:t xml:space="preserve">communication </w:t>
      </w:r>
      <w:r>
        <w:t xml:space="preserve">in the case of </w:t>
      </w:r>
      <w:r>
        <w:rPr>
          <w:i/>
          <w:iCs/>
        </w:rPr>
        <w:t>A.S. v. Sweden</w:t>
      </w:r>
      <w:r>
        <w:t>.</w:t>
      </w:r>
      <w:r w:rsidR="001E00E5" w:rsidRPr="00D13F8E">
        <w:rPr>
          <w:rStyle w:val="FootnoteReference"/>
        </w:rPr>
        <w:footnoteReference w:id="14"/>
      </w:r>
      <w:r w:rsidRPr="00D13F8E">
        <w:rPr>
          <w:rStyle w:val="FootnoteReference"/>
        </w:rPr>
        <w:t xml:space="preserve"> </w:t>
      </w:r>
      <w:r>
        <w:t>T</w:t>
      </w:r>
      <w:r w:rsidRPr="006E3747">
        <w:t xml:space="preserve">he </w:t>
      </w:r>
      <w:r>
        <w:t>State party</w:t>
      </w:r>
      <w:r w:rsidR="001E00E5">
        <w:t>’</w:t>
      </w:r>
      <w:r>
        <w:t xml:space="preserve">s </w:t>
      </w:r>
      <w:r w:rsidRPr="006E3747">
        <w:t xml:space="preserve">decision to deport the author to Afghanistan </w:t>
      </w:r>
      <w:r>
        <w:t xml:space="preserve">had </w:t>
      </w:r>
      <w:r w:rsidRPr="006E3747">
        <w:t>bec</w:t>
      </w:r>
      <w:r>
        <w:t>o</w:t>
      </w:r>
      <w:r w:rsidRPr="006E3747">
        <w:t>me statute</w:t>
      </w:r>
      <w:r>
        <w:t>-</w:t>
      </w:r>
      <w:r w:rsidRPr="006E3747">
        <w:t xml:space="preserve">barred on 19 May 2021 and the author therefore no longer </w:t>
      </w:r>
      <w:r>
        <w:t xml:space="preserve">faced </w:t>
      </w:r>
      <w:r w:rsidRPr="006E3747">
        <w:t>a risk of being returned to Afghanistan.</w:t>
      </w:r>
      <w:r w:rsidRPr="006E3747">
        <w:rPr>
          <w:rFonts w:ascii="Calibri" w:hAnsi="Calibri" w:cs="Calibri"/>
          <w:sz w:val="22"/>
          <w:szCs w:val="22"/>
        </w:rPr>
        <w:t xml:space="preserve"> </w:t>
      </w:r>
      <w:r w:rsidRPr="006E3747">
        <w:t xml:space="preserve">The State party had requested that the </w:t>
      </w:r>
      <w:r>
        <w:t xml:space="preserve">Committee discontinue its </w:t>
      </w:r>
      <w:r w:rsidRPr="006E3747">
        <w:t>consideration of the communication</w:t>
      </w:r>
      <w:r>
        <w:t>,</w:t>
      </w:r>
      <w:r w:rsidRPr="006E3747">
        <w:t xml:space="preserve"> and the author </w:t>
      </w:r>
      <w:r>
        <w:t>accepted that</w:t>
      </w:r>
      <w:r w:rsidRPr="006E3747">
        <w:t xml:space="preserve"> request.</w:t>
      </w:r>
    </w:p>
    <w:p w14:paraId="4534E202" w14:textId="48F4DE32" w:rsidR="001E00E5" w:rsidRPr="009E0443" w:rsidRDefault="001E00E5" w:rsidP="001E00E5">
      <w:pPr>
        <w:spacing w:before="240"/>
        <w:jc w:val="center"/>
        <w:rPr>
          <w:u w:val="single"/>
          <w:lang w:val="en-US"/>
        </w:rPr>
      </w:pPr>
      <w:r w:rsidRPr="009E0443">
        <w:rPr>
          <w:u w:val="single"/>
          <w:lang w:val="en-US"/>
        </w:rPr>
        <w:tab/>
      </w:r>
      <w:r w:rsidRPr="009E0443">
        <w:rPr>
          <w:u w:val="single"/>
          <w:lang w:val="en-US"/>
        </w:rPr>
        <w:tab/>
      </w:r>
      <w:r w:rsidRPr="009E0443">
        <w:rPr>
          <w:u w:val="single"/>
          <w:lang w:val="en-US"/>
        </w:rPr>
        <w:tab/>
      </w:r>
    </w:p>
    <w:sectPr w:rsidR="001E00E5" w:rsidRPr="009E0443" w:rsidSect="009C7535">
      <w:footerReference w:type="first" r:id="rId17"/>
      <w:footnotePr>
        <w:numRestart w:val="eachSect"/>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84F9A" w14:textId="77777777" w:rsidR="00315151" w:rsidRPr="00317DC1" w:rsidRDefault="00315151" w:rsidP="00317DC1">
      <w:pPr>
        <w:pStyle w:val="Footer"/>
      </w:pPr>
    </w:p>
  </w:endnote>
  <w:endnote w:type="continuationSeparator" w:id="0">
    <w:p w14:paraId="26131915" w14:textId="77777777" w:rsidR="00315151" w:rsidRPr="00317DC1" w:rsidRDefault="00315151"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199EF" w14:textId="0B3A522F" w:rsidR="003B309C" w:rsidRDefault="003B309C" w:rsidP="004A1C95">
    <w:pPr>
      <w:pStyle w:val="Footer"/>
      <w:tabs>
        <w:tab w:val="right" w:pos="9638"/>
      </w:tabs>
    </w:pPr>
    <w:r w:rsidRPr="004A1C95">
      <w:rPr>
        <w:b/>
        <w:bCs/>
        <w:sz w:val="18"/>
      </w:rPr>
      <w:fldChar w:fldCharType="begin"/>
    </w:r>
    <w:r w:rsidRPr="004A1C95">
      <w:rPr>
        <w:b/>
        <w:bCs/>
        <w:sz w:val="18"/>
      </w:rPr>
      <w:instrText xml:space="preserve"> PAGE  \* MERGEFORMAT </w:instrText>
    </w:r>
    <w:r w:rsidRPr="004A1C95">
      <w:rPr>
        <w:b/>
        <w:bCs/>
        <w:sz w:val="18"/>
      </w:rPr>
      <w:fldChar w:fldCharType="separate"/>
    </w:r>
    <w:r w:rsidR="004C5DED">
      <w:rPr>
        <w:b/>
        <w:bCs/>
        <w:noProof/>
        <w:sz w:val="18"/>
      </w:rPr>
      <w:t>2</w:t>
    </w:r>
    <w:r w:rsidRPr="004A1C95">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D4E81" w14:textId="23654E7E" w:rsidR="003B309C" w:rsidRDefault="003B309C" w:rsidP="004A1C95">
    <w:pPr>
      <w:pStyle w:val="Footer"/>
      <w:tabs>
        <w:tab w:val="right" w:pos="9638"/>
      </w:tabs>
    </w:pPr>
    <w:r>
      <w:tab/>
    </w:r>
    <w:r w:rsidRPr="004A1C95">
      <w:rPr>
        <w:b/>
        <w:bCs/>
        <w:sz w:val="18"/>
      </w:rPr>
      <w:fldChar w:fldCharType="begin"/>
    </w:r>
    <w:r w:rsidRPr="004A1C95">
      <w:rPr>
        <w:b/>
        <w:bCs/>
        <w:sz w:val="18"/>
      </w:rPr>
      <w:instrText xml:space="preserve"> PAGE  \* MERGEFORMAT </w:instrText>
    </w:r>
    <w:r w:rsidRPr="004A1C95">
      <w:rPr>
        <w:b/>
        <w:bCs/>
        <w:sz w:val="18"/>
      </w:rPr>
      <w:fldChar w:fldCharType="separate"/>
    </w:r>
    <w:r w:rsidR="00F51016">
      <w:rPr>
        <w:b/>
        <w:bCs/>
        <w:noProof/>
        <w:sz w:val="18"/>
      </w:rPr>
      <w:t>3</w:t>
    </w:r>
    <w:r w:rsidRPr="004A1C9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5E661" w14:textId="1EE1A082" w:rsidR="003B309C" w:rsidRDefault="004C71ED" w:rsidP="00BF577B">
    <w:pPr>
      <w:pStyle w:val="Footer"/>
      <w:tabs>
        <w:tab w:val="right" w:pos="9638"/>
      </w:tabs>
      <w:jc w:val="right"/>
      <w:rPr>
        <w:b/>
        <w:bCs/>
        <w:sz w:val="18"/>
      </w:rPr>
    </w:pPr>
    <w:r w:rsidRPr="004C71ED">
      <w:rPr>
        <w:b/>
        <w:bCs/>
        <w:noProof/>
        <w:sz w:val="18"/>
        <w:lang w:val="en-US"/>
      </w:rPr>
      <w:drawing>
        <wp:anchor distT="0" distB="0" distL="114300" distR="114300" simplePos="0" relativeHeight="251661312" behindDoc="0" locked="1" layoutInCell="1" allowOverlap="1" wp14:anchorId="247FA310" wp14:editId="4F9F6245">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sidR="003B309C">
      <w:rPr>
        <w:b/>
        <w:bCs/>
        <w:sz w:val="18"/>
      </w:rPr>
      <w:tab/>
    </w:r>
  </w:p>
  <w:p w14:paraId="336A7EBC" w14:textId="1C268B53" w:rsidR="004C71ED" w:rsidRPr="004C71ED" w:rsidRDefault="004C71ED" w:rsidP="004C71ED">
    <w:pPr>
      <w:pStyle w:val="Footer"/>
      <w:tabs>
        <w:tab w:val="right" w:pos="9638"/>
      </w:tabs>
      <w:ind w:right="1134"/>
      <w:rPr>
        <w:sz w:val="20"/>
      </w:rPr>
    </w:pPr>
    <w:r>
      <w:rPr>
        <w:sz w:val="20"/>
      </w:rPr>
      <w:t>GE.21-14777(E)</w:t>
    </w:r>
    <w:r>
      <w:rPr>
        <w:noProof/>
        <w:sz w:val="20"/>
      </w:rPr>
      <w:drawing>
        <wp:anchor distT="0" distB="0" distL="114300" distR="114300" simplePos="0" relativeHeight="251662336" behindDoc="0" locked="0" layoutInCell="1" allowOverlap="1" wp14:anchorId="23CC2272" wp14:editId="643B2241">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AA6C8" w14:textId="165EDA56" w:rsidR="00D36354" w:rsidRDefault="00D36354" w:rsidP="004A1C95">
    <w:pPr>
      <w:pStyle w:val="Footer"/>
      <w:tabs>
        <w:tab w:val="right" w:pos="9638"/>
      </w:tabs>
    </w:pPr>
    <w:r>
      <w:tab/>
    </w:r>
    <w:r w:rsidRPr="004A1C95">
      <w:rPr>
        <w:b/>
        <w:bCs/>
        <w:sz w:val="18"/>
      </w:rPr>
      <w:fldChar w:fldCharType="begin"/>
    </w:r>
    <w:r w:rsidRPr="004A1C95">
      <w:rPr>
        <w:b/>
        <w:bCs/>
        <w:sz w:val="18"/>
      </w:rPr>
      <w:instrText xml:space="preserve"> PAGE  \* MERGEFORMAT </w:instrText>
    </w:r>
    <w:r w:rsidRPr="004A1C95">
      <w:rPr>
        <w:b/>
        <w:bCs/>
        <w:sz w:val="18"/>
      </w:rPr>
      <w:fldChar w:fldCharType="separate"/>
    </w:r>
    <w:r w:rsidR="004C5DED">
      <w:rPr>
        <w:b/>
        <w:bCs/>
        <w:noProof/>
        <w:sz w:val="18"/>
      </w:rPr>
      <w:t>9</w:t>
    </w:r>
    <w:r w:rsidRPr="004A1C95">
      <w:rPr>
        <w:b/>
        <w:bCs/>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37F22" w14:textId="777C4F47" w:rsidR="0050383A" w:rsidRDefault="0050383A" w:rsidP="003B309C">
    <w:pPr>
      <w:pStyle w:val="Footer"/>
      <w:tabs>
        <w:tab w:val="right" w:pos="9638"/>
      </w:tabs>
      <w:jc w:val="right"/>
    </w:pPr>
    <w:r>
      <w:rPr>
        <w:b/>
        <w:bCs/>
        <w:sz w:val="18"/>
      </w:rPr>
      <w:tab/>
    </w:r>
    <w:r w:rsidRPr="004A1C95">
      <w:rPr>
        <w:b/>
        <w:bCs/>
        <w:sz w:val="18"/>
      </w:rPr>
      <w:fldChar w:fldCharType="begin"/>
    </w:r>
    <w:r w:rsidRPr="004A1C95">
      <w:rPr>
        <w:b/>
        <w:bCs/>
        <w:sz w:val="18"/>
      </w:rPr>
      <w:instrText xml:space="preserve"> PAGE  \* MERGEFORMAT </w:instrText>
    </w:r>
    <w:r w:rsidRPr="004A1C95">
      <w:rPr>
        <w:b/>
        <w:bCs/>
        <w:sz w:val="18"/>
      </w:rPr>
      <w:fldChar w:fldCharType="separate"/>
    </w:r>
    <w:r w:rsidR="00F51016">
      <w:rPr>
        <w:b/>
        <w:bCs/>
        <w:noProof/>
        <w:sz w:val="18"/>
      </w:rPr>
      <w:t>5</w:t>
    </w:r>
    <w:r w:rsidRPr="004A1C95">
      <w:rPr>
        <w:b/>
        <w:bCs/>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528B0" w14:textId="289A9232" w:rsidR="00BB243E" w:rsidRDefault="00BB243E" w:rsidP="00BB243E">
    <w:pPr>
      <w:pStyle w:val="Footer"/>
      <w:tabs>
        <w:tab w:val="right" w:pos="9638"/>
      </w:tabs>
    </w:pPr>
    <w:r w:rsidRPr="004A1C95">
      <w:rPr>
        <w:b/>
        <w:bCs/>
        <w:sz w:val="18"/>
      </w:rPr>
      <w:fldChar w:fldCharType="begin"/>
    </w:r>
    <w:r w:rsidRPr="004A1C95">
      <w:rPr>
        <w:b/>
        <w:bCs/>
        <w:sz w:val="18"/>
      </w:rPr>
      <w:instrText xml:space="preserve"> PAGE  \* MERGEFORMAT </w:instrText>
    </w:r>
    <w:r w:rsidRPr="004A1C95">
      <w:rPr>
        <w:b/>
        <w:bCs/>
        <w:sz w:val="18"/>
      </w:rPr>
      <w:fldChar w:fldCharType="separate"/>
    </w:r>
    <w:r w:rsidR="00F51016">
      <w:rPr>
        <w:b/>
        <w:bCs/>
        <w:noProof/>
        <w:sz w:val="18"/>
      </w:rPr>
      <w:t>8</w:t>
    </w:r>
    <w:r w:rsidRPr="004A1C95">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9BF3D" w14:textId="77777777" w:rsidR="00315151" w:rsidRPr="00317DC1" w:rsidRDefault="00315151" w:rsidP="00317DC1">
      <w:pPr>
        <w:tabs>
          <w:tab w:val="right" w:pos="2155"/>
        </w:tabs>
        <w:spacing w:after="80" w:line="240" w:lineRule="auto"/>
        <w:ind w:left="680"/>
      </w:pPr>
      <w:r>
        <w:rPr>
          <w:u w:val="single"/>
        </w:rPr>
        <w:tab/>
      </w:r>
    </w:p>
  </w:footnote>
  <w:footnote w:type="continuationSeparator" w:id="0">
    <w:p w14:paraId="0D5CC51B" w14:textId="77777777" w:rsidR="00315151" w:rsidRPr="00317DC1" w:rsidRDefault="00315151" w:rsidP="00317DC1">
      <w:pPr>
        <w:tabs>
          <w:tab w:val="right" w:pos="2155"/>
        </w:tabs>
        <w:spacing w:after="80" w:line="240" w:lineRule="auto"/>
        <w:ind w:left="680"/>
      </w:pPr>
      <w:r>
        <w:rPr>
          <w:u w:val="single"/>
        </w:rPr>
        <w:tab/>
      </w:r>
    </w:p>
  </w:footnote>
  <w:footnote w:id="1">
    <w:p w14:paraId="6CD5F076" w14:textId="288A9BC9" w:rsidR="0013143F" w:rsidRPr="004B1777" w:rsidRDefault="0013143F" w:rsidP="0013143F">
      <w:pPr>
        <w:pStyle w:val="FootnoteText"/>
      </w:pPr>
      <w:r>
        <w:rPr>
          <w:rStyle w:val="FootnoteReference"/>
        </w:rPr>
        <w:tab/>
      </w:r>
      <w:r w:rsidRPr="0013143F">
        <w:rPr>
          <w:rStyle w:val="FootnoteReference"/>
          <w:sz w:val="20"/>
          <w:vertAlign w:val="baseline"/>
        </w:rPr>
        <w:t>*</w:t>
      </w:r>
      <w:r>
        <w:rPr>
          <w:rStyle w:val="FootnoteReference"/>
          <w:sz w:val="20"/>
        </w:rPr>
        <w:tab/>
      </w:r>
      <w:r w:rsidRPr="00140784">
        <w:rPr>
          <w:szCs w:val="18"/>
        </w:rPr>
        <w:t>Reissued for technical reasons on 2</w:t>
      </w:r>
      <w:r w:rsidR="00972A11">
        <w:rPr>
          <w:szCs w:val="18"/>
        </w:rPr>
        <w:t>6</w:t>
      </w:r>
      <w:r w:rsidRPr="00140784">
        <w:rPr>
          <w:szCs w:val="18"/>
        </w:rPr>
        <w:t xml:space="preserve"> </w:t>
      </w:r>
      <w:r>
        <w:rPr>
          <w:szCs w:val="18"/>
        </w:rPr>
        <w:t>October</w:t>
      </w:r>
      <w:r w:rsidRPr="00140784">
        <w:rPr>
          <w:szCs w:val="18"/>
        </w:rPr>
        <w:t xml:space="preserve"> 20</w:t>
      </w:r>
      <w:r>
        <w:rPr>
          <w:szCs w:val="18"/>
        </w:rPr>
        <w:t>2</w:t>
      </w:r>
      <w:r w:rsidRPr="00140784">
        <w:rPr>
          <w:szCs w:val="18"/>
        </w:rPr>
        <w:t>1.</w:t>
      </w:r>
    </w:p>
  </w:footnote>
  <w:footnote w:id="2">
    <w:p w14:paraId="5F7351D7" w14:textId="77777777" w:rsidR="003B309C" w:rsidRPr="006E3747" w:rsidRDefault="003B309C" w:rsidP="003B309C">
      <w:pPr>
        <w:pStyle w:val="FootnoteText"/>
      </w:pPr>
      <w:r w:rsidRPr="006E3747">
        <w:tab/>
      </w:r>
      <w:r w:rsidRPr="00D13F8E">
        <w:rPr>
          <w:rStyle w:val="FootnoteReference"/>
        </w:rPr>
        <w:footnoteRef/>
      </w:r>
      <w:r w:rsidRPr="00D13F8E">
        <w:rPr>
          <w:rStyle w:val="FootnoteReference"/>
        </w:rPr>
        <w:tab/>
      </w:r>
      <w:r w:rsidRPr="006E3747">
        <w:t>CRPD/C/25/1.</w:t>
      </w:r>
    </w:p>
  </w:footnote>
  <w:footnote w:id="3">
    <w:p w14:paraId="66179040" w14:textId="77777777" w:rsidR="003B309C" w:rsidRDefault="003B309C" w:rsidP="003B309C">
      <w:pPr>
        <w:pStyle w:val="FootnoteText"/>
      </w:pPr>
      <w:r>
        <w:tab/>
      </w:r>
      <w:r w:rsidRPr="00D13F8E">
        <w:rPr>
          <w:rStyle w:val="FootnoteReference"/>
        </w:rPr>
        <w:footnoteRef/>
      </w:r>
      <w:r w:rsidRPr="00D13F8E">
        <w:rPr>
          <w:rStyle w:val="FootnoteReference"/>
        </w:rPr>
        <w:tab/>
      </w:r>
      <w:r w:rsidRPr="00F64536">
        <w:t>CRPD/C/25/D/44/2017</w:t>
      </w:r>
      <w:r>
        <w:t>.</w:t>
      </w:r>
    </w:p>
  </w:footnote>
  <w:footnote w:id="4">
    <w:p w14:paraId="3105DDB6" w14:textId="77777777" w:rsidR="003B309C" w:rsidRDefault="003B309C" w:rsidP="003B309C">
      <w:pPr>
        <w:pStyle w:val="FootnoteText"/>
      </w:pPr>
      <w:r>
        <w:tab/>
      </w:r>
      <w:r w:rsidRPr="00D13F8E">
        <w:rPr>
          <w:rStyle w:val="FootnoteReference"/>
        </w:rPr>
        <w:footnoteRef/>
      </w:r>
      <w:r w:rsidRPr="00D13F8E">
        <w:rPr>
          <w:rStyle w:val="FootnoteReference"/>
        </w:rPr>
        <w:tab/>
      </w:r>
      <w:r w:rsidRPr="00F64536">
        <w:t>CRPD/C/25/D/58/2019</w:t>
      </w:r>
      <w:r>
        <w:t>.</w:t>
      </w:r>
    </w:p>
  </w:footnote>
  <w:footnote w:id="5">
    <w:p w14:paraId="49176FA0" w14:textId="77777777" w:rsidR="003B309C" w:rsidRDefault="003B309C" w:rsidP="003B309C">
      <w:pPr>
        <w:pStyle w:val="FootnoteText"/>
      </w:pPr>
      <w:r>
        <w:tab/>
      </w:r>
      <w:r w:rsidRPr="00D13F8E">
        <w:rPr>
          <w:rStyle w:val="FootnoteReference"/>
        </w:rPr>
        <w:footnoteRef/>
      </w:r>
      <w:r w:rsidRPr="00D13F8E">
        <w:rPr>
          <w:rStyle w:val="FootnoteReference"/>
        </w:rPr>
        <w:tab/>
      </w:r>
      <w:r w:rsidRPr="006E3747">
        <w:t>CRPD/C/25/D/66/2019 and CRPD/C/25/D/74/2019</w:t>
      </w:r>
      <w:r>
        <w:t>.</w:t>
      </w:r>
    </w:p>
  </w:footnote>
  <w:footnote w:id="6">
    <w:p w14:paraId="2322252B" w14:textId="77777777" w:rsidR="003B309C" w:rsidRPr="006E3747" w:rsidRDefault="003B309C" w:rsidP="003B309C">
      <w:pPr>
        <w:pStyle w:val="FootnoteText"/>
      </w:pPr>
      <w:r w:rsidRPr="006E3747">
        <w:tab/>
      </w:r>
      <w:r w:rsidRPr="00D13F8E">
        <w:rPr>
          <w:rStyle w:val="FootnoteReference"/>
        </w:rPr>
        <w:footnoteRef/>
      </w:r>
      <w:r w:rsidRPr="00D13F8E">
        <w:rPr>
          <w:rStyle w:val="FootnoteReference"/>
        </w:rPr>
        <w:tab/>
      </w:r>
      <w:r w:rsidRPr="006E3747">
        <w:t>CRPD/C/DJI/1</w:t>
      </w:r>
      <w:r>
        <w:t xml:space="preserve"> and </w:t>
      </w:r>
      <w:r w:rsidRPr="006E3747">
        <w:t>CRPD/C/FRA/1.</w:t>
      </w:r>
    </w:p>
  </w:footnote>
  <w:footnote w:id="7">
    <w:p w14:paraId="6FF8A681" w14:textId="77777777" w:rsidR="003B309C" w:rsidRDefault="003B309C" w:rsidP="003B309C">
      <w:pPr>
        <w:pStyle w:val="FootnoteText"/>
      </w:pPr>
      <w:r>
        <w:tab/>
      </w:r>
      <w:r w:rsidRPr="00D13F8E">
        <w:rPr>
          <w:rStyle w:val="FootnoteReference"/>
        </w:rPr>
        <w:footnoteRef/>
      </w:r>
      <w:r w:rsidRPr="00D13F8E">
        <w:rPr>
          <w:rStyle w:val="FootnoteReference"/>
        </w:rPr>
        <w:tab/>
      </w:r>
      <w:r w:rsidRPr="006E3747">
        <w:t>CRPD/C/DJI/</w:t>
      </w:r>
      <w:r>
        <w:t>CO/</w:t>
      </w:r>
      <w:r w:rsidRPr="006E3747">
        <w:t>1</w:t>
      </w:r>
      <w:r>
        <w:t xml:space="preserve"> and </w:t>
      </w:r>
      <w:r w:rsidRPr="006E3747">
        <w:t>CRPD/C/FRA</w:t>
      </w:r>
      <w:r>
        <w:t>/CO</w:t>
      </w:r>
      <w:r w:rsidRPr="006E3747">
        <w:t>/1.</w:t>
      </w:r>
    </w:p>
  </w:footnote>
  <w:footnote w:id="8">
    <w:p w14:paraId="3118926F" w14:textId="77777777" w:rsidR="003B309C" w:rsidRPr="006E3747" w:rsidRDefault="003B309C" w:rsidP="003B309C">
      <w:pPr>
        <w:pStyle w:val="FootnoteText"/>
      </w:pPr>
      <w:r w:rsidRPr="006E3747">
        <w:tab/>
      </w:r>
      <w:r w:rsidRPr="00D13F8E">
        <w:rPr>
          <w:rStyle w:val="FootnoteReference"/>
        </w:rPr>
        <w:footnoteRef/>
      </w:r>
      <w:r w:rsidRPr="00D13F8E">
        <w:rPr>
          <w:rStyle w:val="FootnoteReference"/>
        </w:rPr>
        <w:tab/>
      </w:r>
      <w:r w:rsidRPr="006E3747">
        <w:t>CRPD/C/DJI/CO/1</w:t>
      </w:r>
      <w:r>
        <w:t xml:space="preserve"> and </w:t>
      </w:r>
      <w:r w:rsidRPr="006E3747">
        <w:t>CRPD/C/FRA/CO/1.</w:t>
      </w:r>
    </w:p>
  </w:footnote>
  <w:footnote w:id="9">
    <w:p w14:paraId="3A44CC6A" w14:textId="05CB4DA7" w:rsidR="00A667AF" w:rsidRPr="00D75D0D" w:rsidRDefault="00A667AF">
      <w:pPr>
        <w:pStyle w:val="FootnoteText"/>
        <w:rPr>
          <w:lang w:val="en-US"/>
        </w:rPr>
      </w:pPr>
      <w:r>
        <w:tab/>
      </w:r>
      <w:r>
        <w:rPr>
          <w:rStyle w:val="FootnoteReference"/>
        </w:rPr>
        <w:footnoteRef/>
      </w:r>
      <w:r>
        <w:t xml:space="preserve"> </w:t>
      </w:r>
      <w:r>
        <w:tab/>
      </w:r>
      <w:r w:rsidRPr="008E1057">
        <w:t>CRPD/C/1/Rev.1</w:t>
      </w:r>
      <w:r>
        <w:t>.</w:t>
      </w:r>
    </w:p>
  </w:footnote>
  <w:footnote w:id="10">
    <w:p w14:paraId="7169E645" w14:textId="5AA817F3" w:rsidR="00895805" w:rsidRPr="001E00E5" w:rsidRDefault="00895805" w:rsidP="001E00E5">
      <w:pPr>
        <w:pStyle w:val="FootnoteText"/>
        <w:widowControl w:val="0"/>
        <w:tabs>
          <w:tab w:val="clear" w:pos="1021"/>
          <w:tab w:val="right" w:pos="1020"/>
        </w:tabs>
      </w:pPr>
      <w:r>
        <w:tab/>
      </w:r>
      <w:r w:rsidRPr="00D13F8E">
        <w:rPr>
          <w:rStyle w:val="FootnoteReference"/>
        </w:rPr>
        <w:footnoteRef/>
      </w:r>
      <w:r w:rsidRPr="00D13F8E">
        <w:rPr>
          <w:rStyle w:val="FootnoteReference"/>
        </w:rPr>
        <w:tab/>
      </w:r>
      <w:r w:rsidRPr="00F64536">
        <w:t>CRPD/C/25/D/44/2017</w:t>
      </w:r>
      <w:r>
        <w:t>.</w:t>
      </w:r>
    </w:p>
  </w:footnote>
  <w:footnote w:id="11">
    <w:p w14:paraId="5334A874" w14:textId="12F31CFC" w:rsidR="005440F6" w:rsidRPr="009E0443" w:rsidRDefault="005440F6" w:rsidP="005440F6">
      <w:pPr>
        <w:pStyle w:val="FootnoteText"/>
        <w:widowControl w:val="0"/>
        <w:tabs>
          <w:tab w:val="clear" w:pos="1021"/>
          <w:tab w:val="right" w:pos="1020"/>
        </w:tabs>
        <w:rPr>
          <w:lang w:val="en-US"/>
        </w:rPr>
      </w:pPr>
      <w:r>
        <w:tab/>
      </w:r>
      <w:r w:rsidRPr="00D13F8E">
        <w:rPr>
          <w:rStyle w:val="FootnoteReference"/>
        </w:rPr>
        <w:footnoteRef/>
      </w:r>
      <w:r w:rsidRPr="00D13F8E">
        <w:rPr>
          <w:rStyle w:val="FootnoteReference"/>
        </w:rPr>
        <w:tab/>
      </w:r>
      <w:r w:rsidRPr="00F64536">
        <w:t>CRPD/C/25/D/58/2019</w:t>
      </w:r>
      <w:r>
        <w:t>.</w:t>
      </w:r>
    </w:p>
  </w:footnote>
  <w:footnote w:id="12">
    <w:p w14:paraId="7EA1E5A8" w14:textId="13AB9F94" w:rsidR="005440F6" w:rsidRPr="009E0443" w:rsidRDefault="005440F6" w:rsidP="005440F6">
      <w:pPr>
        <w:pStyle w:val="FootnoteText"/>
        <w:widowControl w:val="0"/>
        <w:tabs>
          <w:tab w:val="clear" w:pos="1021"/>
          <w:tab w:val="right" w:pos="1020"/>
        </w:tabs>
        <w:rPr>
          <w:lang w:val="en-US"/>
        </w:rPr>
      </w:pPr>
      <w:r>
        <w:tab/>
      </w:r>
      <w:r w:rsidRPr="00D13F8E">
        <w:rPr>
          <w:rStyle w:val="FootnoteReference"/>
        </w:rPr>
        <w:footnoteRef/>
      </w:r>
      <w:r w:rsidRPr="00D13F8E">
        <w:rPr>
          <w:rStyle w:val="FootnoteReference"/>
        </w:rPr>
        <w:tab/>
      </w:r>
      <w:r w:rsidRPr="00EC5FCD">
        <w:t>CRPD/C/23/D/60/2019</w:t>
      </w:r>
      <w:r>
        <w:t>.</w:t>
      </w:r>
    </w:p>
  </w:footnote>
  <w:footnote w:id="13">
    <w:p w14:paraId="4527ABED" w14:textId="64FD8F9F" w:rsidR="001E00E5" w:rsidRPr="009E0443" w:rsidRDefault="001E00E5" w:rsidP="001E00E5">
      <w:pPr>
        <w:pStyle w:val="FootnoteText"/>
        <w:widowControl w:val="0"/>
        <w:tabs>
          <w:tab w:val="clear" w:pos="1021"/>
          <w:tab w:val="right" w:pos="1020"/>
        </w:tabs>
        <w:rPr>
          <w:lang w:val="en-US"/>
        </w:rPr>
      </w:pPr>
      <w:r>
        <w:tab/>
      </w:r>
      <w:r w:rsidRPr="00D13F8E">
        <w:rPr>
          <w:rStyle w:val="FootnoteReference"/>
        </w:rPr>
        <w:footnoteRef/>
      </w:r>
      <w:r w:rsidRPr="00D13F8E">
        <w:rPr>
          <w:rStyle w:val="FootnoteReference"/>
        </w:rPr>
        <w:tab/>
      </w:r>
      <w:r w:rsidRPr="006E3747">
        <w:t>CRPD/C/25/D/66/2019</w:t>
      </w:r>
      <w:r>
        <w:t>.</w:t>
      </w:r>
    </w:p>
  </w:footnote>
  <w:footnote w:id="14">
    <w:p w14:paraId="388274DD" w14:textId="634C63D1" w:rsidR="001E00E5" w:rsidRPr="009E0443" w:rsidRDefault="001E00E5" w:rsidP="001E00E5">
      <w:pPr>
        <w:pStyle w:val="FootnoteText"/>
        <w:widowControl w:val="0"/>
        <w:tabs>
          <w:tab w:val="clear" w:pos="1021"/>
          <w:tab w:val="right" w:pos="1020"/>
        </w:tabs>
        <w:rPr>
          <w:lang w:val="en-US"/>
        </w:rPr>
      </w:pPr>
      <w:r>
        <w:tab/>
      </w:r>
      <w:r w:rsidRPr="00D13F8E">
        <w:rPr>
          <w:rStyle w:val="FootnoteReference"/>
        </w:rPr>
        <w:footnoteRef/>
      </w:r>
      <w:r w:rsidRPr="00D13F8E">
        <w:rPr>
          <w:rStyle w:val="FootnoteReference"/>
        </w:rPr>
        <w:tab/>
      </w:r>
      <w:r w:rsidRPr="006E3747">
        <w:t>CRPD/C/25/D/74/2019</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6749E" w14:textId="77777777" w:rsidR="003B309C" w:rsidRDefault="003B309C" w:rsidP="004A1C95">
    <w:pPr>
      <w:pStyle w:val="Header"/>
    </w:pPr>
    <w:r>
      <w:t>CRPD/C/25/2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E2545" w14:textId="77777777" w:rsidR="003B309C" w:rsidRDefault="003B309C" w:rsidP="004A1C95">
    <w:pPr>
      <w:pStyle w:val="Header"/>
      <w:jc w:val="right"/>
    </w:pPr>
    <w:r>
      <w:t>CRPD/C/25/2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1ED3" w14:textId="60CBD9F6" w:rsidR="003B309C" w:rsidRDefault="003B309C" w:rsidP="003B309C">
    <w:pPr>
      <w:pStyle w:val="Header"/>
      <w:jc w:val="right"/>
    </w:pPr>
    <w:r>
      <w:t>CRPD/C/25/2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7E7C2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E667170"/>
    <w:multiLevelType w:val="hybridMultilevel"/>
    <w:tmpl w:val="71DA2498"/>
    <w:lvl w:ilvl="0" w:tplc="339C4E84">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21164B6"/>
    <w:multiLevelType w:val="hybridMultilevel"/>
    <w:tmpl w:val="7E40EA4E"/>
    <w:lvl w:ilvl="0" w:tplc="7074786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75D07A4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976643B"/>
    <w:multiLevelType w:val="hybridMultilevel"/>
    <w:tmpl w:val="1138FF48"/>
    <w:lvl w:ilvl="0" w:tplc="57F4C4D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3"/>
  </w:num>
  <w:num w:numId="2">
    <w:abstractNumId w:val="2"/>
  </w:num>
  <w:num w:numId="3">
    <w:abstractNumId w:val="0"/>
  </w:num>
  <w:num w:numId="4">
    <w:abstractNumId w:val="6"/>
  </w:num>
  <w:num w:numId="5">
    <w:abstractNumId w:val="7"/>
  </w:num>
  <w:num w:numId="6">
    <w:abstractNumId w:val="10"/>
  </w:num>
  <w:num w:numId="7">
    <w:abstractNumId w:val="1"/>
  </w:num>
  <w:num w:numId="8">
    <w:abstractNumId w:val="9"/>
  </w:num>
  <w:num w:numId="9">
    <w:abstractNumId w:val="4"/>
  </w:num>
  <w:num w:numId="10">
    <w:abstractNumId w:val="5"/>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8"/>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BD5"/>
    <w:rsid w:val="00046E92"/>
    <w:rsid w:val="0004751D"/>
    <w:rsid w:val="000C291C"/>
    <w:rsid w:val="000F741B"/>
    <w:rsid w:val="00107DD5"/>
    <w:rsid w:val="0013143F"/>
    <w:rsid w:val="001E00E5"/>
    <w:rsid w:val="00247E2C"/>
    <w:rsid w:val="0025529E"/>
    <w:rsid w:val="0029156F"/>
    <w:rsid w:val="002D6C53"/>
    <w:rsid w:val="002F238A"/>
    <w:rsid w:val="002F5595"/>
    <w:rsid w:val="00315151"/>
    <w:rsid w:val="00317DC1"/>
    <w:rsid w:val="00334F6A"/>
    <w:rsid w:val="00342AC8"/>
    <w:rsid w:val="003B309C"/>
    <w:rsid w:val="003B4550"/>
    <w:rsid w:val="00461253"/>
    <w:rsid w:val="004A1C95"/>
    <w:rsid w:val="004A1DC4"/>
    <w:rsid w:val="004C5DED"/>
    <w:rsid w:val="004C71ED"/>
    <w:rsid w:val="00502AC4"/>
    <w:rsid w:val="0050383A"/>
    <w:rsid w:val="005042C2"/>
    <w:rsid w:val="005440F6"/>
    <w:rsid w:val="005721E3"/>
    <w:rsid w:val="005E08DF"/>
    <w:rsid w:val="00671529"/>
    <w:rsid w:val="006B6980"/>
    <w:rsid w:val="006D2D56"/>
    <w:rsid w:val="006E4390"/>
    <w:rsid w:val="007268F9"/>
    <w:rsid w:val="007C52B0"/>
    <w:rsid w:val="007F3D33"/>
    <w:rsid w:val="00816928"/>
    <w:rsid w:val="0086105F"/>
    <w:rsid w:val="00895805"/>
    <w:rsid w:val="009411B4"/>
    <w:rsid w:val="00972A11"/>
    <w:rsid w:val="009C7535"/>
    <w:rsid w:val="009D0139"/>
    <w:rsid w:val="009E0443"/>
    <w:rsid w:val="009F5CDC"/>
    <w:rsid w:val="00A07BD5"/>
    <w:rsid w:val="00A667AF"/>
    <w:rsid w:val="00A775CF"/>
    <w:rsid w:val="00B06045"/>
    <w:rsid w:val="00B275CB"/>
    <w:rsid w:val="00B41E4A"/>
    <w:rsid w:val="00BB243E"/>
    <w:rsid w:val="00BE04BA"/>
    <w:rsid w:val="00BF577B"/>
    <w:rsid w:val="00C35A27"/>
    <w:rsid w:val="00C9007B"/>
    <w:rsid w:val="00CC3AB5"/>
    <w:rsid w:val="00D0077F"/>
    <w:rsid w:val="00D13F8E"/>
    <w:rsid w:val="00D36354"/>
    <w:rsid w:val="00D75D0D"/>
    <w:rsid w:val="00D813C3"/>
    <w:rsid w:val="00E02C2B"/>
    <w:rsid w:val="00ED6C48"/>
    <w:rsid w:val="00F409BB"/>
    <w:rsid w:val="00F51016"/>
    <w:rsid w:val="00F65F5D"/>
    <w:rsid w:val="00F86A3A"/>
    <w:rsid w:val="00FB3CF4"/>
    <w:rsid w:val="00FF2E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80A5893"/>
  <w15:docId w15:val="{6EE7A3D1-F1CD-46D2-BA09-FE0B84E14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928"/>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lang w:eastAsia="zh-CN"/>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lang w:eastAsia="zh-CN"/>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lang w:eastAsia="zh-CN"/>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lang w:eastAsia="zh-CN"/>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lang w:eastAsia="zh-CN"/>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rPr>
      <w:lang w:eastAsia="zh-CN"/>
    </w:rPr>
  </w:style>
  <w:style w:type="paragraph" w:customStyle="1" w:styleId="SingleTxtG">
    <w:name w:val="_ Single Txt_G"/>
    <w:basedOn w:val="Normal"/>
    <w:link w:val="SingleTxtGChar"/>
    <w:qFormat/>
    <w:rsid w:val="000C291C"/>
    <w:pPr>
      <w:tabs>
        <w:tab w:val="left" w:pos="1701"/>
        <w:tab w:val="left" w:pos="2268"/>
      </w:tabs>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qFormat/>
    <w:rsid w:val="007268F9"/>
    <w:pPr>
      <w:numPr>
        <w:numId w:val="1"/>
      </w:numPr>
      <w:spacing w:after="120"/>
      <w:ind w:right="1134"/>
      <w:jc w:val="both"/>
    </w:pPr>
    <w:rPr>
      <w:lang w:eastAsia="zh-CN"/>
    </w:rPr>
  </w:style>
  <w:style w:type="paragraph" w:customStyle="1" w:styleId="Bullet2G">
    <w:name w:val="_Bullet 2_G"/>
    <w:basedOn w:val="Normal"/>
    <w:qFormat/>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0C291C"/>
    <w:rPr>
      <w:rFonts w:ascii="Times New Roman" w:hAnsi="Times New Roman" w:cs="Times New Roman"/>
      <w:sz w:val="20"/>
      <w:szCs w:val="20"/>
    </w:rPr>
  </w:style>
  <w:style w:type="paragraph" w:styleId="Revision">
    <w:name w:val="Revision"/>
    <w:hidden/>
    <w:uiPriority w:val="99"/>
    <w:semiHidden/>
    <w:rsid w:val="004A1C95"/>
    <w:pPr>
      <w:spacing w:after="0" w:line="240" w:lineRule="auto"/>
    </w:pPr>
    <w:rPr>
      <w:rFonts w:ascii="Times New Roman" w:hAnsi="Times New Roman" w:cs="Times New Roman"/>
      <w:sz w:val="20"/>
      <w:szCs w:val="20"/>
      <w:lang w:eastAsia="en-US"/>
    </w:rPr>
  </w:style>
  <w:style w:type="character" w:styleId="CommentReference">
    <w:name w:val="annotation reference"/>
    <w:basedOn w:val="DefaultParagraphFont"/>
    <w:uiPriority w:val="99"/>
    <w:semiHidden/>
    <w:unhideWhenUsed/>
    <w:rsid w:val="003B309C"/>
    <w:rPr>
      <w:sz w:val="16"/>
      <w:szCs w:val="16"/>
    </w:rPr>
  </w:style>
  <w:style w:type="paragraph" w:styleId="CommentText">
    <w:name w:val="annotation text"/>
    <w:basedOn w:val="Normal"/>
    <w:link w:val="CommentTextChar"/>
    <w:uiPriority w:val="99"/>
    <w:semiHidden/>
    <w:unhideWhenUsed/>
    <w:rsid w:val="003B309C"/>
    <w:pPr>
      <w:spacing w:line="240" w:lineRule="auto"/>
    </w:pPr>
  </w:style>
  <w:style w:type="character" w:customStyle="1" w:styleId="CommentTextChar">
    <w:name w:val="Comment Text Char"/>
    <w:basedOn w:val="DefaultParagraphFont"/>
    <w:link w:val="CommentText"/>
    <w:uiPriority w:val="99"/>
    <w:semiHidden/>
    <w:rsid w:val="003B309C"/>
    <w:rPr>
      <w:rFonts w:ascii="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3B309C"/>
    <w:rPr>
      <w:b/>
      <w:bCs/>
    </w:rPr>
  </w:style>
  <w:style w:type="character" w:customStyle="1" w:styleId="CommentSubjectChar">
    <w:name w:val="Comment Subject Char"/>
    <w:basedOn w:val="CommentTextChar"/>
    <w:link w:val="CommentSubject"/>
    <w:uiPriority w:val="99"/>
    <w:semiHidden/>
    <w:rsid w:val="003B309C"/>
    <w:rPr>
      <w:rFonts w:ascii="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AF79E-2F04-47DE-90E1-D6753CC82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4062</Words>
  <Characters>21940</Characters>
  <Application>Microsoft Office Word</Application>
  <DocSecurity>0</DocSecurity>
  <Lines>379</Lines>
  <Paragraphs>121</Paragraphs>
  <ScaleCrop>false</ScaleCrop>
  <HeadingPairs>
    <vt:vector size="2" baseType="variant">
      <vt:variant>
        <vt:lpstr>Title</vt:lpstr>
      </vt:variant>
      <vt:variant>
        <vt:i4>1</vt:i4>
      </vt:variant>
    </vt:vector>
  </HeadingPairs>
  <TitlesOfParts>
    <vt:vector size="1" baseType="lpstr">
      <vt:lpstr>CRPD/C/25/2*</vt:lpstr>
    </vt:vector>
  </TitlesOfParts>
  <Company>DCM</Company>
  <LinksUpToDate>false</LinksUpToDate>
  <CharactersWithSpaces>25920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CRPD/C/25/2*</dc:title>
  <dc:subject>2114777</dc:subject>
  <dc:creator>Una Philippa GILTSOFF</dc:creator>
  <cp:keywords/>
  <dc:description/>
  <cp:lastModifiedBy>Una Philippa GILTSOFF</cp:lastModifiedBy>
  <cp:revision>2</cp:revision>
  <dcterms:created xsi:type="dcterms:W3CDTF">2021-10-26T06:24:00Z</dcterms:created>
  <dcterms:modified xsi:type="dcterms:W3CDTF">2021-10-26T06:24:00Z</dcterms:modified>
</cp:coreProperties>
</file>