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374B0" w:rsidTr="00885CF4">
        <w:trPr>
          <w:trHeight w:val="851"/>
        </w:trPr>
        <w:tc>
          <w:tcPr>
            <w:tcW w:w="1259" w:type="dxa"/>
            <w:tcBorders>
              <w:top w:val="nil"/>
              <w:left w:val="nil"/>
              <w:bottom w:val="single" w:sz="4" w:space="0" w:color="auto"/>
              <w:right w:val="nil"/>
            </w:tcBorders>
          </w:tcPr>
          <w:p w:rsidR="00EC0A09" w:rsidRDefault="00EC0A09" w:rsidP="00885CF4">
            <w:pPr>
              <w:spacing w:after="80" w:line="340" w:lineRule="exact"/>
              <w:rPr>
                <w:rFonts w:eastAsiaTheme="minorEastAsia"/>
                <w:lang w:eastAsia="zh-CN"/>
              </w:rPr>
            </w:pPr>
          </w:p>
          <w:p w:rsidR="006374B0" w:rsidRPr="00EC0A09" w:rsidRDefault="006374B0" w:rsidP="00EC0A09">
            <w:pPr>
              <w:jc w:val="center"/>
              <w:rPr>
                <w:rFonts w:eastAsiaTheme="minorEastAsia"/>
                <w:lang w:eastAsia="zh-CN"/>
              </w:rPr>
            </w:pPr>
          </w:p>
        </w:tc>
        <w:tc>
          <w:tcPr>
            <w:tcW w:w="2236" w:type="dxa"/>
            <w:tcBorders>
              <w:top w:val="nil"/>
              <w:left w:val="nil"/>
              <w:bottom w:val="single" w:sz="4" w:space="0" w:color="auto"/>
              <w:right w:val="nil"/>
            </w:tcBorders>
            <w:vAlign w:val="bottom"/>
          </w:tcPr>
          <w:p w:rsidR="006374B0" w:rsidRDefault="006374B0" w:rsidP="00885CF4">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374B0" w:rsidRDefault="00A375D3" w:rsidP="00A375D3">
            <w:pPr>
              <w:suppressAutoHyphens w:val="0"/>
              <w:spacing w:after="20"/>
              <w:jc w:val="right"/>
            </w:pPr>
            <w:r w:rsidRPr="00A375D3">
              <w:rPr>
                <w:sz w:val="40"/>
              </w:rPr>
              <w:t>CAT</w:t>
            </w:r>
            <w:r>
              <w:t>/OP/7</w:t>
            </w:r>
          </w:p>
        </w:tc>
      </w:tr>
      <w:tr w:rsidR="006374B0" w:rsidTr="00885CF4">
        <w:trPr>
          <w:trHeight w:val="2835"/>
        </w:trPr>
        <w:tc>
          <w:tcPr>
            <w:tcW w:w="1259" w:type="dxa"/>
            <w:tcBorders>
              <w:top w:val="single" w:sz="4" w:space="0" w:color="auto"/>
              <w:left w:val="nil"/>
              <w:bottom w:val="single" w:sz="12" w:space="0" w:color="auto"/>
              <w:right w:val="nil"/>
            </w:tcBorders>
          </w:tcPr>
          <w:p w:rsidR="006374B0" w:rsidRDefault="006374B0" w:rsidP="00885CF4">
            <w:pPr>
              <w:spacing w:before="120"/>
              <w:jc w:val="center"/>
            </w:pPr>
            <w:r>
              <w:rPr>
                <w:noProof/>
                <w:lang w:eastAsia="zh-CN"/>
              </w:rPr>
              <w:drawing>
                <wp:inline distT="0" distB="0" distL="0" distR="0" wp14:anchorId="5FEACD78" wp14:editId="4DD94E2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374B0" w:rsidRDefault="007826D5" w:rsidP="00885CF4">
            <w:pPr>
              <w:spacing w:before="120" w:line="380" w:lineRule="exact"/>
              <w:rPr>
                <w:rFonts w:ascii="Times New Roman Bold" w:hAnsi="Times New Roman Bold"/>
                <w:b/>
                <w:sz w:val="34"/>
                <w:szCs w:val="40"/>
              </w:rPr>
            </w:pPr>
            <w:r w:rsidRPr="00FD2363">
              <w:rPr>
                <w:b/>
                <w:sz w:val="34"/>
                <w:szCs w:val="34"/>
              </w:rPr>
              <w:t>Optional Protocol to the</w:t>
            </w:r>
            <w:r>
              <w:rPr>
                <w:b/>
                <w:sz w:val="34"/>
                <w:szCs w:val="34"/>
              </w:rPr>
              <w:br/>
            </w:r>
            <w:r w:rsidRPr="00FD2363">
              <w:rPr>
                <w:b/>
                <w:sz w:val="34"/>
                <w:szCs w:val="34"/>
              </w:rPr>
              <w:t>Convention against Torture</w:t>
            </w:r>
            <w:r>
              <w:rPr>
                <w:b/>
                <w:sz w:val="34"/>
                <w:szCs w:val="34"/>
              </w:rPr>
              <w:br/>
            </w:r>
            <w:r w:rsidRPr="00FD2363">
              <w:rPr>
                <w:b/>
                <w:sz w:val="34"/>
                <w:szCs w:val="34"/>
              </w:rPr>
              <w:t>and Other Cruel, Inhuman</w:t>
            </w:r>
            <w:r>
              <w:rPr>
                <w:b/>
                <w:sz w:val="34"/>
                <w:szCs w:val="34"/>
              </w:rPr>
              <w:br/>
            </w:r>
            <w:r w:rsidRPr="00FD2363">
              <w:rPr>
                <w:b/>
                <w:sz w:val="34"/>
                <w:szCs w:val="34"/>
              </w:rPr>
              <w:t>or Degrading Treatment</w:t>
            </w:r>
            <w:r>
              <w:rPr>
                <w:b/>
                <w:sz w:val="34"/>
                <w:szCs w:val="34"/>
              </w:rPr>
              <w:br/>
            </w:r>
            <w:r w:rsidRPr="00FD2363">
              <w:rPr>
                <w:b/>
                <w:sz w:val="34"/>
                <w:szCs w:val="34"/>
              </w:rPr>
              <w:t>or Punishment</w:t>
            </w:r>
          </w:p>
        </w:tc>
        <w:tc>
          <w:tcPr>
            <w:tcW w:w="2930" w:type="dxa"/>
            <w:tcBorders>
              <w:top w:val="single" w:sz="4" w:space="0" w:color="auto"/>
              <w:left w:val="nil"/>
              <w:bottom w:val="single" w:sz="12" w:space="0" w:color="auto"/>
              <w:right w:val="nil"/>
            </w:tcBorders>
          </w:tcPr>
          <w:p w:rsidR="006374B0" w:rsidRDefault="00A375D3" w:rsidP="00A375D3">
            <w:pPr>
              <w:suppressAutoHyphens w:val="0"/>
              <w:spacing w:before="240"/>
            </w:pPr>
            <w:r>
              <w:t>Distr.: General</w:t>
            </w:r>
          </w:p>
          <w:p w:rsidR="00A375D3" w:rsidRDefault="005C4B81" w:rsidP="00A375D3">
            <w:pPr>
              <w:suppressAutoHyphens w:val="0"/>
            </w:pPr>
            <w:r>
              <w:t>2</w:t>
            </w:r>
            <w:r w:rsidR="006C25B5">
              <w:t>4</w:t>
            </w:r>
            <w:r w:rsidR="00A375D3">
              <w:t xml:space="preserve"> May 2019</w:t>
            </w:r>
          </w:p>
          <w:p w:rsidR="00A375D3" w:rsidRDefault="00A375D3" w:rsidP="00A375D3">
            <w:pPr>
              <w:suppressAutoHyphens w:val="0"/>
            </w:pPr>
          </w:p>
          <w:p w:rsidR="00A375D3" w:rsidRDefault="00A375D3" w:rsidP="00A375D3">
            <w:pPr>
              <w:suppressAutoHyphens w:val="0"/>
            </w:pPr>
            <w:r>
              <w:t>Original: English</w:t>
            </w:r>
          </w:p>
        </w:tc>
      </w:tr>
    </w:tbl>
    <w:p w:rsidR="00A375D3" w:rsidRPr="00DF2B07" w:rsidRDefault="00A375D3" w:rsidP="00A375D3">
      <w:pPr>
        <w:spacing w:before="120"/>
        <w:rPr>
          <w:b/>
          <w:bCs/>
          <w:sz w:val="24"/>
          <w:szCs w:val="24"/>
        </w:rPr>
      </w:pPr>
      <w:r w:rsidRPr="00DF2B07">
        <w:rPr>
          <w:b/>
          <w:bCs/>
          <w:sz w:val="24"/>
          <w:szCs w:val="24"/>
        </w:rPr>
        <w:t>Subcommittee on Prevention of Torture and Other Cruel</w:t>
      </w:r>
      <w:proofErr w:type="gramStart"/>
      <w:r w:rsidRPr="00DF2B07">
        <w:rPr>
          <w:b/>
          <w:bCs/>
          <w:sz w:val="24"/>
          <w:szCs w:val="24"/>
        </w:rPr>
        <w:t>,</w:t>
      </w:r>
      <w:proofErr w:type="gramEnd"/>
      <w:r w:rsidRPr="00DF2B07">
        <w:rPr>
          <w:b/>
          <w:bCs/>
          <w:sz w:val="24"/>
          <w:szCs w:val="24"/>
        </w:rPr>
        <w:br/>
        <w:t>Inhuman or Degrading Treatment or Punishment</w:t>
      </w:r>
    </w:p>
    <w:p w:rsidR="00A375D3" w:rsidRPr="00DF2B07" w:rsidRDefault="00A375D3" w:rsidP="00A375D3">
      <w:pPr>
        <w:pStyle w:val="HChG"/>
      </w:pPr>
      <w:r w:rsidRPr="00DF2B07">
        <w:tab/>
      </w:r>
      <w:r w:rsidRPr="00DF2B07">
        <w:tab/>
        <w:t xml:space="preserve">National preventive mechanism checklist on health-care </w:t>
      </w:r>
      <w:bookmarkStart w:id="0" w:name="_GoBack"/>
      <w:r w:rsidRPr="00DF2B07">
        <w:t>i</w:t>
      </w:r>
      <w:bookmarkEnd w:id="0"/>
      <w:r w:rsidRPr="00DF2B07">
        <w:t>ssues relating to the monitoring of places of detention</w:t>
      </w:r>
      <w:r w:rsidRPr="00DF2B07">
        <w:rPr>
          <w:b w:val="0"/>
          <w:bCs/>
          <w:sz w:val="20"/>
          <w:szCs w:val="14"/>
        </w:rPr>
        <w:footnoteReference w:customMarkFollows="1" w:id="1"/>
        <w:t>*</w:t>
      </w:r>
    </w:p>
    <w:p w:rsidR="00A375D3" w:rsidRPr="00DF2B07" w:rsidRDefault="00A375D3" w:rsidP="00A375D3">
      <w:pPr>
        <w:pStyle w:val="HChG"/>
      </w:pPr>
      <w:r w:rsidRPr="00DF2B07">
        <w:tab/>
        <w:t>I.</w:t>
      </w:r>
      <w:r w:rsidRPr="00DF2B07">
        <w:tab/>
        <w:t>Introduction</w:t>
      </w:r>
    </w:p>
    <w:p w:rsidR="00A375D3" w:rsidRPr="00DF2B07" w:rsidRDefault="00A375D3" w:rsidP="00A375D3">
      <w:pPr>
        <w:pStyle w:val="SingleTxtG"/>
      </w:pPr>
      <w:r w:rsidRPr="00DF2B07">
        <w:t>1.</w:t>
      </w:r>
      <w:r w:rsidRPr="00DF2B07">
        <w:tab/>
        <w:t>The present document was prepared pursuant to a decision taken by the Subcommittee on Prevention of Torture at its thirty-second session, in accordance with its mandate as set forth in article 11 (b) of the Optional Protocol to the Convention against Torture and Other Cruel, Inhuman or Degrading Treatment or Punishment.</w:t>
      </w:r>
    </w:p>
    <w:p w:rsidR="00A375D3" w:rsidRPr="00DF2B07" w:rsidRDefault="00A375D3" w:rsidP="00A375D3">
      <w:pPr>
        <w:pStyle w:val="SingleTxtG"/>
      </w:pPr>
      <w:r w:rsidRPr="00DF2B07">
        <w:t>2.</w:t>
      </w:r>
      <w:r w:rsidRPr="00DF2B07">
        <w:tab/>
        <w:t xml:space="preserve">The availability and the quality of health care in prisons are crucial indicators in assessing the risk of cruel, inhuman and degrading treatment, and even torture. </w:t>
      </w:r>
    </w:p>
    <w:p w:rsidR="00A375D3" w:rsidRPr="00DF2B07" w:rsidRDefault="00A375D3" w:rsidP="00A375D3">
      <w:pPr>
        <w:pStyle w:val="SingleTxtG"/>
      </w:pPr>
      <w:r w:rsidRPr="00DF2B07">
        <w:t xml:space="preserve">3. </w:t>
      </w:r>
      <w:r w:rsidRPr="00DF2B07">
        <w:tab/>
        <w:t xml:space="preserve">National preventive mechanisms should ensure that they cover health-care issues comprehensively in order to fulfil their preventive mandate. The checklist annexed below </w:t>
      </w:r>
      <w:proofErr w:type="gramStart"/>
      <w:r w:rsidRPr="00DF2B07">
        <w:t>is recommended</w:t>
      </w:r>
      <w:proofErr w:type="gramEnd"/>
      <w:r w:rsidRPr="00DF2B07">
        <w:t xml:space="preserve"> as a self-assessment tool to remind national preventive mechanisms of the critical health issues that they should consider in their evaluations of places of deprivation of liberty. The checklist </w:t>
      </w:r>
      <w:proofErr w:type="gramStart"/>
      <w:r w:rsidRPr="00DF2B07">
        <w:t>is expected</w:t>
      </w:r>
      <w:proofErr w:type="gramEnd"/>
      <w:r w:rsidRPr="00DF2B07">
        <w:t xml:space="preserve"> to reveal a general pattern of health-care issues that are, or are not, being addressed in their visit reports. It is designed for internal use only and not as an instrument for assessing actual conditions in places of deprivation of liberty. National preventive mechanisms are encouraged to design their own health-care assessment tools for use in all their monitoring visits.</w:t>
      </w:r>
    </w:p>
    <w:p w:rsidR="00A375D3" w:rsidRPr="00DF2B07" w:rsidRDefault="00A375D3" w:rsidP="00EA0F19">
      <w:pPr>
        <w:pStyle w:val="HChG"/>
      </w:pPr>
      <w:r w:rsidRPr="00DF2B07">
        <w:tab/>
        <w:t>II.</w:t>
      </w:r>
      <w:r w:rsidRPr="00DF2B07">
        <w:tab/>
        <w:t>Objectives of the checklist</w:t>
      </w:r>
    </w:p>
    <w:p w:rsidR="00A375D3" w:rsidRPr="00DF2B07" w:rsidRDefault="00A375D3" w:rsidP="00A375D3">
      <w:pPr>
        <w:pStyle w:val="SingleTxtG"/>
      </w:pPr>
      <w:r w:rsidRPr="00DF2B07">
        <w:t>4.</w:t>
      </w:r>
      <w:r w:rsidRPr="00DF2B07">
        <w:tab/>
        <w:t>The objectives of the checklist are to:</w:t>
      </w:r>
    </w:p>
    <w:p w:rsidR="00A375D3" w:rsidRPr="00DF2B07" w:rsidRDefault="00A375D3" w:rsidP="00A375D3">
      <w:pPr>
        <w:pStyle w:val="SingleTxtG"/>
      </w:pPr>
      <w:r w:rsidRPr="00DF2B07">
        <w:tab/>
        <w:t>(a)</w:t>
      </w:r>
      <w:r w:rsidRPr="00DF2B07">
        <w:tab/>
        <w:t xml:space="preserve">Remind national preventive mechanisms of the important health-care issues that need to </w:t>
      </w:r>
      <w:proofErr w:type="gramStart"/>
      <w:r w:rsidRPr="00DF2B07">
        <w:t>be noted</w:t>
      </w:r>
      <w:proofErr w:type="gramEnd"/>
      <w:r w:rsidRPr="00DF2B07">
        <w:t xml:space="preserve"> during their visits;</w:t>
      </w:r>
    </w:p>
    <w:p w:rsidR="00A375D3" w:rsidRPr="00DF2B07" w:rsidRDefault="00A375D3" w:rsidP="00A375D3">
      <w:pPr>
        <w:pStyle w:val="SingleTxtG"/>
      </w:pPr>
      <w:r w:rsidRPr="00DF2B07">
        <w:tab/>
        <w:t>(b)</w:t>
      </w:r>
      <w:r w:rsidRPr="00DF2B07">
        <w:tab/>
        <w:t xml:space="preserve">Identify gaps in the capacity of national preventive mechanisms to monitor health aspects of torture prevention and, if necessary, strengthen their health expertise. </w:t>
      </w:r>
    </w:p>
    <w:p w:rsidR="00A375D3" w:rsidRPr="00DF2B07" w:rsidRDefault="00A375D3" w:rsidP="00A375D3">
      <w:pPr>
        <w:pStyle w:val="HChG"/>
      </w:pPr>
      <w:r w:rsidRPr="00DF2B07">
        <w:tab/>
        <w:t>III.</w:t>
      </w:r>
      <w:r w:rsidRPr="00DF2B07">
        <w:tab/>
        <w:t>Design of the checklist</w:t>
      </w:r>
    </w:p>
    <w:p w:rsidR="00A375D3" w:rsidRPr="00DF2B07" w:rsidRDefault="00A375D3" w:rsidP="00A375D3">
      <w:pPr>
        <w:pStyle w:val="SingleTxtG"/>
      </w:pPr>
      <w:r w:rsidRPr="00DF2B07">
        <w:t>5.</w:t>
      </w:r>
      <w:r w:rsidRPr="00DF2B07">
        <w:tab/>
        <w:t xml:space="preserve">The checklist consists of six categories of health-care issues, which </w:t>
      </w:r>
      <w:proofErr w:type="gramStart"/>
      <w:r w:rsidRPr="00DF2B07">
        <w:t>are based</w:t>
      </w:r>
      <w:proofErr w:type="gramEnd"/>
      <w:r w:rsidRPr="00DF2B07">
        <w:t xml:space="preserve"> on the United Nations Standard Minimum Rules for the Treatment of Prisoners (the Nelson Mandela Rules) and on the Istanbul Protocol (knowledge, sensitivity and professional ethics, and practice, included under the section on health staff). The comments (problems/difficulties) column </w:t>
      </w:r>
      <w:proofErr w:type="gramStart"/>
      <w:r w:rsidRPr="00DF2B07">
        <w:t>is meant</w:t>
      </w:r>
      <w:proofErr w:type="gramEnd"/>
      <w:r w:rsidRPr="00DF2B07">
        <w:t xml:space="preserve"> to bring to the fore problems related to monitoring the particular issue. </w:t>
      </w:r>
    </w:p>
    <w:p w:rsidR="00A375D3" w:rsidRPr="00DF2B07" w:rsidRDefault="00A375D3" w:rsidP="00A375D3">
      <w:pPr>
        <w:pStyle w:val="HChG"/>
      </w:pPr>
      <w:r w:rsidRPr="00DF2B07">
        <w:lastRenderedPageBreak/>
        <w:tab/>
        <w:t>IV.</w:t>
      </w:r>
      <w:r w:rsidRPr="00DF2B07">
        <w:tab/>
        <w:t>How to use the checklist</w:t>
      </w:r>
    </w:p>
    <w:p w:rsidR="00A375D3" w:rsidRPr="00DF2B07" w:rsidRDefault="00A375D3" w:rsidP="00A375D3">
      <w:pPr>
        <w:pStyle w:val="SingleTxtG"/>
      </w:pPr>
      <w:r w:rsidRPr="00DF2B07">
        <w:t>6.</w:t>
      </w:r>
      <w:r w:rsidRPr="00DF2B07">
        <w:tab/>
        <w:t xml:space="preserve">National preventive mechanisms should tick either the </w:t>
      </w:r>
      <w:r w:rsidR="00DF2B07">
        <w:t>“</w:t>
      </w:r>
      <w:r w:rsidRPr="00DF2B07">
        <w:t>Yes</w:t>
      </w:r>
      <w:r w:rsidR="00DF2B07">
        <w:t>”</w:t>
      </w:r>
      <w:r w:rsidRPr="00DF2B07">
        <w:t xml:space="preserve"> or </w:t>
      </w:r>
      <w:r w:rsidR="00DF2B07">
        <w:t>“</w:t>
      </w:r>
      <w:r w:rsidRPr="00DF2B07">
        <w:t>No</w:t>
      </w:r>
      <w:r w:rsidR="00DF2B07">
        <w:t>”</w:t>
      </w:r>
      <w:r w:rsidRPr="00DF2B07">
        <w:t xml:space="preserve"> box depending on the issues on the checklist that they have noted during their visit to a particular place of deprivation of liberty. It is important to enter remarks in the comments (problems/difficulties) column, such as lack of clarity, lack of expertise, administrative barriers, as well as recommendations on how to resolve them.</w:t>
      </w:r>
    </w:p>
    <w:p w:rsidR="00E369C7" w:rsidRPr="00DF2B07" w:rsidRDefault="00A375D3" w:rsidP="005C4B81">
      <w:pPr>
        <w:pStyle w:val="HChG"/>
      </w:pPr>
      <w:r w:rsidRPr="00DF2B07">
        <w:br w:type="page"/>
      </w:r>
      <w:r w:rsidR="00E369C7" w:rsidRPr="00DF2B07">
        <w:lastRenderedPageBreak/>
        <w:t xml:space="preserve">Annex </w:t>
      </w:r>
    </w:p>
    <w:p w:rsidR="00E369C7" w:rsidRPr="00DF2B07" w:rsidRDefault="00E369C7" w:rsidP="00E369C7">
      <w:pPr>
        <w:pStyle w:val="HChG"/>
      </w:pPr>
      <w:r w:rsidRPr="00DF2B07">
        <w:tab/>
      </w:r>
      <w:r w:rsidRPr="00DF2B07">
        <w:tab/>
        <w:t>Checklist on health-care issues relating to the monitoring of places of detention</w:t>
      </w:r>
      <w:r w:rsidRPr="00DF2B07">
        <w:rPr>
          <w:rStyle w:val="FootnoteReference"/>
          <w:b w:val="0"/>
          <w:bCs/>
        </w:rPr>
        <w:footnoteReference w:id="2"/>
      </w:r>
    </w:p>
    <w:tbl>
      <w:tblPr>
        <w:tblW w:w="8505" w:type="dxa"/>
        <w:tblInd w:w="11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3191"/>
        <w:gridCol w:w="714"/>
        <w:gridCol w:w="9"/>
        <w:gridCol w:w="703"/>
        <w:gridCol w:w="9"/>
        <w:gridCol w:w="3870"/>
        <w:gridCol w:w="9"/>
      </w:tblGrid>
      <w:tr w:rsidR="005526D6" w:rsidRPr="00DF2B07" w:rsidTr="00875DB0">
        <w:trPr>
          <w:cantSplit/>
          <w:tblHeader/>
        </w:trPr>
        <w:tc>
          <w:tcPr>
            <w:tcW w:w="3191" w:type="dxa"/>
            <w:shd w:val="clear" w:color="auto" w:fill="auto"/>
            <w:tcMar>
              <w:top w:w="43" w:type="dxa"/>
              <w:left w:w="72" w:type="dxa"/>
              <w:bottom w:w="43" w:type="dxa"/>
              <w:right w:w="43" w:type="dxa"/>
            </w:tcMar>
            <w:vAlign w:val="bottom"/>
          </w:tcPr>
          <w:p w:rsidR="005526D6" w:rsidRPr="00DF2B07" w:rsidRDefault="005526D6" w:rsidP="00B05DD7">
            <w:pPr>
              <w:suppressAutoHyphens w:val="0"/>
              <w:spacing w:before="80" w:after="80" w:line="200" w:lineRule="exact"/>
              <w:ind w:right="113"/>
              <w:rPr>
                <w:i/>
                <w:sz w:val="16"/>
              </w:rPr>
            </w:pPr>
            <w:r w:rsidRPr="00DF2B07">
              <w:rPr>
                <w:i/>
                <w:sz w:val="16"/>
              </w:rPr>
              <w:t>Noted</w:t>
            </w:r>
          </w:p>
        </w:tc>
        <w:tc>
          <w:tcPr>
            <w:tcW w:w="723" w:type="dxa"/>
            <w:gridSpan w:val="2"/>
            <w:shd w:val="clear" w:color="auto" w:fill="auto"/>
            <w:tcMar>
              <w:top w:w="43" w:type="dxa"/>
              <w:left w:w="72" w:type="dxa"/>
              <w:bottom w:w="43" w:type="dxa"/>
              <w:right w:w="43" w:type="dxa"/>
            </w:tcMar>
            <w:vAlign w:val="bottom"/>
          </w:tcPr>
          <w:p w:rsidR="005526D6" w:rsidRPr="00DF2B07" w:rsidRDefault="005526D6" w:rsidP="00B05DD7">
            <w:pPr>
              <w:suppressAutoHyphens w:val="0"/>
              <w:spacing w:before="80" w:after="80" w:line="200" w:lineRule="exact"/>
              <w:ind w:right="113"/>
              <w:rPr>
                <w:i/>
                <w:sz w:val="16"/>
              </w:rPr>
            </w:pPr>
            <w:r w:rsidRPr="00DF2B07">
              <w:rPr>
                <w:i/>
                <w:sz w:val="16"/>
              </w:rPr>
              <w:t>Yes</w:t>
            </w:r>
          </w:p>
        </w:tc>
        <w:tc>
          <w:tcPr>
            <w:tcW w:w="712" w:type="dxa"/>
            <w:gridSpan w:val="2"/>
            <w:shd w:val="clear" w:color="auto" w:fill="auto"/>
            <w:tcMar>
              <w:top w:w="43" w:type="dxa"/>
              <w:left w:w="72" w:type="dxa"/>
              <w:bottom w:w="43" w:type="dxa"/>
              <w:right w:w="43" w:type="dxa"/>
            </w:tcMar>
            <w:vAlign w:val="bottom"/>
          </w:tcPr>
          <w:p w:rsidR="005526D6" w:rsidRPr="00DF2B07" w:rsidRDefault="005526D6" w:rsidP="00B05DD7">
            <w:pPr>
              <w:suppressAutoHyphens w:val="0"/>
              <w:spacing w:before="80" w:after="80" w:line="200" w:lineRule="exact"/>
              <w:ind w:right="113"/>
              <w:rPr>
                <w:i/>
                <w:sz w:val="16"/>
              </w:rPr>
            </w:pPr>
            <w:r w:rsidRPr="00DF2B07">
              <w:rPr>
                <w:i/>
                <w:sz w:val="16"/>
              </w:rPr>
              <w:t>No</w:t>
            </w:r>
          </w:p>
        </w:tc>
        <w:tc>
          <w:tcPr>
            <w:tcW w:w="3879" w:type="dxa"/>
            <w:gridSpan w:val="2"/>
            <w:shd w:val="clear" w:color="auto" w:fill="auto"/>
            <w:tcMar>
              <w:top w:w="43" w:type="dxa"/>
              <w:left w:w="72" w:type="dxa"/>
              <w:bottom w:w="43" w:type="dxa"/>
              <w:right w:w="43" w:type="dxa"/>
            </w:tcMar>
            <w:vAlign w:val="bottom"/>
          </w:tcPr>
          <w:p w:rsidR="005526D6" w:rsidRPr="00DF2B07" w:rsidRDefault="005526D6" w:rsidP="00B05DD7">
            <w:pPr>
              <w:suppressAutoHyphens w:val="0"/>
              <w:spacing w:before="80" w:after="80" w:line="200" w:lineRule="exact"/>
              <w:ind w:right="113"/>
              <w:rPr>
                <w:i/>
                <w:sz w:val="16"/>
              </w:rPr>
            </w:pPr>
            <w:r w:rsidRPr="00DF2B07">
              <w:rPr>
                <w:i/>
                <w:sz w:val="16"/>
              </w:rPr>
              <w:t>Comments (problems/difficulties)</w:t>
            </w:r>
          </w:p>
        </w:tc>
      </w:tr>
      <w:tr w:rsidR="005526D6" w:rsidRPr="00DF2B07" w:rsidTr="002B29E3">
        <w:trPr>
          <w:cantSplit/>
        </w:trPr>
        <w:tc>
          <w:tcPr>
            <w:tcW w:w="8505" w:type="dxa"/>
            <w:gridSpan w:val="7"/>
            <w:shd w:val="clear" w:color="auto" w:fill="EEECE1" w:themeFill="background2"/>
            <w:tcMar>
              <w:top w:w="43" w:type="dxa"/>
              <w:left w:w="72" w:type="dxa"/>
              <w:bottom w:w="43" w:type="dxa"/>
              <w:right w:w="43" w:type="dxa"/>
            </w:tcMar>
          </w:tcPr>
          <w:p w:rsidR="005526D6" w:rsidRPr="00DF2B07" w:rsidRDefault="005526D6" w:rsidP="00B05DD7">
            <w:pPr>
              <w:suppressAutoHyphens w:val="0"/>
              <w:spacing w:before="40" w:after="120" w:line="220" w:lineRule="exact"/>
              <w:ind w:right="113"/>
              <w:rPr>
                <w:b/>
              </w:rPr>
            </w:pPr>
            <w:r w:rsidRPr="00DF2B07">
              <w:rPr>
                <w:b/>
              </w:rPr>
              <w:t>Admission procedures</w:t>
            </w:r>
          </w:p>
        </w:tc>
      </w:tr>
      <w:tr w:rsidR="005526D6" w:rsidRPr="00DF2B07" w:rsidTr="00875DB0">
        <w:trPr>
          <w:cantSplit/>
        </w:trPr>
        <w:tc>
          <w:tcPr>
            <w:tcW w:w="3191" w:type="dxa"/>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t>1. Body search procedures</w:t>
            </w:r>
          </w:p>
        </w:tc>
        <w:tc>
          <w:tcPr>
            <w:tcW w:w="723"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rPr>
                <w:b/>
              </w:rPr>
            </w:pPr>
            <w:r w:rsidRPr="00DF2B07">
              <w:fldChar w:fldCharType="begin">
                <w:ffData>
                  <w:name w:val="Check2"/>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712"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rPr>
                <w:b/>
              </w:rPr>
            </w:pPr>
            <w:r w:rsidRPr="00DF2B07">
              <w:fldChar w:fldCharType="begin">
                <w:ffData>
                  <w:name w:val="Check2"/>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3879"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rPr>
                <w:b/>
              </w:rPr>
            </w:pPr>
          </w:p>
        </w:tc>
      </w:tr>
      <w:tr w:rsidR="005526D6" w:rsidRPr="00DF2B07" w:rsidTr="00875DB0">
        <w:trPr>
          <w:cantSplit/>
        </w:trPr>
        <w:tc>
          <w:tcPr>
            <w:tcW w:w="3191" w:type="dxa"/>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t xml:space="preserve">2. Medical screening, including medication history, physical examination and review of physiological systems </w:t>
            </w:r>
          </w:p>
        </w:tc>
        <w:tc>
          <w:tcPr>
            <w:tcW w:w="723"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rPr>
                <w:b/>
              </w:rPr>
            </w:pPr>
            <w:r w:rsidRPr="00DF2B07">
              <w:fldChar w:fldCharType="begin">
                <w:ffData>
                  <w:name w:val="Check2"/>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712"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rPr>
                <w:b/>
              </w:rPr>
            </w:pPr>
            <w:r w:rsidRPr="00DF2B07">
              <w:fldChar w:fldCharType="begin">
                <w:ffData>
                  <w:name w:val="Check2"/>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3879"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rPr>
                <w:b/>
              </w:rPr>
            </w:pPr>
          </w:p>
        </w:tc>
      </w:tr>
      <w:tr w:rsidR="005526D6" w:rsidRPr="00DF2B07" w:rsidTr="00875DB0">
        <w:trPr>
          <w:cantSplit/>
        </w:trPr>
        <w:tc>
          <w:tcPr>
            <w:tcW w:w="3191" w:type="dxa"/>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t xml:space="preserve">3. Documentation of all procedures done upon admission </w:t>
            </w:r>
          </w:p>
        </w:tc>
        <w:tc>
          <w:tcPr>
            <w:tcW w:w="723"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rPr>
                <w:b/>
              </w:rPr>
            </w:pPr>
            <w:r w:rsidRPr="00DF2B07">
              <w:fldChar w:fldCharType="begin">
                <w:ffData>
                  <w:name w:val="Check2"/>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712"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rPr>
                <w:b/>
              </w:rPr>
            </w:pPr>
            <w:r w:rsidRPr="00DF2B07">
              <w:fldChar w:fldCharType="begin">
                <w:ffData>
                  <w:name w:val="Check2"/>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3879"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rPr>
                <w:b/>
              </w:rPr>
            </w:pPr>
          </w:p>
        </w:tc>
      </w:tr>
      <w:tr w:rsidR="005526D6" w:rsidRPr="00DF2B07" w:rsidTr="00875DB0">
        <w:trPr>
          <w:cantSplit/>
        </w:trPr>
        <w:tc>
          <w:tcPr>
            <w:tcW w:w="3191" w:type="dxa"/>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t>4. Access to health-care services (medical, dental and mental health services) without discrimination of any kind</w:t>
            </w:r>
          </w:p>
        </w:tc>
        <w:tc>
          <w:tcPr>
            <w:tcW w:w="723"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rPr>
                <w:b/>
              </w:rPr>
            </w:pPr>
            <w:r w:rsidRPr="00DF2B07">
              <w:fldChar w:fldCharType="begin">
                <w:ffData>
                  <w:name w:val="Check2"/>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712"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rPr>
                <w:b/>
              </w:rPr>
            </w:pPr>
            <w:r w:rsidRPr="00DF2B07">
              <w:fldChar w:fldCharType="begin">
                <w:ffData>
                  <w:name w:val="Check2"/>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3879"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rPr>
                <w:b/>
              </w:rPr>
            </w:pPr>
          </w:p>
        </w:tc>
      </w:tr>
      <w:tr w:rsidR="005526D6" w:rsidRPr="00DF2B07" w:rsidTr="00875DB0">
        <w:trPr>
          <w:cantSplit/>
        </w:trPr>
        <w:tc>
          <w:tcPr>
            <w:tcW w:w="3191" w:type="dxa"/>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t>5. Information provided to detainees, for instance, on their rights or on the prison regime</w:t>
            </w:r>
          </w:p>
        </w:tc>
        <w:tc>
          <w:tcPr>
            <w:tcW w:w="723"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fldChar w:fldCharType="begin">
                <w:ffData>
                  <w:name w:val="Check2"/>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712"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fldChar w:fldCharType="begin">
                <w:ffData>
                  <w:name w:val="Check2"/>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3879"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rPr>
                <w:b/>
              </w:rPr>
            </w:pPr>
          </w:p>
        </w:tc>
      </w:tr>
      <w:tr w:rsidR="005526D6" w:rsidRPr="00DF2B07" w:rsidTr="002B29E3">
        <w:trPr>
          <w:cantSplit/>
        </w:trPr>
        <w:tc>
          <w:tcPr>
            <w:tcW w:w="8505" w:type="dxa"/>
            <w:gridSpan w:val="7"/>
            <w:shd w:val="clear" w:color="auto" w:fill="EEECE1" w:themeFill="background2"/>
            <w:tcMar>
              <w:top w:w="43" w:type="dxa"/>
              <w:left w:w="72" w:type="dxa"/>
              <w:bottom w:w="43" w:type="dxa"/>
              <w:right w:w="43" w:type="dxa"/>
            </w:tcMar>
          </w:tcPr>
          <w:p w:rsidR="005526D6" w:rsidRPr="00DF2B07" w:rsidRDefault="005526D6" w:rsidP="00B05DD7">
            <w:pPr>
              <w:suppressAutoHyphens w:val="0"/>
              <w:spacing w:before="40" w:after="120" w:line="220" w:lineRule="exact"/>
              <w:ind w:right="113"/>
              <w:rPr>
                <w:b/>
              </w:rPr>
            </w:pPr>
            <w:r w:rsidRPr="00DF2B07">
              <w:rPr>
                <w:b/>
              </w:rPr>
              <w:t>Files and records</w:t>
            </w:r>
          </w:p>
        </w:tc>
      </w:tr>
      <w:tr w:rsidR="005526D6" w:rsidRPr="00DF2B07" w:rsidTr="00875DB0">
        <w:trPr>
          <w:cantSplit/>
        </w:trPr>
        <w:tc>
          <w:tcPr>
            <w:tcW w:w="3191" w:type="dxa"/>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rPr>
                <w:b/>
              </w:rPr>
            </w:pPr>
            <w:r w:rsidRPr="00DF2B07">
              <w:t>1. Prisoner file management system</w:t>
            </w:r>
          </w:p>
        </w:tc>
        <w:tc>
          <w:tcPr>
            <w:tcW w:w="723"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rPr>
                <w:b/>
              </w:rPr>
            </w:pPr>
            <w:r w:rsidRPr="00DF2B07">
              <w:fldChar w:fldCharType="begin">
                <w:ffData>
                  <w:name w:val="Check2"/>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712"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rPr>
                <w:b/>
              </w:rPr>
            </w:pPr>
            <w:r w:rsidRPr="00DF2B07">
              <w:fldChar w:fldCharType="begin">
                <w:ffData>
                  <w:name w:val="Check2"/>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3879"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rPr>
                <w:b/>
              </w:rPr>
            </w:pPr>
          </w:p>
        </w:tc>
      </w:tr>
      <w:tr w:rsidR="005526D6" w:rsidRPr="00DF2B07" w:rsidTr="00875DB0">
        <w:trPr>
          <w:cantSplit/>
        </w:trPr>
        <w:tc>
          <w:tcPr>
            <w:tcW w:w="3191" w:type="dxa"/>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t>2. Consistency of general data between administrative records and medical records</w:t>
            </w:r>
          </w:p>
        </w:tc>
        <w:tc>
          <w:tcPr>
            <w:tcW w:w="723"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fldChar w:fldCharType="begin">
                <w:ffData>
                  <w:name w:val="Check2"/>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712"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fldChar w:fldCharType="begin">
                <w:ffData>
                  <w:name w:val="Check2"/>
                  <w:enabled/>
                  <w:calcOnExit w:val="0"/>
                  <w:checkBox>
                    <w:sizeAuto/>
                    <w:default w:val="0"/>
                  </w:checkBox>
                </w:ffData>
              </w:fldChar>
            </w:r>
            <w:bookmarkStart w:id="1" w:name="Check2"/>
            <w:r w:rsidRPr="00DF2B07">
              <w:instrText xml:space="preserve"> FORMCHECKBOX </w:instrText>
            </w:r>
            <w:r w:rsidR="003B399E">
              <w:fldChar w:fldCharType="separate"/>
            </w:r>
            <w:r w:rsidRPr="00DF2B07">
              <w:fldChar w:fldCharType="end"/>
            </w:r>
            <w:bookmarkEnd w:id="1"/>
          </w:p>
        </w:tc>
        <w:tc>
          <w:tcPr>
            <w:tcW w:w="3879"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p>
        </w:tc>
      </w:tr>
      <w:tr w:rsidR="005526D6" w:rsidRPr="00DF2B07" w:rsidTr="00875DB0">
        <w:trPr>
          <w:cantSplit/>
        </w:trPr>
        <w:tc>
          <w:tcPr>
            <w:tcW w:w="3191" w:type="dxa"/>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t>3. Recording of medical information and problems</w:t>
            </w:r>
          </w:p>
        </w:tc>
        <w:tc>
          <w:tcPr>
            <w:tcW w:w="723"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fldChar w:fldCharType="begin">
                <w:ffData>
                  <w:name w:val="Check2"/>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712"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fldChar w:fldCharType="begin">
                <w:ffData>
                  <w:name w:val="Check2"/>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3879"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p>
        </w:tc>
      </w:tr>
      <w:tr w:rsidR="005526D6" w:rsidRPr="00DF2B07" w:rsidTr="00875DB0">
        <w:trPr>
          <w:cantSplit/>
        </w:trPr>
        <w:tc>
          <w:tcPr>
            <w:tcW w:w="3191" w:type="dxa"/>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t xml:space="preserve">4. Documentation of injuries or medical complaints (including mental and psychological complaints) </w:t>
            </w:r>
          </w:p>
        </w:tc>
        <w:tc>
          <w:tcPr>
            <w:tcW w:w="723"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fldChar w:fldCharType="begin">
                <w:ffData>
                  <w:name w:val="Check2"/>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712"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fldChar w:fldCharType="begin">
                <w:ffData>
                  <w:name w:val="Check2"/>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3879"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p>
        </w:tc>
      </w:tr>
      <w:tr w:rsidR="005526D6" w:rsidRPr="00DF2B07" w:rsidTr="00875DB0">
        <w:trPr>
          <w:cantSplit/>
        </w:trPr>
        <w:tc>
          <w:tcPr>
            <w:tcW w:w="3191" w:type="dxa"/>
            <w:shd w:val="clear" w:color="auto" w:fill="auto"/>
            <w:tcMar>
              <w:top w:w="43" w:type="dxa"/>
              <w:left w:w="72" w:type="dxa"/>
              <w:bottom w:w="43" w:type="dxa"/>
              <w:right w:w="43" w:type="dxa"/>
            </w:tcMar>
          </w:tcPr>
          <w:p w:rsidR="005526D6" w:rsidRPr="00DF2B07" w:rsidRDefault="005526D6" w:rsidP="005C4B81">
            <w:pPr>
              <w:suppressAutoHyphens w:val="0"/>
              <w:spacing w:before="40" w:after="120" w:line="220" w:lineRule="exact"/>
              <w:ind w:right="113"/>
            </w:pPr>
            <w:r w:rsidRPr="00DF2B07">
              <w:t>5. Mechanisms for reporting</w:t>
            </w:r>
            <w:r w:rsidR="005C4B81" w:rsidRPr="00DF2B07">
              <w:br/>
            </w:r>
            <w:r w:rsidRPr="00DF2B07">
              <w:t>and documenting torture and</w:t>
            </w:r>
            <w:r w:rsidR="005C4B81" w:rsidRPr="00DF2B07">
              <w:br/>
            </w:r>
            <w:r w:rsidRPr="00DF2B07">
              <w:t>ill-treatment</w:t>
            </w:r>
          </w:p>
        </w:tc>
        <w:tc>
          <w:tcPr>
            <w:tcW w:w="723"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fldChar w:fldCharType="begin">
                <w:ffData>
                  <w:name w:val="Check2"/>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712"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fldChar w:fldCharType="begin">
                <w:ffData>
                  <w:name w:val="Check2"/>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3879"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p>
        </w:tc>
      </w:tr>
      <w:tr w:rsidR="005526D6" w:rsidRPr="00DF2B07" w:rsidTr="00875DB0">
        <w:trPr>
          <w:cantSplit/>
        </w:trPr>
        <w:tc>
          <w:tcPr>
            <w:tcW w:w="3191" w:type="dxa"/>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t>6. Compilation and storage of records</w:t>
            </w:r>
          </w:p>
        </w:tc>
        <w:tc>
          <w:tcPr>
            <w:tcW w:w="723"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fldChar w:fldCharType="begin">
                <w:ffData>
                  <w:name w:val="Check2"/>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712"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fldChar w:fldCharType="begin">
                <w:ffData>
                  <w:name w:val="Check2"/>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3879"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p>
        </w:tc>
      </w:tr>
      <w:tr w:rsidR="005526D6" w:rsidRPr="00DF2B07" w:rsidTr="002B29E3">
        <w:trPr>
          <w:cantSplit/>
        </w:trPr>
        <w:tc>
          <w:tcPr>
            <w:tcW w:w="8505" w:type="dxa"/>
            <w:gridSpan w:val="7"/>
            <w:shd w:val="clear" w:color="auto" w:fill="EEECE1" w:themeFill="background2"/>
            <w:tcMar>
              <w:top w:w="43" w:type="dxa"/>
              <w:left w:w="72" w:type="dxa"/>
              <w:bottom w:w="43" w:type="dxa"/>
              <w:right w:w="43" w:type="dxa"/>
            </w:tcMar>
          </w:tcPr>
          <w:p w:rsidR="005526D6" w:rsidRPr="00DF2B07" w:rsidRDefault="005526D6" w:rsidP="00B05DD7">
            <w:pPr>
              <w:keepNext/>
              <w:suppressAutoHyphens w:val="0"/>
              <w:spacing w:before="40" w:after="120" w:line="220" w:lineRule="exact"/>
              <w:ind w:right="113"/>
            </w:pPr>
            <w:r w:rsidRPr="00DF2B07">
              <w:rPr>
                <w:b/>
              </w:rPr>
              <w:lastRenderedPageBreak/>
              <w:t xml:space="preserve">General health services </w:t>
            </w:r>
          </w:p>
        </w:tc>
      </w:tr>
      <w:tr w:rsidR="005526D6" w:rsidRPr="00DF2B07" w:rsidTr="00875DB0">
        <w:trPr>
          <w:cantSplit/>
        </w:trPr>
        <w:tc>
          <w:tcPr>
            <w:tcW w:w="3191" w:type="dxa"/>
            <w:shd w:val="clear" w:color="auto" w:fill="auto"/>
            <w:tcMar>
              <w:top w:w="43" w:type="dxa"/>
              <w:left w:w="72" w:type="dxa"/>
              <w:bottom w:w="43" w:type="dxa"/>
              <w:right w:w="43" w:type="dxa"/>
            </w:tcMar>
          </w:tcPr>
          <w:p w:rsidR="005526D6" w:rsidRPr="00DF2B07" w:rsidRDefault="005526D6" w:rsidP="00B05DD7">
            <w:pPr>
              <w:keepNext/>
              <w:suppressAutoHyphens w:val="0"/>
              <w:spacing w:before="40" w:after="120" w:line="220" w:lineRule="exact"/>
              <w:ind w:right="113"/>
              <w:rPr>
                <w:b/>
              </w:rPr>
            </w:pPr>
            <w:r w:rsidRPr="00DF2B07">
              <w:t>1. Classification system to specify and protect the needs of specific populations, considering age, culture, gender, religion</w:t>
            </w:r>
          </w:p>
        </w:tc>
        <w:tc>
          <w:tcPr>
            <w:tcW w:w="723" w:type="dxa"/>
            <w:gridSpan w:val="2"/>
            <w:shd w:val="clear" w:color="auto" w:fill="auto"/>
            <w:tcMar>
              <w:top w:w="43" w:type="dxa"/>
              <w:left w:w="72" w:type="dxa"/>
              <w:bottom w:w="43" w:type="dxa"/>
              <w:right w:w="43" w:type="dxa"/>
            </w:tcMar>
          </w:tcPr>
          <w:p w:rsidR="005526D6" w:rsidRPr="00DF2B07" w:rsidRDefault="005526D6" w:rsidP="00B05DD7">
            <w:pPr>
              <w:keepNext/>
              <w:suppressAutoHyphens w:val="0"/>
              <w:spacing w:before="40" w:after="120" w:line="220" w:lineRule="exact"/>
              <w:ind w:right="113"/>
            </w:pPr>
            <w:r w:rsidRPr="00DF2B07">
              <w:fldChar w:fldCharType="begin">
                <w:ffData>
                  <w:name w:val="Check2"/>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712" w:type="dxa"/>
            <w:gridSpan w:val="2"/>
            <w:shd w:val="clear" w:color="auto" w:fill="auto"/>
            <w:tcMar>
              <w:top w:w="43" w:type="dxa"/>
              <w:left w:w="72" w:type="dxa"/>
              <w:bottom w:w="43" w:type="dxa"/>
              <w:right w:w="43" w:type="dxa"/>
            </w:tcMar>
          </w:tcPr>
          <w:p w:rsidR="005526D6" w:rsidRPr="00DF2B07" w:rsidRDefault="005526D6" w:rsidP="00B05DD7">
            <w:pPr>
              <w:keepNext/>
              <w:suppressAutoHyphens w:val="0"/>
              <w:spacing w:before="40" w:after="120" w:line="220" w:lineRule="exact"/>
              <w:ind w:right="113"/>
            </w:pPr>
            <w:r w:rsidRPr="00DF2B07">
              <w:fldChar w:fldCharType="begin">
                <w:ffData>
                  <w:name w:val="Check2"/>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3879" w:type="dxa"/>
            <w:gridSpan w:val="2"/>
            <w:shd w:val="clear" w:color="auto" w:fill="auto"/>
            <w:tcMar>
              <w:top w:w="43" w:type="dxa"/>
              <w:left w:w="72" w:type="dxa"/>
              <w:bottom w:w="43" w:type="dxa"/>
              <w:right w:w="43" w:type="dxa"/>
            </w:tcMar>
          </w:tcPr>
          <w:p w:rsidR="005526D6" w:rsidRPr="00DF2B07" w:rsidRDefault="005526D6" w:rsidP="00B05DD7">
            <w:pPr>
              <w:keepNext/>
              <w:suppressAutoHyphens w:val="0"/>
              <w:spacing w:before="40" w:after="120" w:line="220" w:lineRule="exact"/>
              <w:ind w:right="113"/>
            </w:pPr>
          </w:p>
        </w:tc>
      </w:tr>
      <w:tr w:rsidR="005526D6" w:rsidRPr="00DF2B07" w:rsidTr="00875DB0">
        <w:trPr>
          <w:cantSplit/>
        </w:trPr>
        <w:tc>
          <w:tcPr>
            <w:tcW w:w="3191" w:type="dxa"/>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t>2. Use of risk assessment tools</w:t>
            </w:r>
          </w:p>
        </w:tc>
        <w:tc>
          <w:tcPr>
            <w:tcW w:w="723"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fldChar w:fldCharType="begin">
                <w:ffData>
                  <w:name w:val="Check2"/>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712"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fldChar w:fldCharType="begin">
                <w:ffData>
                  <w:name w:val="Check2"/>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3879"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p>
        </w:tc>
      </w:tr>
      <w:tr w:rsidR="005526D6" w:rsidRPr="00DF2B07" w:rsidTr="00875DB0">
        <w:trPr>
          <w:cantSplit/>
        </w:trPr>
        <w:tc>
          <w:tcPr>
            <w:tcW w:w="3191" w:type="dxa"/>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t>3. Programmes for the special needs of different populations and ensuring equitable access to health care for mental illness, drug addiction and communicable diseases</w:t>
            </w:r>
          </w:p>
        </w:tc>
        <w:tc>
          <w:tcPr>
            <w:tcW w:w="723"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fldChar w:fldCharType="begin">
                <w:ffData>
                  <w:name w:val="Check2"/>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712"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fldChar w:fldCharType="begin">
                <w:ffData>
                  <w:name w:val="Check2"/>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3879"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p>
        </w:tc>
      </w:tr>
      <w:tr w:rsidR="005526D6" w:rsidRPr="00DF2B07" w:rsidTr="00875DB0">
        <w:trPr>
          <w:cantSplit/>
        </w:trPr>
        <w:tc>
          <w:tcPr>
            <w:tcW w:w="3191" w:type="dxa"/>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contextualSpacing/>
              <w:rPr>
                <w:rFonts w:eastAsia="Calibri"/>
              </w:rPr>
            </w:pPr>
            <w:r w:rsidRPr="00DF2B07">
              <w:rPr>
                <w:rFonts w:eastAsia="Calibri"/>
              </w:rPr>
              <w:t>4. Dental and medical supplies (equipment and medication)</w:t>
            </w:r>
          </w:p>
        </w:tc>
        <w:tc>
          <w:tcPr>
            <w:tcW w:w="723"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fldChar w:fldCharType="begin">
                <w:ffData>
                  <w:name w:val="Check2"/>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712"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fldChar w:fldCharType="begin">
                <w:ffData>
                  <w:name w:val="Check2"/>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3879"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p>
        </w:tc>
      </w:tr>
      <w:tr w:rsidR="005526D6" w:rsidRPr="00DF2B07" w:rsidTr="00875DB0">
        <w:trPr>
          <w:cantSplit/>
        </w:trPr>
        <w:tc>
          <w:tcPr>
            <w:tcW w:w="3191" w:type="dxa"/>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contextualSpacing/>
              <w:rPr>
                <w:rFonts w:eastAsia="Calibri"/>
              </w:rPr>
            </w:pPr>
            <w:r w:rsidRPr="00DF2B07">
              <w:rPr>
                <w:rFonts w:eastAsia="Calibri"/>
                <w:lang w:bidi="en-US"/>
              </w:rPr>
              <w:t xml:space="preserve">5. Medical and dental </w:t>
            </w:r>
            <w:r w:rsidRPr="00DF2B07">
              <w:rPr>
                <w:rFonts w:eastAsia="Calibri"/>
              </w:rPr>
              <w:t xml:space="preserve">referral system </w:t>
            </w:r>
          </w:p>
        </w:tc>
        <w:tc>
          <w:tcPr>
            <w:tcW w:w="723"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fldChar w:fldCharType="begin">
                <w:ffData>
                  <w:name w:val="Check2"/>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712"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fldChar w:fldCharType="begin">
                <w:ffData>
                  <w:name w:val="Check2"/>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3879"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p>
        </w:tc>
      </w:tr>
      <w:tr w:rsidR="005526D6" w:rsidRPr="00DF2B07" w:rsidTr="00875DB0">
        <w:trPr>
          <w:cantSplit/>
        </w:trPr>
        <w:tc>
          <w:tcPr>
            <w:tcW w:w="3191" w:type="dxa"/>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contextualSpacing/>
              <w:rPr>
                <w:rFonts w:eastAsia="Calibri"/>
              </w:rPr>
            </w:pPr>
            <w:r w:rsidRPr="00DF2B07">
              <w:rPr>
                <w:rFonts w:eastAsia="Calibri"/>
              </w:rPr>
              <w:t>6. Budget for health services</w:t>
            </w:r>
          </w:p>
        </w:tc>
        <w:tc>
          <w:tcPr>
            <w:tcW w:w="723"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p>
        </w:tc>
        <w:tc>
          <w:tcPr>
            <w:tcW w:w="712"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p>
        </w:tc>
        <w:tc>
          <w:tcPr>
            <w:tcW w:w="3879"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p>
        </w:tc>
      </w:tr>
      <w:tr w:rsidR="005526D6" w:rsidRPr="00DF2B07" w:rsidTr="00875DB0">
        <w:trPr>
          <w:cantSplit/>
        </w:trPr>
        <w:tc>
          <w:tcPr>
            <w:tcW w:w="3191" w:type="dxa"/>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contextualSpacing/>
              <w:rPr>
                <w:rFonts w:eastAsia="Calibri"/>
              </w:rPr>
            </w:pPr>
            <w:r w:rsidRPr="00DF2B07">
              <w:rPr>
                <w:rFonts w:eastAsia="Calibri"/>
              </w:rPr>
              <w:t>7. Interventions for the prevention and/or treatment of sexually transmitted diseases, communicable diseases, suicide, self-harm, substance abuse, etc.</w:t>
            </w:r>
          </w:p>
        </w:tc>
        <w:tc>
          <w:tcPr>
            <w:tcW w:w="723"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fldChar w:fldCharType="begin">
                <w:ffData>
                  <w:name w:val="Check2"/>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712"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fldChar w:fldCharType="begin">
                <w:ffData>
                  <w:name w:val="Check2"/>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3879"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p>
        </w:tc>
      </w:tr>
      <w:tr w:rsidR="005526D6" w:rsidRPr="00DF2B07" w:rsidTr="00875DB0">
        <w:trPr>
          <w:cantSplit/>
        </w:trPr>
        <w:tc>
          <w:tcPr>
            <w:tcW w:w="3191" w:type="dxa"/>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contextualSpacing/>
              <w:rPr>
                <w:rFonts w:eastAsia="Calibri"/>
              </w:rPr>
            </w:pPr>
            <w:r w:rsidRPr="00DF2B07">
              <w:rPr>
                <w:rFonts w:eastAsia="Calibri"/>
              </w:rPr>
              <w:t>8. Rehabilitation/reintegration/ resocialization programmes</w:t>
            </w:r>
          </w:p>
        </w:tc>
        <w:tc>
          <w:tcPr>
            <w:tcW w:w="723"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fldChar w:fldCharType="begin">
                <w:ffData>
                  <w:name w:val=""/>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712"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fldChar w:fldCharType="begin">
                <w:ffData>
                  <w:name w:val="Check2"/>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3879"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p>
        </w:tc>
      </w:tr>
      <w:tr w:rsidR="005526D6" w:rsidRPr="00DF2B07" w:rsidTr="002B29E3">
        <w:trPr>
          <w:cantSplit/>
        </w:trPr>
        <w:tc>
          <w:tcPr>
            <w:tcW w:w="8505" w:type="dxa"/>
            <w:gridSpan w:val="7"/>
            <w:shd w:val="clear" w:color="auto" w:fill="EEECE1" w:themeFill="background2"/>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rPr>
                <w:b/>
              </w:rPr>
              <w:t xml:space="preserve">Mental health services </w:t>
            </w:r>
          </w:p>
        </w:tc>
      </w:tr>
      <w:tr w:rsidR="005526D6" w:rsidRPr="00DF2B07" w:rsidTr="00875DB0">
        <w:trPr>
          <w:cantSplit/>
        </w:trPr>
        <w:tc>
          <w:tcPr>
            <w:tcW w:w="3191" w:type="dxa"/>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rPr>
                <w:b/>
              </w:rPr>
            </w:pPr>
            <w:r w:rsidRPr="00DF2B07">
              <w:t>1. Availability of mental health professionals</w:t>
            </w:r>
          </w:p>
        </w:tc>
        <w:tc>
          <w:tcPr>
            <w:tcW w:w="723"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fldChar w:fldCharType="begin">
                <w:ffData>
                  <w:name w:val="Check2"/>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712"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fldChar w:fldCharType="begin">
                <w:ffData>
                  <w:name w:val="Check2"/>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3879"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p>
        </w:tc>
      </w:tr>
      <w:tr w:rsidR="005526D6" w:rsidRPr="00DF2B07" w:rsidTr="00875DB0">
        <w:trPr>
          <w:cantSplit/>
        </w:trPr>
        <w:tc>
          <w:tcPr>
            <w:tcW w:w="3191" w:type="dxa"/>
            <w:shd w:val="clear" w:color="auto" w:fill="auto"/>
            <w:tcMar>
              <w:top w:w="43" w:type="dxa"/>
              <w:left w:w="72" w:type="dxa"/>
              <w:bottom w:w="43" w:type="dxa"/>
              <w:right w:w="43" w:type="dxa"/>
            </w:tcMar>
          </w:tcPr>
          <w:p w:rsidR="005526D6" w:rsidRPr="00DF2B07" w:rsidRDefault="005526D6" w:rsidP="005C4B81">
            <w:pPr>
              <w:suppressAutoHyphens w:val="0"/>
              <w:spacing w:before="40" w:after="120" w:line="220" w:lineRule="exact"/>
              <w:ind w:right="113"/>
              <w:contextualSpacing/>
              <w:rPr>
                <w:rFonts w:eastAsia="Calibri"/>
              </w:rPr>
            </w:pPr>
            <w:r w:rsidRPr="00DF2B07">
              <w:rPr>
                <w:rFonts w:eastAsia="Calibri"/>
              </w:rPr>
              <w:t>2. Recording of mental and</w:t>
            </w:r>
            <w:r w:rsidR="005C4B81" w:rsidRPr="00DF2B07">
              <w:rPr>
                <w:rFonts w:eastAsia="Calibri"/>
              </w:rPr>
              <w:br/>
            </w:r>
            <w:r w:rsidRPr="00DF2B07">
              <w:rPr>
                <w:rFonts w:eastAsia="Calibri"/>
              </w:rPr>
              <w:t>stress-related complaints, signs</w:t>
            </w:r>
            <w:r w:rsidR="005C4B81" w:rsidRPr="00DF2B07">
              <w:rPr>
                <w:rFonts w:eastAsia="Calibri"/>
              </w:rPr>
              <w:br/>
            </w:r>
            <w:r w:rsidRPr="00DF2B07">
              <w:rPr>
                <w:rFonts w:eastAsia="Calibri"/>
              </w:rPr>
              <w:t>and symptoms</w:t>
            </w:r>
          </w:p>
        </w:tc>
        <w:tc>
          <w:tcPr>
            <w:tcW w:w="723"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fldChar w:fldCharType="begin">
                <w:ffData>
                  <w:name w:val="Check2"/>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712"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fldChar w:fldCharType="begin">
                <w:ffData>
                  <w:name w:val="Check2"/>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3879"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p>
        </w:tc>
      </w:tr>
      <w:tr w:rsidR="005526D6" w:rsidRPr="00DF2B07" w:rsidTr="00875DB0">
        <w:trPr>
          <w:cantSplit/>
        </w:trPr>
        <w:tc>
          <w:tcPr>
            <w:tcW w:w="3191" w:type="dxa"/>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contextualSpacing/>
              <w:rPr>
                <w:rFonts w:eastAsia="Calibri"/>
              </w:rPr>
            </w:pPr>
            <w:r w:rsidRPr="00DF2B07">
              <w:rPr>
                <w:rFonts w:eastAsia="Calibri"/>
              </w:rPr>
              <w:t>3. Preventive mental health-care programmes</w:t>
            </w:r>
          </w:p>
        </w:tc>
        <w:tc>
          <w:tcPr>
            <w:tcW w:w="723"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fldChar w:fldCharType="begin">
                <w:ffData>
                  <w:name w:val="Check3"/>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712"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fldChar w:fldCharType="begin">
                <w:ffData>
                  <w:name w:val="Check2"/>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3879"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p>
        </w:tc>
      </w:tr>
      <w:tr w:rsidR="005526D6" w:rsidRPr="00DF2B07" w:rsidTr="00875DB0">
        <w:trPr>
          <w:cantSplit/>
        </w:trPr>
        <w:tc>
          <w:tcPr>
            <w:tcW w:w="3191" w:type="dxa"/>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contextualSpacing/>
              <w:rPr>
                <w:rFonts w:eastAsia="Calibri"/>
              </w:rPr>
            </w:pPr>
            <w:r w:rsidRPr="00DF2B07">
              <w:rPr>
                <w:rFonts w:eastAsia="Calibri"/>
              </w:rPr>
              <w:t>4. Quality of mental health services</w:t>
            </w:r>
          </w:p>
        </w:tc>
        <w:tc>
          <w:tcPr>
            <w:tcW w:w="723"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fldChar w:fldCharType="begin">
                <w:ffData>
                  <w:name w:val=""/>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712"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fldChar w:fldCharType="begin">
                <w:ffData>
                  <w:name w:val="Check2"/>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3879"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p>
        </w:tc>
      </w:tr>
      <w:tr w:rsidR="005526D6" w:rsidRPr="00DF2B07" w:rsidTr="002B29E3">
        <w:trPr>
          <w:cantSplit/>
        </w:trPr>
        <w:tc>
          <w:tcPr>
            <w:tcW w:w="8505" w:type="dxa"/>
            <w:gridSpan w:val="7"/>
            <w:shd w:val="clear" w:color="auto" w:fill="EEECE1" w:themeFill="background2"/>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rPr>
                <w:rFonts w:eastAsia="Calibri"/>
                <w:b/>
              </w:rPr>
              <w:t>Health staff</w:t>
            </w:r>
          </w:p>
        </w:tc>
      </w:tr>
      <w:tr w:rsidR="005526D6" w:rsidRPr="00DF2B07" w:rsidTr="00875DB0">
        <w:trPr>
          <w:cantSplit/>
        </w:trPr>
        <w:tc>
          <w:tcPr>
            <w:tcW w:w="3191" w:type="dxa"/>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contextualSpacing/>
              <w:rPr>
                <w:rFonts w:eastAsia="Calibri"/>
                <w:b/>
              </w:rPr>
            </w:pPr>
            <w:r w:rsidRPr="00DF2B07">
              <w:rPr>
                <w:rFonts w:eastAsia="Calibri"/>
                <w:b/>
              </w:rPr>
              <w:t xml:space="preserve">Training </w:t>
            </w:r>
          </w:p>
        </w:tc>
        <w:tc>
          <w:tcPr>
            <w:tcW w:w="5314" w:type="dxa"/>
            <w:gridSpan w:val="6"/>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p>
        </w:tc>
      </w:tr>
      <w:tr w:rsidR="005526D6" w:rsidRPr="00DF2B07" w:rsidTr="00875DB0">
        <w:trPr>
          <w:cantSplit/>
        </w:trPr>
        <w:tc>
          <w:tcPr>
            <w:tcW w:w="3191" w:type="dxa"/>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contextualSpacing/>
              <w:rPr>
                <w:rFonts w:eastAsia="Calibri"/>
              </w:rPr>
            </w:pPr>
            <w:r w:rsidRPr="00DF2B07">
              <w:rPr>
                <w:rFonts w:eastAsia="Calibri"/>
              </w:rPr>
              <w:t>1. Documenting torture</w:t>
            </w:r>
          </w:p>
        </w:tc>
        <w:tc>
          <w:tcPr>
            <w:tcW w:w="723"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fldChar w:fldCharType="begin">
                <w:ffData>
                  <w:name w:val="Check2"/>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712"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fldChar w:fldCharType="begin">
                <w:ffData>
                  <w:name w:val="Check2"/>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3879"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p>
        </w:tc>
      </w:tr>
      <w:tr w:rsidR="005526D6" w:rsidRPr="00DF2B07" w:rsidTr="00875DB0">
        <w:trPr>
          <w:cantSplit/>
        </w:trPr>
        <w:tc>
          <w:tcPr>
            <w:tcW w:w="3191" w:type="dxa"/>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contextualSpacing/>
              <w:rPr>
                <w:rFonts w:eastAsia="Calibri"/>
              </w:rPr>
            </w:pPr>
            <w:r w:rsidRPr="00DF2B07">
              <w:rPr>
                <w:rFonts w:eastAsia="Calibri"/>
              </w:rPr>
              <w:t>2. Istanbul Protocol</w:t>
            </w:r>
          </w:p>
        </w:tc>
        <w:tc>
          <w:tcPr>
            <w:tcW w:w="723"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fldChar w:fldCharType="begin">
                <w:ffData>
                  <w:name w:val="Check2"/>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712"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fldChar w:fldCharType="begin">
                <w:ffData>
                  <w:name w:val="Check2"/>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3879"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p>
        </w:tc>
      </w:tr>
      <w:tr w:rsidR="005526D6" w:rsidRPr="00DF2B07" w:rsidTr="00875DB0">
        <w:trPr>
          <w:cantSplit/>
        </w:trPr>
        <w:tc>
          <w:tcPr>
            <w:tcW w:w="3191" w:type="dxa"/>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contextualSpacing/>
              <w:rPr>
                <w:rFonts w:eastAsia="Calibri"/>
              </w:rPr>
            </w:pPr>
            <w:r w:rsidRPr="00DF2B07">
              <w:rPr>
                <w:rFonts w:eastAsia="Calibri"/>
              </w:rPr>
              <w:lastRenderedPageBreak/>
              <w:t>3. Convention against Torture and Other Cruel, Inhuman or Degrading Treatment or Punishment and its Optional Protocol</w:t>
            </w:r>
            <w:r w:rsidRPr="00DF2B07">
              <w:rPr>
                <w:rFonts w:eastAsia="Arial Unicode MS"/>
              </w:rPr>
              <w:t xml:space="preserve"> </w:t>
            </w:r>
          </w:p>
        </w:tc>
        <w:tc>
          <w:tcPr>
            <w:tcW w:w="723"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fldChar w:fldCharType="begin">
                <w:ffData>
                  <w:name w:val="Check2"/>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712"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fldChar w:fldCharType="begin">
                <w:ffData>
                  <w:name w:val="Check2"/>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3879"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p>
        </w:tc>
      </w:tr>
      <w:tr w:rsidR="005526D6" w:rsidRPr="00DF2B07" w:rsidTr="00875DB0">
        <w:trPr>
          <w:cantSplit/>
        </w:trPr>
        <w:tc>
          <w:tcPr>
            <w:tcW w:w="3191" w:type="dxa"/>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contextualSpacing/>
              <w:rPr>
                <w:rFonts w:eastAsia="Calibri"/>
              </w:rPr>
            </w:pPr>
            <w:r w:rsidRPr="00DF2B07">
              <w:rPr>
                <w:rFonts w:eastAsia="Calibri"/>
              </w:rPr>
              <w:t>4. Guidelines against Intimidation or Reprisals (</w:t>
            </w:r>
            <w:r w:rsidR="00DF2B07">
              <w:rPr>
                <w:rFonts w:eastAsia="Calibri"/>
              </w:rPr>
              <w:t>“</w:t>
            </w:r>
            <w:r w:rsidRPr="00DF2B07">
              <w:rPr>
                <w:rFonts w:eastAsia="Calibri"/>
              </w:rPr>
              <w:t>San Jose Guidelines</w:t>
            </w:r>
            <w:r w:rsidR="00DF2B07">
              <w:rPr>
                <w:rFonts w:eastAsia="Calibri"/>
              </w:rPr>
              <w:t>”</w:t>
            </w:r>
            <w:r w:rsidRPr="00DF2B07">
              <w:rPr>
                <w:rFonts w:eastAsia="Calibri"/>
              </w:rPr>
              <w:t>)</w:t>
            </w:r>
          </w:p>
        </w:tc>
        <w:tc>
          <w:tcPr>
            <w:tcW w:w="723"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fldChar w:fldCharType="begin">
                <w:ffData>
                  <w:name w:val="Check2"/>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712"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fldChar w:fldCharType="begin">
                <w:ffData>
                  <w:name w:val="Check2"/>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3879"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p>
        </w:tc>
      </w:tr>
      <w:tr w:rsidR="005526D6" w:rsidRPr="00DF2B07" w:rsidTr="00875DB0">
        <w:trPr>
          <w:cantSplit/>
        </w:trPr>
        <w:tc>
          <w:tcPr>
            <w:tcW w:w="3191" w:type="dxa"/>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contextualSpacing/>
              <w:rPr>
                <w:rFonts w:eastAsia="Calibri"/>
              </w:rPr>
            </w:pPr>
            <w:r w:rsidRPr="00DF2B07">
              <w:rPr>
                <w:rFonts w:eastAsia="Calibri"/>
              </w:rPr>
              <w:t>5. United Nations Standard Minimum Rules for the Treatment of Prisoners (the Nelson Mandela Rules)</w:t>
            </w:r>
          </w:p>
        </w:tc>
        <w:tc>
          <w:tcPr>
            <w:tcW w:w="723"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fldChar w:fldCharType="begin">
                <w:ffData>
                  <w:name w:val="Check2"/>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712"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fldChar w:fldCharType="begin">
                <w:ffData>
                  <w:name w:val="Check2"/>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3879"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p>
        </w:tc>
      </w:tr>
      <w:tr w:rsidR="005526D6" w:rsidRPr="00DF2B07" w:rsidTr="00875DB0">
        <w:trPr>
          <w:cantSplit/>
        </w:trPr>
        <w:tc>
          <w:tcPr>
            <w:tcW w:w="3191" w:type="dxa"/>
            <w:shd w:val="clear" w:color="auto" w:fill="EEECE1" w:themeFill="background2"/>
            <w:tcMar>
              <w:top w:w="43" w:type="dxa"/>
              <w:left w:w="72" w:type="dxa"/>
              <w:bottom w:w="43" w:type="dxa"/>
              <w:right w:w="43" w:type="dxa"/>
            </w:tcMar>
          </w:tcPr>
          <w:p w:rsidR="005526D6" w:rsidRPr="00DF2B07" w:rsidRDefault="005526D6" w:rsidP="00B05DD7">
            <w:pPr>
              <w:suppressAutoHyphens w:val="0"/>
              <w:spacing w:before="40" w:after="120" w:line="220" w:lineRule="exact"/>
              <w:ind w:right="113"/>
              <w:contextualSpacing/>
              <w:rPr>
                <w:rFonts w:eastAsia="Calibri"/>
              </w:rPr>
            </w:pPr>
            <w:r w:rsidRPr="00DF2B07">
              <w:rPr>
                <w:rFonts w:eastAsia="Calibri"/>
                <w:b/>
              </w:rPr>
              <w:t>Sensitivity and professional ethics</w:t>
            </w:r>
          </w:p>
        </w:tc>
        <w:tc>
          <w:tcPr>
            <w:tcW w:w="5314" w:type="dxa"/>
            <w:gridSpan w:val="6"/>
            <w:shd w:val="clear" w:color="auto" w:fill="EEECE1" w:themeFill="background2"/>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p>
        </w:tc>
      </w:tr>
      <w:tr w:rsidR="005526D6" w:rsidRPr="00DF2B07" w:rsidTr="00875DB0">
        <w:trPr>
          <w:cantSplit/>
        </w:trPr>
        <w:tc>
          <w:tcPr>
            <w:tcW w:w="3191" w:type="dxa"/>
            <w:shd w:val="clear" w:color="auto" w:fill="auto"/>
            <w:tcMar>
              <w:top w:w="43" w:type="dxa"/>
              <w:left w:w="72" w:type="dxa"/>
              <w:bottom w:w="43" w:type="dxa"/>
              <w:right w:w="43" w:type="dxa"/>
            </w:tcMar>
          </w:tcPr>
          <w:p w:rsidR="005526D6" w:rsidRPr="00DF2B07" w:rsidRDefault="005526D6" w:rsidP="00DF2B07">
            <w:pPr>
              <w:suppressAutoHyphens w:val="0"/>
              <w:spacing w:before="40" w:after="120" w:line="220" w:lineRule="exact"/>
              <w:ind w:right="113"/>
              <w:contextualSpacing/>
              <w:rPr>
                <w:rFonts w:eastAsia="Calibri"/>
                <w:b/>
              </w:rPr>
            </w:pPr>
            <w:r w:rsidRPr="00DF2B07">
              <w:rPr>
                <w:rFonts w:eastAsia="Calibri"/>
              </w:rPr>
              <w:t>1. Sensitivity to different</w:t>
            </w:r>
            <w:r w:rsidR="00DF2B07" w:rsidRPr="00DF2B07">
              <w:rPr>
                <w:rFonts w:eastAsia="Calibri"/>
              </w:rPr>
              <w:br/>
            </w:r>
            <w:r w:rsidRPr="00DF2B07">
              <w:rPr>
                <w:rFonts w:eastAsia="Calibri"/>
              </w:rPr>
              <w:t>age-related, cultural, religious</w:t>
            </w:r>
            <w:r w:rsidR="00DF2B07" w:rsidRPr="00DF2B07">
              <w:rPr>
                <w:rFonts w:eastAsia="Calibri"/>
              </w:rPr>
              <w:br/>
            </w:r>
            <w:r w:rsidRPr="00DF2B07">
              <w:rPr>
                <w:rFonts w:eastAsia="Calibri"/>
              </w:rPr>
              <w:t>and gender aspects when rendering health services</w:t>
            </w:r>
          </w:p>
        </w:tc>
        <w:tc>
          <w:tcPr>
            <w:tcW w:w="723"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fldChar w:fldCharType="begin">
                <w:ffData>
                  <w:name w:val="Check2"/>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712"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fldChar w:fldCharType="begin">
                <w:ffData>
                  <w:name w:val="Check2"/>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3879"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p>
        </w:tc>
      </w:tr>
      <w:tr w:rsidR="005526D6" w:rsidRPr="00DF2B07" w:rsidTr="00875DB0">
        <w:trPr>
          <w:cantSplit/>
        </w:trPr>
        <w:tc>
          <w:tcPr>
            <w:tcW w:w="3191" w:type="dxa"/>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contextualSpacing/>
              <w:rPr>
                <w:rFonts w:eastAsia="Calibri"/>
                <w:lang w:bidi="en-US"/>
              </w:rPr>
            </w:pPr>
            <w:r w:rsidRPr="00DF2B07">
              <w:rPr>
                <w:rFonts w:eastAsia="Calibri"/>
              </w:rPr>
              <w:t>2. Availability of institutional support, training and protection</w:t>
            </w:r>
          </w:p>
        </w:tc>
        <w:tc>
          <w:tcPr>
            <w:tcW w:w="723"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fldChar w:fldCharType="begin">
                <w:ffData>
                  <w:name w:val="Check2"/>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712"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fldChar w:fldCharType="begin">
                <w:ffData>
                  <w:name w:val="Check2"/>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3879"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p>
        </w:tc>
      </w:tr>
      <w:tr w:rsidR="005526D6" w:rsidRPr="00DF2B07" w:rsidTr="00875DB0">
        <w:trPr>
          <w:cantSplit/>
        </w:trPr>
        <w:tc>
          <w:tcPr>
            <w:tcW w:w="3191" w:type="dxa"/>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contextualSpacing/>
              <w:rPr>
                <w:rFonts w:eastAsia="Calibri"/>
              </w:rPr>
            </w:pPr>
            <w:r w:rsidRPr="00DF2B07">
              <w:rPr>
                <w:rFonts w:eastAsia="Calibri"/>
                <w:lang w:bidi="en-US"/>
              </w:rPr>
              <w:t>3. Confidence in system for reporting torture/ill-treatment to the authorities</w:t>
            </w:r>
          </w:p>
        </w:tc>
        <w:tc>
          <w:tcPr>
            <w:tcW w:w="723"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fldChar w:fldCharType="begin">
                <w:ffData>
                  <w:name w:val="Check2"/>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712"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fldChar w:fldCharType="begin">
                <w:ffData>
                  <w:name w:val="Check2"/>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3879"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p>
        </w:tc>
      </w:tr>
      <w:tr w:rsidR="005526D6" w:rsidRPr="00DF2B07" w:rsidTr="00875DB0">
        <w:trPr>
          <w:cantSplit/>
        </w:trPr>
        <w:tc>
          <w:tcPr>
            <w:tcW w:w="3191" w:type="dxa"/>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contextualSpacing/>
              <w:rPr>
                <w:rFonts w:eastAsia="Calibri"/>
                <w:lang w:bidi="en-US"/>
              </w:rPr>
            </w:pPr>
            <w:r w:rsidRPr="00DF2B07">
              <w:rPr>
                <w:rFonts w:eastAsia="Calibri"/>
              </w:rPr>
              <w:t xml:space="preserve">4. Recognition of barriers to documenting and reporting cases of torture </w:t>
            </w:r>
          </w:p>
        </w:tc>
        <w:tc>
          <w:tcPr>
            <w:tcW w:w="723"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fldChar w:fldCharType="begin">
                <w:ffData>
                  <w:name w:val="Check2"/>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712"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fldChar w:fldCharType="begin">
                <w:ffData>
                  <w:name w:val="Check2"/>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3879"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p>
        </w:tc>
      </w:tr>
      <w:tr w:rsidR="005526D6" w:rsidRPr="00DF2B07" w:rsidTr="00875DB0">
        <w:trPr>
          <w:cantSplit/>
        </w:trPr>
        <w:tc>
          <w:tcPr>
            <w:tcW w:w="3191" w:type="dxa"/>
            <w:shd w:val="clear" w:color="auto" w:fill="EEECE1" w:themeFill="background2"/>
            <w:tcMar>
              <w:top w:w="43" w:type="dxa"/>
              <w:left w:w="72" w:type="dxa"/>
              <w:bottom w:w="43" w:type="dxa"/>
              <w:right w:w="43" w:type="dxa"/>
            </w:tcMar>
          </w:tcPr>
          <w:p w:rsidR="005526D6" w:rsidRPr="00DF2B07" w:rsidRDefault="005526D6" w:rsidP="00B05DD7">
            <w:pPr>
              <w:suppressAutoHyphens w:val="0"/>
              <w:spacing w:before="40" w:after="120" w:line="220" w:lineRule="exact"/>
              <w:ind w:right="113"/>
              <w:contextualSpacing/>
              <w:rPr>
                <w:rFonts w:eastAsia="Calibri"/>
                <w:b/>
              </w:rPr>
            </w:pPr>
            <w:r w:rsidRPr="00DF2B07">
              <w:rPr>
                <w:rFonts w:eastAsia="Calibri"/>
                <w:b/>
              </w:rPr>
              <w:t>Practice</w:t>
            </w:r>
          </w:p>
        </w:tc>
        <w:tc>
          <w:tcPr>
            <w:tcW w:w="5314" w:type="dxa"/>
            <w:gridSpan w:val="6"/>
            <w:shd w:val="clear" w:color="auto" w:fill="EEECE1" w:themeFill="background2"/>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p>
        </w:tc>
      </w:tr>
      <w:tr w:rsidR="005526D6" w:rsidRPr="00DF2B07" w:rsidTr="00875DB0">
        <w:trPr>
          <w:cantSplit/>
        </w:trPr>
        <w:tc>
          <w:tcPr>
            <w:tcW w:w="3191" w:type="dxa"/>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contextualSpacing/>
              <w:rPr>
                <w:rFonts w:eastAsia="Calibri"/>
                <w:lang w:bidi="en-US"/>
              </w:rPr>
            </w:pPr>
            <w:r w:rsidRPr="00DF2B07">
              <w:rPr>
                <w:rFonts w:eastAsia="Calibri"/>
              </w:rPr>
              <w:t>1. Autonomy and independence</w:t>
            </w:r>
          </w:p>
        </w:tc>
        <w:tc>
          <w:tcPr>
            <w:tcW w:w="723"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fldChar w:fldCharType="begin">
                <w:ffData>
                  <w:name w:val="Check2"/>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712"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fldChar w:fldCharType="begin">
                <w:ffData>
                  <w:name w:val="Check2"/>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3879"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p>
        </w:tc>
      </w:tr>
      <w:tr w:rsidR="005526D6" w:rsidRPr="00DF2B07" w:rsidTr="00875DB0">
        <w:trPr>
          <w:gridAfter w:val="1"/>
          <w:wAfter w:w="9" w:type="dxa"/>
          <w:cantSplit/>
        </w:trPr>
        <w:tc>
          <w:tcPr>
            <w:tcW w:w="3191" w:type="dxa"/>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t>2. Use of protocols and procedures in cases of incarceration, isolation and other disciplinary measures</w:t>
            </w:r>
          </w:p>
        </w:tc>
        <w:tc>
          <w:tcPr>
            <w:tcW w:w="714" w:type="dxa"/>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rPr>
                <w:b/>
              </w:rPr>
            </w:pPr>
            <w:r w:rsidRPr="00DF2B07">
              <w:fldChar w:fldCharType="begin">
                <w:ffData>
                  <w:name w:val="Check3"/>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712"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rPr>
                <w:b/>
              </w:rPr>
            </w:pPr>
            <w:r w:rsidRPr="00DF2B07">
              <w:fldChar w:fldCharType="begin">
                <w:ffData>
                  <w:name w:val="Check2"/>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3879"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rPr>
                <w:b/>
              </w:rPr>
            </w:pPr>
          </w:p>
        </w:tc>
      </w:tr>
      <w:tr w:rsidR="005526D6" w:rsidRPr="00DF2B07" w:rsidTr="00875DB0">
        <w:trPr>
          <w:gridAfter w:val="1"/>
          <w:wAfter w:w="9" w:type="dxa"/>
          <w:cantSplit/>
        </w:trPr>
        <w:tc>
          <w:tcPr>
            <w:tcW w:w="3191" w:type="dxa"/>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t>3. Use of protocols for referral and transport to external medical facilities</w:t>
            </w:r>
          </w:p>
        </w:tc>
        <w:tc>
          <w:tcPr>
            <w:tcW w:w="714" w:type="dxa"/>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fldChar w:fldCharType="begin">
                <w:ffData>
                  <w:name w:val="Check3"/>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712"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fldChar w:fldCharType="begin">
                <w:ffData>
                  <w:name w:val="Check2"/>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3879"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p>
        </w:tc>
      </w:tr>
      <w:tr w:rsidR="005526D6" w:rsidRPr="00DF2B07" w:rsidTr="00875DB0">
        <w:trPr>
          <w:gridAfter w:val="1"/>
          <w:wAfter w:w="9" w:type="dxa"/>
          <w:cantSplit/>
        </w:trPr>
        <w:tc>
          <w:tcPr>
            <w:tcW w:w="3191" w:type="dxa"/>
            <w:shd w:val="clear" w:color="auto" w:fill="auto"/>
            <w:tcMar>
              <w:top w:w="43" w:type="dxa"/>
              <w:left w:w="72" w:type="dxa"/>
              <w:bottom w:w="43" w:type="dxa"/>
              <w:right w:w="43" w:type="dxa"/>
            </w:tcMar>
          </w:tcPr>
          <w:p w:rsidR="005526D6" w:rsidRPr="00DF2B07" w:rsidRDefault="005526D6" w:rsidP="00DF2B07">
            <w:pPr>
              <w:suppressAutoHyphens w:val="0"/>
              <w:spacing w:before="40" w:after="120" w:line="220" w:lineRule="exact"/>
              <w:ind w:right="113"/>
            </w:pPr>
            <w:r w:rsidRPr="00DF2B07">
              <w:t>4. Reporting of torture and</w:t>
            </w:r>
            <w:r w:rsidR="00DF2B07" w:rsidRPr="00DF2B07">
              <w:br/>
            </w:r>
            <w:r w:rsidRPr="00DF2B07">
              <w:t xml:space="preserve">ill-treatment </w:t>
            </w:r>
          </w:p>
        </w:tc>
        <w:tc>
          <w:tcPr>
            <w:tcW w:w="714" w:type="dxa"/>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fldChar w:fldCharType="begin">
                <w:ffData>
                  <w:name w:val="Check3"/>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712"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fldChar w:fldCharType="begin">
                <w:ffData>
                  <w:name w:val="Check2"/>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3879"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p>
        </w:tc>
      </w:tr>
      <w:tr w:rsidR="005526D6" w:rsidRPr="00DF2B07" w:rsidTr="00875DB0">
        <w:trPr>
          <w:gridAfter w:val="1"/>
          <w:wAfter w:w="9" w:type="dxa"/>
          <w:cantSplit/>
        </w:trPr>
        <w:tc>
          <w:tcPr>
            <w:tcW w:w="3191" w:type="dxa"/>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t>5. Existence of anti-reprisal mechanisms</w:t>
            </w:r>
          </w:p>
        </w:tc>
        <w:tc>
          <w:tcPr>
            <w:tcW w:w="714" w:type="dxa"/>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fldChar w:fldCharType="begin">
                <w:ffData>
                  <w:name w:val="Check3"/>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712"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fldChar w:fldCharType="begin">
                <w:ffData>
                  <w:name w:val="Check3"/>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3879"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p>
        </w:tc>
      </w:tr>
      <w:tr w:rsidR="005526D6" w:rsidRPr="00DF2B07" w:rsidTr="00875DB0">
        <w:trPr>
          <w:gridAfter w:val="1"/>
          <w:wAfter w:w="9" w:type="dxa"/>
          <w:cantSplit/>
        </w:trPr>
        <w:tc>
          <w:tcPr>
            <w:tcW w:w="3191" w:type="dxa"/>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rPr>
                <w:lang w:bidi="en-US"/>
              </w:rPr>
              <w:t xml:space="preserve">6. </w:t>
            </w:r>
            <w:r w:rsidRPr="00DF2B07">
              <w:t>Involvement of medical personnel in the application and/or monitoring of isolation, restraints and other disciplinary measures</w:t>
            </w:r>
          </w:p>
        </w:tc>
        <w:tc>
          <w:tcPr>
            <w:tcW w:w="714" w:type="dxa"/>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fldChar w:fldCharType="begin">
                <w:ffData>
                  <w:name w:val="Check1"/>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712"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fldChar w:fldCharType="begin">
                <w:ffData>
                  <w:name w:val="Check3"/>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3879"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p>
        </w:tc>
      </w:tr>
      <w:tr w:rsidR="005526D6" w:rsidRPr="00DF2B07" w:rsidTr="00875DB0">
        <w:trPr>
          <w:gridAfter w:val="1"/>
          <w:wAfter w:w="9" w:type="dxa"/>
          <w:cantSplit/>
        </w:trPr>
        <w:tc>
          <w:tcPr>
            <w:tcW w:w="3191" w:type="dxa"/>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t>7. Adherence to the Nelson Mandela Rules</w:t>
            </w:r>
          </w:p>
        </w:tc>
        <w:tc>
          <w:tcPr>
            <w:tcW w:w="714" w:type="dxa"/>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fldChar w:fldCharType="begin">
                <w:ffData>
                  <w:name w:val="Check1"/>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712"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fldChar w:fldCharType="begin">
                <w:ffData>
                  <w:name w:val="Check1"/>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3879"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p>
        </w:tc>
      </w:tr>
      <w:tr w:rsidR="005526D6" w:rsidRPr="00DF2B07" w:rsidTr="00875DB0">
        <w:trPr>
          <w:gridAfter w:val="1"/>
          <w:wAfter w:w="9" w:type="dxa"/>
          <w:cantSplit/>
        </w:trPr>
        <w:tc>
          <w:tcPr>
            <w:tcW w:w="3191" w:type="dxa"/>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rPr>
                <w:lang w:bidi="en-US"/>
              </w:rPr>
            </w:pPr>
            <w:r w:rsidRPr="00DF2B07">
              <w:lastRenderedPageBreak/>
              <w:t>8. Use of the Istanbul Protocol to document torture</w:t>
            </w:r>
          </w:p>
        </w:tc>
        <w:tc>
          <w:tcPr>
            <w:tcW w:w="714" w:type="dxa"/>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fldChar w:fldCharType="begin">
                <w:ffData>
                  <w:name w:val="Check1"/>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712"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fldChar w:fldCharType="begin">
                <w:ffData>
                  <w:name w:val="Check1"/>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3879"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p>
        </w:tc>
      </w:tr>
      <w:tr w:rsidR="005526D6" w:rsidRPr="00DF2B07" w:rsidTr="00875DB0">
        <w:trPr>
          <w:gridAfter w:val="1"/>
          <w:wAfter w:w="9" w:type="dxa"/>
          <w:cantSplit/>
        </w:trPr>
        <w:tc>
          <w:tcPr>
            <w:tcW w:w="3191" w:type="dxa"/>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t>9. Attendance of training for documentation and reporting on torture</w:t>
            </w:r>
          </w:p>
        </w:tc>
        <w:tc>
          <w:tcPr>
            <w:tcW w:w="714" w:type="dxa"/>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fldChar w:fldCharType="begin">
                <w:ffData>
                  <w:name w:val="Check1"/>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712"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fldChar w:fldCharType="begin">
                <w:ffData>
                  <w:name w:val="Check1"/>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3879"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p>
        </w:tc>
      </w:tr>
      <w:tr w:rsidR="005526D6" w:rsidRPr="00DF2B07" w:rsidTr="002B29E3">
        <w:trPr>
          <w:gridAfter w:val="1"/>
          <w:wAfter w:w="9" w:type="dxa"/>
          <w:cantSplit/>
        </w:trPr>
        <w:tc>
          <w:tcPr>
            <w:tcW w:w="8496" w:type="dxa"/>
            <w:gridSpan w:val="6"/>
            <w:shd w:val="clear" w:color="auto" w:fill="EEECE1" w:themeFill="background2"/>
            <w:tcMar>
              <w:top w:w="43" w:type="dxa"/>
              <w:left w:w="72" w:type="dxa"/>
              <w:bottom w:w="43" w:type="dxa"/>
              <w:right w:w="43" w:type="dxa"/>
            </w:tcMar>
          </w:tcPr>
          <w:p w:rsidR="005526D6" w:rsidRPr="00DF2B07" w:rsidRDefault="005526D6" w:rsidP="00B05DD7">
            <w:pPr>
              <w:keepNext/>
              <w:suppressAutoHyphens w:val="0"/>
              <w:spacing w:before="40" w:after="120" w:line="220" w:lineRule="exact"/>
              <w:ind w:right="113"/>
            </w:pPr>
            <w:r w:rsidRPr="00DF2B07">
              <w:rPr>
                <w:b/>
                <w:lang w:bidi="en-US"/>
              </w:rPr>
              <w:t>Prison health environment</w:t>
            </w:r>
          </w:p>
        </w:tc>
      </w:tr>
      <w:tr w:rsidR="005526D6" w:rsidRPr="00DF2B07" w:rsidTr="00875DB0">
        <w:trPr>
          <w:gridAfter w:val="1"/>
          <w:wAfter w:w="9" w:type="dxa"/>
          <w:cantSplit/>
        </w:trPr>
        <w:tc>
          <w:tcPr>
            <w:tcW w:w="3191" w:type="dxa"/>
            <w:shd w:val="clear" w:color="auto" w:fill="auto"/>
            <w:tcMar>
              <w:top w:w="43" w:type="dxa"/>
              <w:left w:w="72" w:type="dxa"/>
              <w:bottom w:w="43" w:type="dxa"/>
              <w:right w:w="43" w:type="dxa"/>
            </w:tcMar>
          </w:tcPr>
          <w:p w:rsidR="005526D6" w:rsidRPr="00DF2B07" w:rsidRDefault="005526D6" w:rsidP="00B05DD7">
            <w:pPr>
              <w:keepNext/>
              <w:suppressAutoHyphens w:val="0"/>
              <w:spacing w:before="40" w:after="120" w:line="220" w:lineRule="exact"/>
              <w:ind w:right="113"/>
              <w:rPr>
                <w:lang w:bidi="en-US"/>
              </w:rPr>
            </w:pPr>
            <w:r w:rsidRPr="00DF2B07">
              <w:rPr>
                <w:lang w:bidi="en-US"/>
              </w:rPr>
              <w:t>1. Food quality and quantity</w:t>
            </w:r>
          </w:p>
        </w:tc>
        <w:tc>
          <w:tcPr>
            <w:tcW w:w="714" w:type="dxa"/>
            <w:shd w:val="clear" w:color="auto" w:fill="auto"/>
            <w:tcMar>
              <w:top w:w="43" w:type="dxa"/>
              <w:left w:w="72" w:type="dxa"/>
              <w:bottom w:w="43" w:type="dxa"/>
              <w:right w:w="43" w:type="dxa"/>
            </w:tcMar>
          </w:tcPr>
          <w:p w:rsidR="005526D6" w:rsidRPr="00DF2B07" w:rsidRDefault="005526D6" w:rsidP="00B05DD7">
            <w:pPr>
              <w:keepNext/>
              <w:suppressAutoHyphens w:val="0"/>
              <w:spacing w:before="40" w:after="120" w:line="220" w:lineRule="exact"/>
              <w:ind w:right="113"/>
            </w:pPr>
            <w:r w:rsidRPr="00DF2B07">
              <w:fldChar w:fldCharType="begin">
                <w:ffData>
                  <w:name w:val="Check1"/>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712" w:type="dxa"/>
            <w:gridSpan w:val="2"/>
            <w:shd w:val="clear" w:color="auto" w:fill="auto"/>
            <w:tcMar>
              <w:top w:w="43" w:type="dxa"/>
              <w:left w:w="72" w:type="dxa"/>
              <w:bottom w:w="43" w:type="dxa"/>
              <w:right w:w="43" w:type="dxa"/>
            </w:tcMar>
          </w:tcPr>
          <w:p w:rsidR="005526D6" w:rsidRPr="00DF2B07" w:rsidRDefault="005526D6" w:rsidP="00B05DD7">
            <w:pPr>
              <w:keepNext/>
              <w:suppressAutoHyphens w:val="0"/>
              <w:spacing w:before="40" w:after="120" w:line="220" w:lineRule="exact"/>
              <w:ind w:right="113"/>
            </w:pPr>
            <w:r w:rsidRPr="00DF2B07">
              <w:fldChar w:fldCharType="begin">
                <w:ffData>
                  <w:name w:val="Check1"/>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3879" w:type="dxa"/>
            <w:gridSpan w:val="2"/>
            <w:shd w:val="clear" w:color="auto" w:fill="auto"/>
            <w:tcMar>
              <w:top w:w="43" w:type="dxa"/>
              <w:left w:w="72" w:type="dxa"/>
              <w:bottom w:w="43" w:type="dxa"/>
              <w:right w:w="43" w:type="dxa"/>
            </w:tcMar>
          </w:tcPr>
          <w:p w:rsidR="005526D6" w:rsidRPr="00DF2B07" w:rsidRDefault="005526D6" w:rsidP="00B05DD7">
            <w:pPr>
              <w:keepNext/>
              <w:suppressAutoHyphens w:val="0"/>
              <w:spacing w:before="40" w:after="120" w:line="220" w:lineRule="exact"/>
              <w:ind w:right="113"/>
            </w:pPr>
          </w:p>
        </w:tc>
      </w:tr>
      <w:tr w:rsidR="005526D6" w:rsidRPr="00DF2B07" w:rsidTr="00875DB0">
        <w:trPr>
          <w:gridAfter w:val="1"/>
          <w:wAfter w:w="9" w:type="dxa"/>
          <w:cantSplit/>
        </w:trPr>
        <w:tc>
          <w:tcPr>
            <w:tcW w:w="3191" w:type="dxa"/>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rPr>
                <w:lang w:bidi="en-US"/>
              </w:rPr>
            </w:pPr>
            <w:r w:rsidRPr="00DF2B07">
              <w:rPr>
                <w:lang w:bidi="en-US"/>
              </w:rPr>
              <w:t>2. Water safety, general cleanliness, ventilation and sunlight</w:t>
            </w:r>
          </w:p>
        </w:tc>
        <w:tc>
          <w:tcPr>
            <w:tcW w:w="714" w:type="dxa"/>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fldChar w:fldCharType="begin">
                <w:ffData>
                  <w:name w:val="Check1"/>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712"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fldChar w:fldCharType="begin">
                <w:ffData>
                  <w:name w:val="Check1"/>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3879"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p>
        </w:tc>
      </w:tr>
      <w:tr w:rsidR="005526D6" w:rsidRPr="00DF2B07" w:rsidTr="00875DB0">
        <w:trPr>
          <w:gridAfter w:val="1"/>
          <w:wAfter w:w="9" w:type="dxa"/>
          <w:cantSplit/>
        </w:trPr>
        <w:tc>
          <w:tcPr>
            <w:tcW w:w="3191" w:type="dxa"/>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rPr>
                <w:lang w:bidi="en-US"/>
              </w:rPr>
            </w:pPr>
            <w:r w:rsidRPr="00DF2B07">
              <w:rPr>
                <w:lang w:bidi="en-US"/>
              </w:rPr>
              <w:t>3. Recreational and exercise facilities</w:t>
            </w:r>
          </w:p>
        </w:tc>
        <w:tc>
          <w:tcPr>
            <w:tcW w:w="714" w:type="dxa"/>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fldChar w:fldCharType="begin">
                <w:ffData>
                  <w:name w:val="Check1"/>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712"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r w:rsidRPr="00DF2B07">
              <w:fldChar w:fldCharType="begin">
                <w:ffData>
                  <w:name w:val="Check1"/>
                  <w:enabled/>
                  <w:calcOnExit w:val="0"/>
                  <w:checkBox>
                    <w:sizeAuto/>
                    <w:default w:val="0"/>
                  </w:checkBox>
                </w:ffData>
              </w:fldChar>
            </w:r>
            <w:r w:rsidRPr="00DF2B07">
              <w:instrText xml:space="preserve"> FORMCHECKBOX </w:instrText>
            </w:r>
            <w:r w:rsidR="003B399E">
              <w:fldChar w:fldCharType="separate"/>
            </w:r>
            <w:r w:rsidRPr="00DF2B07">
              <w:fldChar w:fldCharType="end"/>
            </w:r>
          </w:p>
        </w:tc>
        <w:tc>
          <w:tcPr>
            <w:tcW w:w="3879" w:type="dxa"/>
            <w:gridSpan w:val="2"/>
            <w:shd w:val="clear" w:color="auto" w:fill="auto"/>
            <w:tcMar>
              <w:top w:w="43" w:type="dxa"/>
              <w:left w:w="72" w:type="dxa"/>
              <w:bottom w:w="43" w:type="dxa"/>
              <w:right w:w="43" w:type="dxa"/>
            </w:tcMar>
          </w:tcPr>
          <w:p w:rsidR="005526D6" w:rsidRPr="00DF2B07" w:rsidRDefault="005526D6" w:rsidP="00B05DD7">
            <w:pPr>
              <w:suppressAutoHyphens w:val="0"/>
              <w:spacing w:before="40" w:after="120" w:line="220" w:lineRule="exact"/>
              <w:ind w:right="113"/>
            </w:pPr>
          </w:p>
        </w:tc>
      </w:tr>
    </w:tbl>
    <w:p w:rsidR="007268F9" w:rsidRPr="00DF2B07" w:rsidRDefault="00916466" w:rsidP="00916466">
      <w:pPr>
        <w:spacing w:before="240"/>
        <w:jc w:val="center"/>
      </w:pPr>
      <w:r w:rsidRPr="00DF2B07">
        <w:rPr>
          <w:u w:val="single"/>
        </w:rPr>
        <w:tab/>
      </w:r>
      <w:r w:rsidRPr="00DF2B07">
        <w:rPr>
          <w:u w:val="single"/>
        </w:rPr>
        <w:tab/>
      </w:r>
      <w:r w:rsidRPr="00DF2B07">
        <w:rPr>
          <w:u w:val="single"/>
        </w:rPr>
        <w:tab/>
      </w:r>
    </w:p>
    <w:sectPr w:rsidR="007268F9" w:rsidRPr="00DF2B07" w:rsidSect="00DD39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600" w:rsidRPr="006C1C2C" w:rsidRDefault="008B5600" w:rsidP="006C1C2C">
      <w:pPr>
        <w:pStyle w:val="Footer"/>
      </w:pPr>
    </w:p>
  </w:endnote>
  <w:endnote w:type="continuationSeparator" w:id="0">
    <w:p w:rsidR="008B5600" w:rsidRPr="006C1C2C" w:rsidRDefault="008B5600" w:rsidP="006C1C2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5D3" w:rsidRDefault="00A375D3" w:rsidP="00715800">
    <w:pPr>
      <w:pStyle w:val="Footer"/>
      <w:tabs>
        <w:tab w:val="right" w:pos="9638"/>
      </w:tabs>
    </w:pPr>
    <w:r w:rsidRPr="00A375D3">
      <w:rPr>
        <w:b/>
        <w:bCs/>
        <w:sz w:val="18"/>
      </w:rPr>
      <w:fldChar w:fldCharType="begin"/>
    </w:r>
    <w:r w:rsidRPr="00A375D3">
      <w:rPr>
        <w:b/>
        <w:bCs/>
        <w:sz w:val="18"/>
      </w:rPr>
      <w:instrText xml:space="preserve"> PAGE  \* MERGEFORMAT </w:instrText>
    </w:r>
    <w:r w:rsidRPr="00A375D3">
      <w:rPr>
        <w:b/>
        <w:bCs/>
        <w:sz w:val="18"/>
      </w:rPr>
      <w:fldChar w:fldCharType="separate"/>
    </w:r>
    <w:r w:rsidR="003B399E">
      <w:rPr>
        <w:b/>
        <w:bCs/>
        <w:noProof/>
        <w:sz w:val="18"/>
      </w:rPr>
      <w:t>6</w:t>
    </w:r>
    <w:r w:rsidRPr="00A375D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5D3" w:rsidRDefault="00A375D3" w:rsidP="00A375D3">
    <w:pPr>
      <w:pStyle w:val="Footer"/>
      <w:tabs>
        <w:tab w:val="right" w:pos="9638"/>
      </w:tabs>
    </w:pPr>
    <w:r>
      <w:tab/>
    </w:r>
    <w:r w:rsidRPr="00A375D3">
      <w:rPr>
        <w:b/>
        <w:bCs/>
        <w:sz w:val="18"/>
      </w:rPr>
      <w:fldChar w:fldCharType="begin"/>
    </w:r>
    <w:r w:rsidRPr="00A375D3">
      <w:rPr>
        <w:b/>
        <w:bCs/>
        <w:sz w:val="18"/>
      </w:rPr>
      <w:instrText xml:space="preserve"> PAGE  \* MERGEFORMAT </w:instrText>
    </w:r>
    <w:r w:rsidRPr="00A375D3">
      <w:rPr>
        <w:b/>
        <w:bCs/>
        <w:sz w:val="18"/>
      </w:rPr>
      <w:fldChar w:fldCharType="separate"/>
    </w:r>
    <w:r w:rsidR="003B399E">
      <w:rPr>
        <w:b/>
        <w:bCs/>
        <w:noProof/>
        <w:sz w:val="18"/>
      </w:rPr>
      <w:t>5</w:t>
    </w:r>
    <w:r w:rsidRPr="00A375D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99E" w:rsidRDefault="003B399E" w:rsidP="003B399E">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3B399E" w:rsidRDefault="003B399E" w:rsidP="003B399E">
    <w:pPr>
      <w:pStyle w:val="Footer"/>
      <w:ind w:right="1134"/>
      <w:rPr>
        <w:sz w:val="20"/>
      </w:rPr>
    </w:pPr>
    <w:r>
      <w:rPr>
        <w:sz w:val="20"/>
      </w:rPr>
      <w:t>GE.19-08555(E)</w:t>
    </w:r>
  </w:p>
  <w:p w:rsidR="003B399E" w:rsidRPr="003B399E" w:rsidRDefault="003B399E" w:rsidP="003B399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OP/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OP/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600" w:rsidRPr="006C1C2C" w:rsidRDefault="008B5600" w:rsidP="006C1C2C">
      <w:pPr>
        <w:tabs>
          <w:tab w:val="right" w:pos="2155"/>
        </w:tabs>
        <w:spacing w:after="80" w:line="240" w:lineRule="auto"/>
        <w:ind w:left="680"/>
      </w:pPr>
      <w:r>
        <w:rPr>
          <w:u w:val="single"/>
        </w:rPr>
        <w:tab/>
      </w:r>
    </w:p>
  </w:footnote>
  <w:footnote w:type="continuationSeparator" w:id="0">
    <w:p w:rsidR="008B5600" w:rsidRPr="006C1C2C" w:rsidRDefault="008B5600" w:rsidP="006C1C2C">
      <w:pPr>
        <w:tabs>
          <w:tab w:val="right" w:pos="2155"/>
        </w:tabs>
        <w:spacing w:after="80" w:line="240" w:lineRule="auto"/>
        <w:ind w:left="680"/>
      </w:pPr>
      <w:r>
        <w:rPr>
          <w:u w:val="single"/>
        </w:rPr>
        <w:tab/>
      </w:r>
    </w:p>
  </w:footnote>
  <w:footnote w:id="1">
    <w:p w:rsidR="00A375D3" w:rsidRPr="008A11C2" w:rsidRDefault="00715800" w:rsidP="00A375D3">
      <w:pPr>
        <w:pStyle w:val="FootnoteText"/>
        <w:rPr>
          <w:lang w:val="en-US"/>
        </w:rPr>
      </w:pPr>
      <w:r w:rsidRPr="00715800">
        <w:rPr>
          <w:rStyle w:val="FootnoteReference"/>
          <w:sz w:val="20"/>
          <w:szCs w:val="22"/>
          <w:vertAlign w:val="baseline"/>
        </w:rPr>
        <w:tab/>
      </w:r>
      <w:r w:rsidR="00A375D3" w:rsidRPr="00715800">
        <w:rPr>
          <w:rStyle w:val="FootnoteReference"/>
          <w:sz w:val="20"/>
          <w:szCs w:val="22"/>
          <w:vertAlign w:val="baseline"/>
        </w:rPr>
        <w:t>*</w:t>
      </w:r>
      <w:r w:rsidR="00A375D3" w:rsidRPr="00715800">
        <w:rPr>
          <w:sz w:val="20"/>
          <w:szCs w:val="22"/>
        </w:rPr>
        <w:tab/>
      </w:r>
      <w:r w:rsidR="00A375D3">
        <w:rPr>
          <w:lang w:val="en-US"/>
        </w:rPr>
        <w:t>A</w:t>
      </w:r>
      <w:r w:rsidR="00A375D3" w:rsidRPr="00E76470">
        <w:rPr>
          <w:lang w:val="en-US"/>
        </w:rPr>
        <w:t xml:space="preserve">dopted by </w:t>
      </w:r>
      <w:r w:rsidR="00A375D3">
        <w:rPr>
          <w:lang w:val="en-US"/>
        </w:rPr>
        <w:t>the Subcommittee</w:t>
      </w:r>
      <w:r w:rsidR="00A375D3" w:rsidRPr="00E76470">
        <w:rPr>
          <w:lang w:val="en-US"/>
        </w:rPr>
        <w:t xml:space="preserve"> at its </w:t>
      </w:r>
      <w:r w:rsidR="00A375D3">
        <w:rPr>
          <w:lang w:val="en-US"/>
        </w:rPr>
        <w:t>t</w:t>
      </w:r>
      <w:r w:rsidR="00A375D3" w:rsidRPr="00104792">
        <w:rPr>
          <w:lang w:val="en-US"/>
        </w:rPr>
        <w:t xml:space="preserve">hirty-third </w:t>
      </w:r>
      <w:r w:rsidR="00A375D3">
        <w:rPr>
          <w:lang w:val="en-US"/>
        </w:rPr>
        <w:t>session (13–17 November 2017).</w:t>
      </w:r>
    </w:p>
  </w:footnote>
  <w:footnote w:id="2">
    <w:p w:rsidR="00E369C7" w:rsidRDefault="00E369C7" w:rsidP="00E369C7">
      <w:pPr>
        <w:pStyle w:val="FootnoteText"/>
      </w:pPr>
      <w:r>
        <w:tab/>
      </w:r>
      <w:r w:rsidRPr="00916466">
        <w:rPr>
          <w:rStyle w:val="FootnoteReference"/>
        </w:rPr>
        <w:footnoteRef/>
      </w:r>
      <w:r>
        <w:tab/>
      </w:r>
      <w:r w:rsidRPr="00643A09">
        <w:t>Based on the Optional Protocol to the Convention against Torture and Other Cruel, Inhuman or Degrading Treatment or Punishment, the Istanbul Protocol and the United Nations Standard Minimum Rules for the Treatment of Prisoners (the Nelson Mandela Rules).</w:t>
      </w:r>
      <w:r w:rsidR="009553F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5D3" w:rsidRDefault="00A375D3" w:rsidP="00A375D3">
    <w:pPr>
      <w:pStyle w:val="Header"/>
    </w:pPr>
    <w:r>
      <w:t>CAT/OP/7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5D3" w:rsidRDefault="00A375D3" w:rsidP="00A375D3">
    <w:pPr>
      <w:pStyle w:val="Header"/>
      <w:jc w:val="right"/>
    </w:pPr>
    <w:r>
      <w:t>CAT/OP/7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B5600"/>
    <w:rsid w:val="00046E92"/>
    <w:rsid w:val="0007463E"/>
    <w:rsid w:val="00247E2C"/>
    <w:rsid w:val="002B29E3"/>
    <w:rsid w:val="002D6C53"/>
    <w:rsid w:val="002F5595"/>
    <w:rsid w:val="00334F6A"/>
    <w:rsid w:val="00342AC8"/>
    <w:rsid w:val="00390293"/>
    <w:rsid w:val="003B399E"/>
    <w:rsid w:val="003B4550"/>
    <w:rsid w:val="00461253"/>
    <w:rsid w:val="005042C2"/>
    <w:rsid w:val="005526D6"/>
    <w:rsid w:val="005932E2"/>
    <w:rsid w:val="005C4B81"/>
    <w:rsid w:val="006374B0"/>
    <w:rsid w:val="00671529"/>
    <w:rsid w:val="006C1C2C"/>
    <w:rsid w:val="006C25B5"/>
    <w:rsid w:val="00715800"/>
    <w:rsid w:val="007268F9"/>
    <w:rsid w:val="007826D5"/>
    <w:rsid w:val="007C52B0"/>
    <w:rsid w:val="00875DB0"/>
    <w:rsid w:val="00885CF4"/>
    <w:rsid w:val="008B5600"/>
    <w:rsid w:val="00916466"/>
    <w:rsid w:val="009411B4"/>
    <w:rsid w:val="009553FF"/>
    <w:rsid w:val="009D0139"/>
    <w:rsid w:val="009F5CDC"/>
    <w:rsid w:val="00A375D3"/>
    <w:rsid w:val="00A775CF"/>
    <w:rsid w:val="00B06045"/>
    <w:rsid w:val="00C35A27"/>
    <w:rsid w:val="00C81172"/>
    <w:rsid w:val="00CD7E73"/>
    <w:rsid w:val="00D041F5"/>
    <w:rsid w:val="00D5671B"/>
    <w:rsid w:val="00DD39ED"/>
    <w:rsid w:val="00DF2B07"/>
    <w:rsid w:val="00E02C2B"/>
    <w:rsid w:val="00E369C7"/>
    <w:rsid w:val="00E65B17"/>
    <w:rsid w:val="00EA0F19"/>
    <w:rsid w:val="00EC0A09"/>
    <w:rsid w:val="00ED6C48"/>
    <w:rsid w:val="00F232BD"/>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DC067CE3-E242-4816-98E8-EBA1416FB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4B0"/>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A375D3"/>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375D3"/>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A375D3"/>
    <w:rPr>
      <w:rFonts w:ascii="Times New Roman" w:hAnsi="Times New Roman" w:cs="Times New Roman"/>
      <w:b/>
      <w:sz w:val="18"/>
      <w:szCs w:val="20"/>
    </w:rPr>
  </w:style>
  <w:style w:type="paragraph" w:styleId="Footer">
    <w:name w:val="footer"/>
    <w:aliases w:val="3_G"/>
    <w:basedOn w:val="Normal"/>
    <w:link w:val="FooterChar"/>
    <w:rsid w:val="00A375D3"/>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A375D3"/>
    <w:rPr>
      <w:rFonts w:ascii="Times New Roman" w:hAnsi="Times New Roman" w:cs="Times New Roman"/>
      <w:sz w:val="16"/>
      <w:szCs w:val="20"/>
    </w:rPr>
  </w:style>
  <w:style w:type="paragraph" w:customStyle="1" w:styleId="HMG">
    <w:name w:val="_ H __M_G"/>
    <w:basedOn w:val="Normal"/>
    <w:next w:val="Normal"/>
    <w:rsid w:val="00A375D3"/>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A375D3"/>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A375D3"/>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A375D3"/>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A375D3"/>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A375D3"/>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A375D3"/>
    <w:pPr>
      <w:suppressAutoHyphens w:val="0"/>
      <w:spacing w:after="120"/>
      <w:ind w:left="1134" w:right="1134"/>
      <w:jc w:val="both"/>
    </w:pPr>
    <w:rPr>
      <w:rFonts w:eastAsia="SimSun"/>
      <w:lang w:eastAsia="zh-CN"/>
    </w:rPr>
  </w:style>
  <w:style w:type="paragraph" w:customStyle="1" w:styleId="SLG">
    <w:name w:val="__S_L_G"/>
    <w:basedOn w:val="Normal"/>
    <w:next w:val="Normal"/>
    <w:rsid w:val="00A375D3"/>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A375D3"/>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A375D3"/>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A375D3"/>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A375D3"/>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A375D3"/>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A375D3"/>
    <w:pPr>
      <w:numPr>
        <w:numId w:val="10"/>
      </w:numPr>
    </w:pPr>
  </w:style>
  <w:style w:type="numbering" w:styleId="111111">
    <w:name w:val="Outline List 2"/>
    <w:basedOn w:val="NoList"/>
    <w:semiHidden/>
    <w:rsid w:val="00A375D3"/>
    <w:pPr>
      <w:numPr>
        <w:numId w:val="11"/>
      </w:numPr>
    </w:pPr>
  </w:style>
  <w:style w:type="numbering" w:styleId="1ai">
    <w:name w:val="Outline List 1"/>
    <w:basedOn w:val="NoList"/>
    <w:semiHidden/>
    <w:rsid w:val="00A375D3"/>
    <w:pPr>
      <w:numPr>
        <w:numId w:val="6"/>
      </w:numPr>
    </w:pPr>
  </w:style>
  <w:style w:type="character" w:styleId="EndnoteReference">
    <w:name w:val="endnote reference"/>
    <w:aliases w:val="1_G"/>
    <w:rsid w:val="00A375D3"/>
    <w:rPr>
      <w:rFonts w:ascii="Times New Roman" w:hAnsi="Times New Roman"/>
      <w:sz w:val="18"/>
      <w:vertAlign w:val="superscript"/>
    </w:rPr>
  </w:style>
  <w:style w:type="paragraph" w:styleId="FootnoteText">
    <w:name w:val="footnote text"/>
    <w:aliases w:val="5_G"/>
    <w:basedOn w:val="Normal"/>
    <w:link w:val="FootnoteTextChar"/>
    <w:rsid w:val="00A375D3"/>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A375D3"/>
    <w:rPr>
      <w:rFonts w:ascii="Times New Roman" w:hAnsi="Times New Roman" w:cs="Times New Roman"/>
      <w:sz w:val="18"/>
      <w:szCs w:val="20"/>
    </w:rPr>
  </w:style>
  <w:style w:type="paragraph" w:styleId="EndnoteText">
    <w:name w:val="endnote text"/>
    <w:aliases w:val="2_G"/>
    <w:basedOn w:val="FootnoteText"/>
    <w:link w:val="EndnoteTextChar"/>
    <w:rsid w:val="00A375D3"/>
  </w:style>
  <w:style w:type="character" w:customStyle="1" w:styleId="EndnoteTextChar">
    <w:name w:val="Endnote Text Char"/>
    <w:aliases w:val="2_G Char"/>
    <w:basedOn w:val="DefaultParagraphFont"/>
    <w:link w:val="EndnoteText"/>
    <w:rsid w:val="00A375D3"/>
    <w:rPr>
      <w:rFonts w:ascii="Times New Roman" w:hAnsi="Times New Roman" w:cs="Times New Roman"/>
      <w:sz w:val="18"/>
      <w:szCs w:val="20"/>
    </w:rPr>
  </w:style>
  <w:style w:type="character" w:styleId="FootnoteReference">
    <w:name w:val="footnote reference"/>
    <w:aliases w:val="4_G"/>
    <w:rsid w:val="00A375D3"/>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A375D3"/>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374B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75D3"/>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A375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6686">
      <w:bodyDiv w:val="1"/>
      <w:marLeft w:val="0"/>
      <w:marRight w:val="0"/>
      <w:marTop w:val="0"/>
      <w:marBottom w:val="0"/>
      <w:divBdr>
        <w:top w:val="none" w:sz="0" w:space="0" w:color="auto"/>
        <w:left w:val="none" w:sz="0" w:space="0" w:color="auto"/>
        <w:bottom w:val="none" w:sz="0" w:space="0" w:color="auto"/>
        <w:right w:val="none" w:sz="0" w:space="0" w:color="auto"/>
      </w:divBdr>
    </w:div>
    <w:div w:id="210648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D3D4B-EED5-47B3-B322-78E4C8642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CATOP.dotm</Template>
  <TotalTime>0</TotalTime>
  <Pages>6</Pages>
  <Words>988</Words>
  <Characters>5469</Characters>
  <Application>Microsoft Office Word</Application>
  <DocSecurity>0</DocSecurity>
  <Lines>317</Lines>
  <Paragraphs>165</Paragraphs>
  <ScaleCrop>false</ScaleCrop>
  <HeadingPairs>
    <vt:vector size="2" baseType="variant">
      <vt:variant>
        <vt:lpstr>Title</vt:lpstr>
      </vt:variant>
      <vt:variant>
        <vt:i4>1</vt:i4>
      </vt:variant>
    </vt:vector>
  </HeadingPairs>
  <TitlesOfParts>
    <vt:vector size="1" baseType="lpstr">
      <vt:lpstr>CAT/OP/7</vt:lpstr>
    </vt:vector>
  </TitlesOfParts>
  <Company>DCM</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CAT/OP/7</dc:title>
  <dc:subject>1908555</dc:subject>
  <dc:creator>DM</dc:creator>
  <cp:keywords/>
  <dc:description/>
  <cp:lastModifiedBy>Generic Desk Anglais</cp:lastModifiedBy>
  <cp:revision>2</cp:revision>
  <dcterms:created xsi:type="dcterms:W3CDTF">2019-05-27T07:46:00Z</dcterms:created>
  <dcterms:modified xsi:type="dcterms:W3CDTF">2019-05-27T07:46:00Z</dcterms:modified>
</cp:coreProperties>
</file>