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85"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460"/>
        <w:gridCol w:w="307"/>
        <w:gridCol w:w="3598"/>
        <w:gridCol w:w="54"/>
      </w:tblGrid>
      <w:tr w:rsidR="006B3E27" w:rsidRPr="00DB7679" w:rsidTr="00712050">
        <w:trPr>
          <w:gridAfter w:val="1"/>
          <w:wAfter w:w="54" w:type="dxa"/>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gridSpan w:val="2"/>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094664" w:rsidP="00712050">
            <w:pPr>
              <w:bidi w:val="0"/>
              <w:spacing w:after="20"/>
              <w:jc w:val="left"/>
              <w:rPr>
                <w:szCs w:val="20"/>
              </w:rPr>
            </w:pPr>
            <w:r w:rsidRPr="00094664">
              <w:rPr>
                <w:sz w:val="40"/>
                <w:szCs w:val="20"/>
              </w:rPr>
              <w:t>CAT</w:t>
            </w:r>
            <w:r>
              <w:rPr>
                <w:szCs w:val="20"/>
              </w:rPr>
              <w:t>/OP/7</w:t>
            </w:r>
          </w:p>
        </w:tc>
      </w:tr>
      <w:tr w:rsidR="00DC1D29" w:rsidRPr="00DB7679" w:rsidTr="00712050">
        <w:trPr>
          <w:gridAfter w:val="1"/>
          <w:wAfter w:w="54" w:type="dxa"/>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gridSpan w:val="2"/>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712050" w:rsidP="00712050">
            <w:pPr>
              <w:bidi w:val="0"/>
              <w:spacing w:after="20"/>
              <w:jc w:val="left"/>
              <w:rPr>
                <w:szCs w:val="20"/>
              </w:rPr>
            </w:pPr>
            <w:r>
              <w:rPr>
                <w:szCs w:val="20"/>
              </w:rPr>
              <w:t xml:space="preserve">Distr.: </w:t>
            </w:r>
          </w:p>
          <w:p w:rsidR="00712050" w:rsidRDefault="00712050" w:rsidP="00712050">
            <w:pPr>
              <w:bidi w:val="0"/>
              <w:jc w:val="left"/>
              <w:rPr>
                <w:szCs w:val="20"/>
              </w:rPr>
            </w:pPr>
          </w:p>
          <w:p w:rsidR="00712050" w:rsidRDefault="00712050" w:rsidP="00712050">
            <w:pPr>
              <w:bidi w:val="0"/>
              <w:jc w:val="left"/>
              <w:rPr>
                <w:szCs w:val="20"/>
              </w:rPr>
            </w:pPr>
            <w:r>
              <w:rPr>
                <w:szCs w:val="20"/>
              </w:rPr>
              <w:t>Arabic</w:t>
            </w:r>
          </w:p>
          <w:p w:rsidR="00712050" w:rsidRPr="00243C8A" w:rsidRDefault="00712050" w:rsidP="00712050">
            <w:pPr>
              <w:bidi w:val="0"/>
              <w:jc w:val="left"/>
              <w:rPr>
                <w:szCs w:val="20"/>
              </w:rPr>
            </w:pPr>
            <w:r>
              <w:rPr>
                <w:szCs w:val="20"/>
              </w:rPr>
              <w:t xml:space="preserve">Original: </w:t>
            </w:r>
          </w:p>
        </w:tc>
      </w:tr>
      <w:tr w:rsidR="006B3E27" w:rsidRPr="00DB7679" w:rsidTr="00A07BB7">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752"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60" w:type="dxa"/>
            <w:tcBorders>
              <w:top w:val="nil"/>
              <w:bottom w:val="single" w:sz="12" w:space="0" w:color="auto"/>
            </w:tcBorders>
          </w:tcPr>
          <w:p w:rsidR="00A67AF5" w:rsidRPr="00A07BB7" w:rsidRDefault="00712050" w:rsidP="005A3015">
            <w:pPr>
              <w:spacing w:before="120" w:after="40" w:line="580" w:lineRule="exact"/>
              <w:rPr>
                <w:b/>
                <w:bCs/>
                <w:sz w:val="50"/>
                <w:szCs w:val="50"/>
              </w:rPr>
            </w:pPr>
            <w:r w:rsidRPr="00A07BB7">
              <w:rPr>
                <w:b/>
                <w:bCs/>
                <w:sz w:val="50"/>
                <w:szCs w:val="50"/>
                <w:rtl/>
              </w:rPr>
              <w:t>البروتوكول الاختياري لاتفاقية مناهضة التعذيب وغيره من ضروب المعاملة أو العقوبة القاسية أو اللاإنسانية أو المهينة</w:t>
            </w:r>
          </w:p>
        </w:tc>
        <w:tc>
          <w:tcPr>
            <w:tcW w:w="3959" w:type="dxa"/>
            <w:gridSpan w:val="3"/>
            <w:tcBorders>
              <w:top w:val="nil"/>
              <w:bottom w:val="single" w:sz="12" w:space="0" w:color="auto"/>
            </w:tcBorders>
          </w:tcPr>
          <w:p w:rsidR="00081623" w:rsidRPr="00081623" w:rsidRDefault="00081623" w:rsidP="00081623">
            <w:pPr>
              <w:bidi w:val="0"/>
              <w:spacing w:before="240"/>
              <w:jc w:val="left"/>
              <w:rPr>
                <w:rFonts w:cs="Times New Roman"/>
                <w:szCs w:val="20"/>
                <w:lang w:val="en-GB"/>
              </w:rPr>
            </w:pPr>
            <w:r w:rsidRPr="00081623">
              <w:rPr>
                <w:rFonts w:cs="Times New Roman"/>
                <w:szCs w:val="20"/>
                <w:lang w:val="en-GB"/>
              </w:rPr>
              <w:t>Distr.: General</w:t>
            </w:r>
          </w:p>
          <w:p w:rsidR="00081623" w:rsidRPr="00081623" w:rsidRDefault="00081623" w:rsidP="00081623">
            <w:pPr>
              <w:bidi w:val="0"/>
              <w:jc w:val="left"/>
              <w:rPr>
                <w:rFonts w:cs="Times New Roman"/>
                <w:szCs w:val="20"/>
                <w:lang w:val="en-GB"/>
              </w:rPr>
            </w:pPr>
            <w:r w:rsidRPr="00081623">
              <w:rPr>
                <w:rFonts w:cs="Times New Roman"/>
                <w:szCs w:val="20"/>
                <w:lang w:val="en-GB"/>
              </w:rPr>
              <w:t>24 May 2019</w:t>
            </w:r>
          </w:p>
          <w:p w:rsidR="00081623" w:rsidRPr="00081623" w:rsidRDefault="00081623" w:rsidP="00081623">
            <w:pPr>
              <w:bidi w:val="0"/>
              <w:jc w:val="left"/>
              <w:rPr>
                <w:rFonts w:cs="Times New Roman"/>
                <w:szCs w:val="20"/>
                <w:lang w:val="en-GB"/>
              </w:rPr>
            </w:pPr>
            <w:r>
              <w:rPr>
                <w:rFonts w:cs="Times New Roman"/>
                <w:szCs w:val="20"/>
                <w:lang w:val="en-GB"/>
              </w:rPr>
              <w:t>Arabic</w:t>
            </w:r>
          </w:p>
          <w:p w:rsidR="006B3E27" w:rsidRPr="008B4BC6" w:rsidRDefault="00081623" w:rsidP="00081623">
            <w:pPr>
              <w:bidi w:val="0"/>
              <w:jc w:val="left"/>
            </w:pPr>
            <w:r w:rsidRPr="00081623">
              <w:rPr>
                <w:rFonts w:cs="Times New Roman"/>
                <w:szCs w:val="20"/>
                <w:lang w:val="en-GB"/>
              </w:rPr>
              <w:t>Original: English</w:t>
            </w:r>
          </w:p>
        </w:tc>
      </w:tr>
    </w:tbl>
    <w:p w:rsidR="00712050" w:rsidRPr="00712050" w:rsidRDefault="00712050" w:rsidP="00712050">
      <w:pPr>
        <w:pStyle w:val="SingleTxtGA"/>
        <w:spacing w:before="120" w:after="0"/>
        <w:ind w:left="0"/>
        <w:jc w:val="left"/>
        <w:rPr>
          <w:b/>
          <w:bCs/>
          <w:sz w:val="26"/>
          <w:szCs w:val="36"/>
          <w:rtl/>
        </w:rPr>
      </w:pPr>
      <w:r w:rsidRPr="00712050">
        <w:rPr>
          <w:b/>
          <w:bCs/>
          <w:sz w:val="26"/>
          <w:szCs w:val="36"/>
          <w:rtl/>
        </w:rPr>
        <w:t xml:space="preserve">اللجنة الفرعية لمنع التعذيب وغيره من ضروب المعاملة </w:t>
      </w:r>
      <w:r>
        <w:rPr>
          <w:b/>
          <w:bCs/>
          <w:sz w:val="26"/>
          <w:szCs w:val="36"/>
          <w:rtl/>
        </w:rPr>
        <w:br/>
      </w:r>
      <w:r w:rsidRPr="00712050">
        <w:rPr>
          <w:b/>
          <w:bCs/>
          <w:sz w:val="26"/>
          <w:szCs w:val="36"/>
          <w:rtl/>
        </w:rPr>
        <w:t>أو العقوبة القاسية أو اللاإنسانية أو المهينة</w:t>
      </w:r>
    </w:p>
    <w:p w:rsidR="00712050" w:rsidRDefault="00712050" w:rsidP="00081623">
      <w:pPr>
        <w:pStyle w:val="HChGA"/>
        <w:spacing w:before="300" w:line="420" w:lineRule="exact"/>
        <w:rPr>
          <w:rtl/>
        </w:rPr>
      </w:pPr>
      <w:r>
        <w:rPr>
          <w:rtl/>
        </w:rPr>
        <w:tab/>
      </w:r>
      <w:r>
        <w:rPr>
          <w:rtl/>
        </w:rPr>
        <w:tab/>
        <w:t>القائمة المرجعية للآليات الوقائية الوطنية بشأن مسائل الرعاية الصحية المتعلقة برصد أماكن الاحتجاز</w:t>
      </w:r>
      <w:r w:rsidRPr="00712050">
        <w:rPr>
          <w:rStyle w:val="FootnoteReference"/>
          <w:sz w:val="20"/>
          <w:vertAlign w:val="baseline"/>
          <w:rtl/>
        </w:rPr>
        <w:footnoteReference w:customMarkFollows="1" w:id="1"/>
        <w:t>*</w:t>
      </w:r>
    </w:p>
    <w:p w:rsidR="00712050" w:rsidRDefault="00712050" w:rsidP="00081623">
      <w:pPr>
        <w:pStyle w:val="HChGA"/>
        <w:spacing w:before="300" w:line="420" w:lineRule="exact"/>
        <w:rPr>
          <w:rtl/>
        </w:rPr>
      </w:pPr>
      <w:r>
        <w:rPr>
          <w:rtl/>
        </w:rPr>
        <w:tab/>
        <w:t>أولا</w:t>
      </w:r>
      <w:r>
        <w:rPr>
          <w:rFonts w:hint="cs"/>
          <w:rtl/>
        </w:rPr>
        <w:t>ً</w:t>
      </w:r>
      <w:r>
        <w:rPr>
          <w:rtl/>
        </w:rPr>
        <w:t>-</w:t>
      </w:r>
      <w:r>
        <w:rPr>
          <w:rtl/>
        </w:rPr>
        <w:tab/>
        <w:t>مقدمة</w:t>
      </w:r>
    </w:p>
    <w:p w:rsidR="00712050" w:rsidRDefault="00712050" w:rsidP="00081623">
      <w:pPr>
        <w:pStyle w:val="SingleTxtGA"/>
        <w:spacing w:line="360" w:lineRule="exact"/>
        <w:rPr>
          <w:rtl/>
        </w:rPr>
      </w:pPr>
      <w:r>
        <w:rPr>
          <w:rtl/>
        </w:rPr>
        <w:t>١-</w:t>
      </w:r>
      <w:r>
        <w:rPr>
          <w:rtl/>
        </w:rPr>
        <w:tab/>
        <w:t>أعدت هذه الوثيقة عمل</w:t>
      </w:r>
      <w:r w:rsidR="00A07BB7">
        <w:rPr>
          <w:rtl/>
        </w:rPr>
        <w:t xml:space="preserve">اً </w:t>
      </w:r>
      <w:r>
        <w:rPr>
          <w:rtl/>
        </w:rPr>
        <w:t>بقرار اتخذته اللجنة الفرعية لمنع التعذيب في دورتها الثانية والثلاثين وفق</w:t>
      </w:r>
      <w:r w:rsidR="00A07BB7">
        <w:rPr>
          <w:rtl/>
        </w:rPr>
        <w:t xml:space="preserve">اً </w:t>
      </w:r>
      <w:r>
        <w:rPr>
          <w:rtl/>
        </w:rPr>
        <w:t>لولايتها على النحو المنصوص عليه في المادة ١١(ب) من البروتوكول الاختياري لاتفاقية مناهضة التعذيب وغيره من ضروب المعاملة أو العقوبة القاسية أو اللاإنسانية أو المهينة.</w:t>
      </w:r>
    </w:p>
    <w:p w:rsidR="00712050" w:rsidRDefault="00712050" w:rsidP="00081623">
      <w:pPr>
        <w:pStyle w:val="SingleTxtGA"/>
        <w:spacing w:line="360" w:lineRule="exact"/>
        <w:rPr>
          <w:rtl/>
        </w:rPr>
      </w:pPr>
      <w:r>
        <w:rPr>
          <w:rtl/>
        </w:rPr>
        <w:t>٢-</w:t>
      </w:r>
      <w:r>
        <w:rPr>
          <w:rtl/>
        </w:rPr>
        <w:tab/>
        <w:t xml:space="preserve">ويشكل توافر ونوعية الرعاية الصحية في السجون مؤشرين حاسمين في تقييم خطر التعرض للمعاملة القاسية واللاإنسانية والمهينة، بل للتعذيب. </w:t>
      </w:r>
    </w:p>
    <w:p w:rsidR="00712050" w:rsidRPr="00081623" w:rsidRDefault="00712050" w:rsidP="00081623">
      <w:pPr>
        <w:pStyle w:val="SingleTxtGA"/>
        <w:spacing w:line="360" w:lineRule="exact"/>
        <w:rPr>
          <w:spacing w:val="-4"/>
          <w:rtl/>
        </w:rPr>
      </w:pPr>
      <w:r w:rsidRPr="00081623">
        <w:rPr>
          <w:spacing w:val="-4"/>
          <w:rtl/>
        </w:rPr>
        <w:t>٣-</w:t>
      </w:r>
      <w:r w:rsidRPr="00081623">
        <w:rPr>
          <w:spacing w:val="-4"/>
          <w:rtl/>
        </w:rPr>
        <w:tab/>
        <w:t>وينبغي أن تضمن الآليات الوقائية الوطنية اعتناءها بمسائل الرعاية الصحية اعتناء شاملا</w:t>
      </w:r>
      <w:r w:rsidR="00081623">
        <w:rPr>
          <w:rFonts w:hint="cs"/>
          <w:spacing w:val="-4"/>
          <w:rtl/>
        </w:rPr>
        <w:t>ً</w:t>
      </w:r>
      <w:r w:rsidR="00A07BB7">
        <w:rPr>
          <w:rFonts w:hint="cs"/>
          <w:spacing w:val="-4"/>
          <w:rtl/>
        </w:rPr>
        <w:t xml:space="preserve"> </w:t>
      </w:r>
      <w:r w:rsidRPr="00081623">
        <w:rPr>
          <w:spacing w:val="-4"/>
          <w:rtl/>
        </w:rPr>
        <w:t>بغية أداء ولايتها الوقائية. والقائمة المرجعية المرفقة أدناه موصى بها كأداة للتقييم الذاتي بهدف تذكير الآليات الوقائية الوطنية بالمسائل الصحية الحرجة التي ينبغي لها النظر فيها في سياق تقييماتها لأماكن</w:t>
      </w:r>
      <w:r w:rsidR="00081623">
        <w:rPr>
          <w:rFonts w:hint="cs"/>
          <w:spacing w:val="-4"/>
          <w:rtl/>
        </w:rPr>
        <w:t> </w:t>
      </w:r>
      <w:r w:rsidRPr="00081623">
        <w:rPr>
          <w:spacing w:val="-4"/>
          <w:rtl/>
        </w:rPr>
        <w:t>سلب الحرية. ويُتوقع أن تكشف القائمة المرجعية نمط</w:t>
      </w:r>
      <w:r w:rsidR="00A07BB7">
        <w:rPr>
          <w:spacing w:val="-4"/>
          <w:rtl/>
        </w:rPr>
        <w:t xml:space="preserve">اً </w:t>
      </w:r>
      <w:r w:rsidRPr="00081623">
        <w:rPr>
          <w:spacing w:val="-4"/>
          <w:rtl/>
        </w:rPr>
        <w:t>عام</w:t>
      </w:r>
      <w:r w:rsidR="00A07BB7">
        <w:rPr>
          <w:spacing w:val="-4"/>
          <w:rtl/>
        </w:rPr>
        <w:t xml:space="preserve">اً </w:t>
      </w:r>
      <w:r w:rsidRPr="00081623">
        <w:rPr>
          <w:spacing w:val="-4"/>
          <w:rtl/>
        </w:rPr>
        <w:t>لمسائل الرعاية الصحية التي يجري، أو لا يجري، تناولها في تقارير زياراتها. وهي مصممة للاستخدام الداخلي فقط وليس كأداة لتقييم الظروف الفعلية السائدة في أماكن سلب الحرية. وتُشجع الآليات الوقائية الوطنية على تصميم أدواتها الخاصة لتقييم الرعاية الصحية لاستخدامها في جميع زيارات الرصد التي تجريها.</w:t>
      </w:r>
    </w:p>
    <w:p w:rsidR="00712050" w:rsidRDefault="00712050" w:rsidP="00081623">
      <w:pPr>
        <w:pStyle w:val="HChGA"/>
        <w:spacing w:before="300" w:line="420" w:lineRule="exact"/>
        <w:rPr>
          <w:rtl/>
        </w:rPr>
      </w:pPr>
      <w:r>
        <w:rPr>
          <w:rtl/>
        </w:rPr>
        <w:tab/>
        <w:t>ثانيا</w:t>
      </w:r>
      <w:r>
        <w:rPr>
          <w:rFonts w:hint="cs"/>
          <w:rtl/>
        </w:rPr>
        <w:t>ً</w:t>
      </w:r>
      <w:r>
        <w:rPr>
          <w:rtl/>
        </w:rPr>
        <w:t>-</w:t>
      </w:r>
      <w:r>
        <w:rPr>
          <w:rtl/>
        </w:rPr>
        <w:tab/>
        <w:t>أهداف القائمة المرجعية</w:t>
      </w:r>
    </w:p>
    <w:p w:rsidR="00712050" w:rsidRDefault="00712050" w:rsidP="00081623">
      <w:pPr>
        <w:pStyle w:val="SingleTxtGA"/>
        <w:spacing w:line="360" w:lineRule="exact"/>
        <w:rPr>
          <w:rtl/>
        </w:rPr>
      </w:pPr>
      <w:r>
        <w:rPr>
          <w:rtl/>
        </w:rPr>
        <w:t>٤-</w:t>
      </w:r>
      <w:r>
        <w:rPr>
          <w:rtl/>
        </w:rPr>
        <w:tab/>
        <w:t>تهدف القائمة المرجعية إلى ما يلي:</w:t>
      </w:r>
    </w:p>
    <w:p w:rsidR="00712050" w:rsidRDefault="00712050" w:rsidP="00081623">
      <w:pPr>
        <w:pStyle w:val="SingleTxtGA"/>
        <w:spacing w:after="80" w:line="360" w:lineRule="exact"/>
        <w:rPr>
          <w:rtl/>
        </w:rPr>
      </w:pPr>
      <w:r>
        <w:rPr>
          <w:rtl/>
        </w:rPr>
        <w:tab/>
        <w:t>(أ)</w:t>
      </w:r>
      <w:r>
        <w:rPr>
          <w:rtl/>
        </w:rPr>
        <w:tab/>
        <w:t>تذكير الآليات الوقائية الوطنية بمسائل الرعاية الصحية المهمة التي يتعين عليها ملاحظتها خلال زياراتها؛</w:t>
      </w:r>
    </w:p>
    <w:p w:rsidR="00712050" w:rsidRDefault="00712050" w:rsidP="00081623">
      <w:pPr>
        <w:pStyle w:val="SingleTxtGA"/>
        <w:spacing w:after="80" w:line="360" w:lineRule="exact"/>
        <w:rPr>
          <w:rtl/>
        </w:rPr>
      </w:pPr>
      <w:r>
        <w:rPr>
          <w:rtl/>
        </w:rPr>
        <w:tab/>
        <w:t>(ب)</w:t>
      </w:r>
      <w:r>
        <w:rPr>
          <w:rtl/>
        </w:rPr>
        <w:tab/>
        <w:t xml:space="preserve">تحديد الثغرات التي تعتري قدرة الآليات الوقائية الوطنية على رصد الجوانب الصحية لمنع التعذيب والقيام، إن لزم الأمر، بتدعيم خبرتها الصحية. </w:t>
      </w:r>
    </w:p>
    <w:p w:rsidR="00712050" w:rsidRDefault="00712050" w:rsidP="00712050">
      <w:pPr>
        <w:pStyle w:val="HChGA"/>
        <w:rPr>
          <w:rtl/>
        </w:rPr>
      </w:pPr>
      <w:r>
        <w:rPr>
          <w:rtl/>
        </w:rPr>
        <w:lastRenderedPageBreak/>
        <w:tab/>
        <w:t>ثالثا</w:t>
      </w:r>
      <w:r>
        <w:rPr>
          <w:rFonts w:hint="cs"/>
          <w:rtl/>
        </w:rPr>
        <w:t>ً</w:t>
      </w:r>
      <w:r>
        <w:rPr>
          <w:rtl/>
        </w:rPr>
        <w:t>-</w:t>
      </w:r>
      <w:r>
        <w:rPr>
          <w:rtl/>
        </w:rPr>
        <w:tab/>
        <w:t>تصميم القائمة المرجعية</w:t>
      </w:r>
    </w:p>
    <w:p w:rsidR="00712050" w:rsidRPr="00081623" w:rsidRDefault="00712050" w:rsidP="00712050">
      <w:pPr>
        <w:pStyle w:val="SingleTxtGA"/>
        <w:rPr>
          <w:spacing w:val="-4"/>
          <w:rtl/>
        </w:rPr>
      </w:pPr>
      <w:r w:rsidRPr="00081623">
        <w:rPr>
          <w:spacing w:val="-4"/>
          <w:rtl/>
        </w:rPr>
        <w:t>٥-</w:t>
      </w:r>
      <w:r w:rsidRPr="00081623">
        <w:rPr>
          <w:spacing w:val="-4"/>
          <w:rtl/>
        </w:rPr>
        <w:tab/>
        <w:t xml:space="preserve">تتألف القائمة المرجعية من ست فئات من المسائل المتعلقة بالرعاية الصحية تستند إلى قواعد الأمم المتحدة النموذجية الدنيا لمعاملة السجناء (قواعد نيلسون مانديلا) وبروتوكول اسطنبول (مسائل المعرفة والحساسية والأخلاقيات المهنية والممارسة المدرجةُ ضمن الفرع المتعلق بالموظفين). ويُراد بعمود التعليقات (المشاكل/الصعوبات) إبراز المشاكل المتصلة برصد المسألة المحددة. </w:t>
      </w:r>
    </w:p>
    <w:p w:rsidR="00712050" w:rsidRDefault="00712050" w:rsidP="00712050">
      <w:pPr>
        <w:pStyle w:val="HChGA"/>
        <w:rPr>
          <w:rtl/>
        </w:rPr>
      </w:pPr>
      <w:r>
        <w:rPr>
          <w:rtl/>
        </w:rPr>
        <w:tab/>
        <w:t>رابعا</w:t>
      </w:r>
      <w:r>
        <w:rPr>
          <w:rFonts w:hint="cs"/>
          <w:rtl/>
        </w:rPr>
        <w:t>ً</w:t>
      </w:r>
      <w:r>
        <w:rPr>
          <w:rtl/>
        </w:rPr>
        <w:t>-</w:t>
      </w:r>
      <w:r>
        <w:rPr>
          <w:rtl/>
        </w:rPr>
        <w:tab/>
        <w:t>كيفية استخدام القائمة المرجعية</w:t>
      </w:r>
    </w:p>
    <w:p w:rsidR="00081623" w:rsidRDefault="00712050" w:rsidP="00712050">
      <w:pPr>
        <w:pStyle w:val="SingleTxtGA"/>
        <w:rPr>
          <w:spacing w:val="-4"/>
          <w:rtl/>
        </w:rPr>
      </w:pPr>
      <w:r w:rsidRPr="00081623">
        <w:rPr>
          <w:spacing w:val="-4"/>
          <w:rtl/>
        </w:rPr>
        <w:t>٦-</w:t>
      </w:r>
      <w:r w:rsidRPr="00081623">
        <w:rPr>
          <w:spacing w:val="-4"/>
          <w:rtl/>
        </w:rPr>
        <w:tab/>
        <w:t>ينبغي للآليات الوقائية الوطنية وضع علامة في الإطار "نعم" أو الإطار "لا" بحسب المسائل الواردة في القائمة المرجعية التي لاحظتها الآلية أثناء زيارتها مكان</w:t>
      </w:r>
      <w:r w:rsidR="005960D8">
        <w:rPr>
          <w:spacing w:val="-4"/>
          <w:rtl/>
        </w:rPr>
        <w:t xml:space="preserve">اً </w:t>
      </w:r>
      <w:r w:rsidRPr="00081623">
        <w:rPr>
          <w:spacing w:val="-4"/>
          <w:rtl/>
        </w:rPr>
        <w:t>معين</w:t>
      </w:r>
      <w:r w:rsidR="005960D8">
        <w:rPr>
          <w:spacing w:val="-4"/>
          <w:rtl/>
        </w:rPr>
        <w:t xml:space="preserve">اً </w:t>
      </w:r>
      <w:r w:rsidRPr="00081623">
        <w:rPr>
          <w:spacing w:val="-4"/>
          <w:rtl/>
        </w:rPr>
        <w:t xml:space="preserve">من أماكن سلب الحرية. ومن </w:t>
      </w:r>
      <w:r w:rsidRPr="00A07BB7">
        <w:rPr>
          <w:spacing w:val="-6"/>
          <w:rtl/>
        </w:rPr>
        <w:t>المهم إدراج ملاحظات في عمود التعليقات (المشاكل/الصعوبات)، مثل نقص الوضوح، ونقص الخبرة،</w:t>
      </w:r>
      <w:r w:rsidRPr="00081623">
        <w:rPr>
          <w:spacing w:val="-4"/>
          <w:rtl/>
        </w:rPr>
        <w:t xml:space="preserve"> والحواجز الإدارية، فضل</w:t>
      </w:r>
      <w:r w:rsidR="005960D8">
        <w:rPr>
          <w:spacing w:val="-4"/>
          <w:rtl/>
        </w:rPr>
        <w:t xml:space="preserve">اً </w:t>
      </w:r>
      <w:r w:rsidRPr="00081623">
        <w:rPr>
          <w:spacing w:val="-4"/>
          <w:rtl/>
        </w:rPr>
        <w:t>عن تقديم توصيات بشأن كيفية تسوية هذه الأمور.</w:t>
      </w:r>
    </w:p>
    <w:p w:rsidR="00081623" w:rsidRPr="001934B7" w:rsidRDefault="00081623" w:rsidP="00081623">
      <w:pPr>
        <w:pStyle w:val="HChGA"/>
        <w:spacing w:before="120"/>
        <w:rPr>
          <w:rtl/>
          <w:lang w:val="ar-SA" w:eastAsia="zh-TW"/>
        </w:rPr>
      </w:pPr>
      <w:r>
        <w:rPr>
          <w:rtl/>
        </w:rPr>
        <w:br w:type="page"/>
      </w:r>
      <w:r w:rsidRPr="001934B7">
        <w:rPr>
          <w:rtl/>
        </w:rPr>
        <w:lastRenderedPageBreak/>
        <w:t>المرفق</w:t>
      </w:r>
    </w:p>
    <w:p w:rsidR="00081623" w:rsidRPr="00884CCB" w:rsidRDefault="00081623" w:rsidP="00081623">
      <w:pPr>
        <w:pStyle w:val="HChGA"/>
        <w:rPr>
          <w:spacing w:val="-4"/>
          <w:rtl/>
          <w:lang w:val="ar-SA" w:eastAsia="zh-TW"/>
        </w:rPr>
      </w:pPr>
      <w:r w:rsidRPr="00884CCB">
        <w:rPr>
          <w:spacing w:val="-4"/>
          <w:rtl/>
        </w:rPr>
        <w:tab/>
      </w:r>
      <w:r w:rsidRPr="00884CCB">
        <w:rPr>
          <w:spacing w:val="-4"/>
          <w:rtl/>
        </w:rPr>
        <w:tab/>
        <w:t xml:space="preserve">القائمة المرجعية لمسائل الرعاية الصحية المتعلقة برصد أماكن </w:t>
      </w:r>
      <w:proofErr w:type="gramStart"/>
      <w:r w:rsidRPr="00884CCB">
        <w:rPr>
          <w:spacing w:val="-4"/>
          <w:rtl/>
        </w:rPr>
        <w:t>الاحتجا</w:t>
      </w:r>
      <w:r w:rsidRPr="00884CCB">
        <w:rPr>
          <w:rFonts w:hint="cs"/>
          <w:spacing w:val="-4"/>
          <w:rtl/>
        </w:rPr>
        <w:t>ز</w:t>
      </w:r>
      <w:r w:rsidRPr="00884CCB">
        <w:rPr>
          <w:spacing w:val="-4"/>
          <w:vertAlign w:val="superscript"/>
          <w:rtl/>
        </w:rPr>
        <w:t>(</w:t>
      </w:r>
      <w:proofErr w:type="gramEnd"/>
      <w:r w:rsidRPr="00884CCB">
        <w:rPr>
          <w:rStyle w:val="FootnoteReference"/>
          <w:spacing w:val="-4"/>
          <w:rtl/>
        </w:rPr>
        <w:footnoteReference w:id="2"/>
      </w:r>
      <w:r w:rsidRPr="00884CCB">
        <w:rPr>
          <w:spacing w:val="-4"/>
          <w:vertAlign w:val="superscript"/>
          <w:rtl/>
        </w:rPr>
        <w:t>)</w:t>
      </w:r>
    </w:p>
    <w:tbl>
      <w:tblPr>
        <w:bidiVisual/>
        <w:tblW w:w="8265" w:type="dxa"/>
        <w:tblInd w:w="1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606"/>
        <w:gridCol w:w="596"/>
        <w:gridCol w:w="590"/>
        <w:gridCol w:w="3464"/>
        <w:gridCol w:w="9"/>
      </w:tblGrid>
      <w:tr w:rsidR="00884CCB" w:rsidRPr="00925050" w:rsidTr="007D277E">
        <w:trPr>
          <w:cantSplit/>
          <w:tblHeader/>
        </w:trPr>
        <w:tc>
          <w:tcPr>
            <w:tcW w:w="3606" w:type="dxa"/>
            <w:shd w:val="clear" w:color="auto" w:fill="auto"/>
            <w:tcMar>
              <w:top w:w="43" w:type="dxa"/>
              <w:left w:w="72" w:type="dxa"/>
              <w:bottom w:w="43" w:type="dxa"/>
              <w:right w:w="43" w:type="dxa"/>
            </w:tcMar>
            <w:vAlign w:val="bottom"/>
          </w:tcPr>
          <w:p w:rsidR="00884CCB" w:rsidRPr="00925050" w:rsidRDefault="00884CCB" w:rsidP="00E825B5">
            <w:pPr>
              <w:spacing w:before="60" w:after="60" w:line="300" w:lineRule="exact"/>
              <w:ind w:left="57" w:right="113"/>
              <w:textDirection w:val="tbRlV"/>
              <w:rPr>
                <w:i/>
                <w:sz w:val="18"/>
                <w:szCs w:val="26"/>
                <w:rtl/>
                <w:lang w:val="ar-SA" w:eastAsia="zh-TW"/>
              </w:rPr>
            </w:pPr>
            <w:r w:rsidRPr="00925050">
              <w:rPr>
                <w:i/>
                <w:iCs/>
                <w:sz w:val="18"/>
                <w:szCs w:val="26"/>
                <w:rtl/>
              </w:rPr>
              <w:t>أحيط علماً بها</w:t>
            </w:r>
          </w:p>
        </w:tc>
        <w:tc>
          <w:tcPr>
            <w:tcW w:w="596" w:type="dxa"/>
            <w:shd w:val="clear" w:color="auto" w:fill="auto"/>
            <w:tcMar>
              <w:top w:w="43" w:type="dxa"/>
              <w:left w:w="72" w:type="dxa"/>
              <w:bottom w:w="43" w:type="dxa"/>
              <w:right w:w="43" w:type="dxa"/>
            </w:tcMar>
            <w:vAlign w:val="bottom"/>
          </w:tcPr>
          <w:p w:rsidR="00884CCB" w:rsidRPr="00925050" w:rsidRDefault="00884CCB" w:rsidP="00E825B5">
            <w:pPr>
              <w:spacing w:before="60" w:after="60" w:line="300" w:lineRule="exact"/>
              <w:ind w:left="57" w:right="113"/>
              <w:textDirection w:val="tbRlV"/>
              <w:rPr>
                <w:i/>
                <w:sz w:val="18"/>
                <w:szCs w:val="26"/>
                <w:rtl/>
                <w:lang w:val="ar-SA" w:eastAsia="zh-TW"/>
              </w:rPr>
            </w:pPr>
            <w:r w:rsidRPr="00925050">
              <w:rPr>
                <w:i/>
                <w:iCs/>
                <w:sz w:val="18"/>
                <w:szCs w:val="26"/>
                <w:rtl/>
              </w:rPr>
              <w:t>نعم</w:t>
            </w:r>
          </w:p>
        </w:tc>
        <w:tc>
          <w:tcPr>
            <w:tcW w:w="590" w:type="dxa"/>
            <w:shd w:val="clear" w:color="auto" w:fill="auto"/>
            <w:tcMar>
              <w:top w:w="43" w:type="dxa"/>
              <w:left w:w="72" w:type="dxa"/>
              <w:bottom w:w="43" w:type="dxa"/>
              <w:right w:w="43" w:type="dxa"/>
            </w:tcMar>
            <w:vAlign w:val="bottom"/>
          </w:tcPr>
          <w:p w:rsidR="00884CCB" w:rsidRPr="00925050" w:rsidRDefault="00884CCB" w:rsidP="00E825B5">
            <w:pPr>
              <w:spacing w:before="60" w:after="60" w:line="300" w:lineRule="exact"/>
              <w:ind w:left="57" w:right="113"/>
              <w:textDirection w:val="tbRlV"/>
              <w:rPr>
                <w:i/>
                <w:sz w:val="18"/>
                <w:szCs w:val="26"/>
                <w:rtl/>
                <w:lang w:val="ar-SA" w:eastAsia="zh-TW"/>
              </w:rPr>
            </w:pPr>
            <w:r w:rsidRPr="00925050">
              <w:rPr>
                <w:i/>
                <w:iCs/>
                <w:sz w:val="18"/>
                <w:szCs w:val="26"/>
                <w:rtl/>
              </w:rPr>
              <w:t>لا</w:t>
            </w:r>
          </w:p>
        </w:tc>
        <w:tc>
          <w:tcPr>
            <w:tcW w:w="3473" w:type="dxa"/>
            <w:gridSpan w:val="2"/>
            <w:shd w:val="clear" w:color="auto" w:fill="auto"/>
            <w:tcMar>
              <w:top w:w="43" w:type="dxa"/>
              <w:left w:w="72" w:type="dxa"/>
              <w:bottom w:w="43" w:type="dxa"/>
              <w:right w:w="43" w:type="dxa"/>
            </w:tcMar>
            <w:vAlign w:val="bottom"/>
          </w:tcPr>
          <w:p w:rsidR="00884CCB" w:rsidRPr="00925050" w:rsidRDefault="00884CCB" w:rsidP="00E825B5">
            <w:pPr>
              <w:spacing w:before="60" w:after="60" w:line="300" w:lineRule="exact"/>
              <w:ind w:left="57" w:right="113"/>
              <w:textDirection w:val="tbRlV"/>
              <w:rPr>
                <w:i/>
                <w:sz w:val="18"/>
                <w:szCs w:val="26"/>
                <w:rtl/>
                <w:lang w:val="ar-SA" w:eastAsia="zh-TW"/>
              </w:rPr>
            </w:pPr>
            <w:r w:rsidRPr="00925050">
              <w:rPr>
                <w:i/>
                <w:iCs/>
                <w:sz w:val="18"/>
                <w:szCs w:val="26"/>
                <w:rtl/>
              </w:rPr>
              <w:t>التعليقات (المشاكل</w:t>
            </w:r>
            <w:r w:rsidRPr="00925050">
              <w:rPr>
                <w:sz w:val="18"/>
                <w:szCs w:val="26"/>
                <w:rtl/>
              </w:rPr>
              <w:t>/الصعوبات)</w:t>
            </w:r>
          </w:p>
        </w:tc>
      </w:tr>
      <w:tr w:rsidR="00884CCB" w:rsidRPr="00925050" w:rsidTr="007D277E">
        <w:trPr>
          <w:cantSplit/>
        </w:trPr>
        <w:tc>
          <w:tcPr>
            <w:tcW w:w="8265" w:type="dxa"/>
            <w:gridSpan w:val="5"/>
            <w:shd w:val="clear" w:color="auto" w:fill="EEECE1" w:themeFill="background2"/>
            <w:tcMar>
              <w:top w:w="43" w:type="dxa"/>
              <w:left w:w="72" w:type="dxa"/>
              <w:bottom w:w="43" w:type="dxa"/>
              <w:right w:w="43" w:type="dxa"/>
            </w:tcMar>
          </w:tcPr>
          <w:p w:rsidR="00884CCB" w:rsidRPr="00925050" w:rsidRDefault="00884CCB" w:rsidP="00E825B5">
            <w:pPr>
              <w:spacing w:before="60" w:after="60" w:line="300" w:lineRule="exact"/>
              <w:ind w:right="113"/>
              <w:textDirection w:val="tbRlV"/>
              <w:rPr>
                <w:b/>
                <w:sz w:val="18"/>
                <w:szCs w:val="26"/>
                <w:rtl/>
                <w:lang w:val="ar-SA" w:eastAsia="zh-TW"/>
              </w:rPr>
            </w:pPr>
            <w:r w:rsidRPr="00925050">
              <w:rPr>
                <w:b/>
                <w:bCs/>
                <w:sz w:val="18"/>
                <w:szCs w:val="26"/>
                <w:rtl/>
              </w:rPr>
              <w:t>إجراءات الدخول</w:t>
            </w: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١-</w:t>
            </w:r>
            <w:r w:rsidR="00925050">
              <w:rPr>
                <w:sz w:val="18"/>
                <w:szCs w:val="26"/>
                <w:rtl/>
              </w:rPr>
              <w:tab/>
            </w:r>
            <w:r w:rsidRPr="00925050">
              <w:rPr>
                <w:sz w:val="18"/>
                <w:szCs w:val="26"/>
                <w:rtl/>
              </w:rPr>
              <w:t>إجراءات التفتيش الجسدي</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٢-</w:t>
            </w:r>
            <w:r w:rsidR="00925050">
              <w:rPr>
                <w:sz w:val="18"/>
                <w:szCs w:val="26"/>
                <w:rtl/>
              </w:rPr>
              <w:tab/>
            </w:r>
            <w:r w:rsidRPr="00925050">
              <w:rPr>
                <w:sz w:val="18"/>
                <w:szCs w:val="26"/>
                <w:rtl/>
              </w:rPr>
              <w:t>الفحص الطبي، بما في ذلك سجل الأدوية والفحص المادي واستعراض النظم الفسيولوجية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٣-</w:t>
            </w:r>
            <w:r w:rsidRPr="00925050">
              <w:rPr>
                <w:sz w:val="18"/>
                <w:szCs w:val="26"/>
                <w:rtl/>
              </w:rPr>
              <w:tab/>
              <w:t>توثيق جميع الإجراءات المنجزة عند الدخول</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٤-</w:t>
            </w:r>
            <w:r w:rsidR="00925050">
              <w:rPr>
                <w:sz w:val="18"/>
                <w:szCs w:val="26"/>
                <w:rtl/>
              </w:rPr>
              <w:tab/>
            </w:r>
            <w:r w:rsidRPr="00925050">
              <w:rPr>
                <w:sz w:val="18"/>
                <w:szCs w:val="26"/>
                <w:rtl/>
              </w:rPr>
              <w:t>الحصول على خدمات الرعاية الصحية (الخدمات الطبية وخدمات طب الأسنان والصحة العقلية) دون تمييز من أي نوع</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7D277E" w:rsidRDefault="00884CCB" w:rsidP="00E825B5">
            <w:pPr>
              <w:tabs>
                <w:tab w:val="left" w:pos="427"/>
              </w:tabs>
              <w:spacing w:before="60" w:after="60" w:line="300" w:lineRule="exact"/>
              <w:ind w:right="113"/>
              <w:textDirection w:val="tbRlV"/>
              <w:rPr>
                <w:spacing w:val="-4"/>
                <w:sz w:val="18"/>
                <w:szCs w:val="26"/>
                <w:rtl/>
                <w:lang w:val="ar-SA" w:eastAsia="zh-TW"/>
              </w:rPr>
            </w:pPr>
            <w:r w:rsidRPr="007D277E">
              <w:rPr>
                <w:spacing w:val="-4"/>
                <w:sz w:val="18"/>
                <w:szCs w:val="26"/>
                <w:rtl/>
              </w:rPr>
              <w:t>٥-</w:t>
            </w:r>
            <w:r w:rsidR="00925050" w:rsidRPr="007D277E">
              <w:rPr>
                <w:spacing w:val="-4"/>
                <w:sz w:val="18"/>
                <w:szCs w:val="26"/>
                <w:rtl/>
              </w:rPr>
              <w:tab/>
            </w:r>
            <w:r w:rsidRPr="007D277E">
              <w:rPr>
                <w:spacing w:val="-4"/>
                <w:sz w:val="18"/>
                <w:szCs w:val="26"/>
                <w:rtl/>
              </w:rPr>
              <w:t>المعلومات المقدمة إلى المحتجزين، فيما يتعلق بحقوقهم أو بنظام السجون مثلا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8265" w:type="dxa"/>
            <w:gridSpan w:val="5"/>
            <w:shd w:val="clear" w:color="auto" w:fill="EEECE1" w:themeFill="background2"/>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b/>
                <w:sz w:val="18"/>
                <w:szCs w:val="26"/>
                <w:rtl/>
                <w:lang w:val="ar-SA" w:eastAsia="zh-TW"/>
              </w:rPr>
            </w:pPr>
            <w:r w:rsidRPr="00925050">
              <w:rPr>
                <w:b/>
                <w:bCs/>
                <w:sz w:val="18"/>
                <w:szCs w:val="26"/>
                <w:rtl/>
              </w:rPr>
              <w:t>الملفات والسجلات</w:t>
            </w: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b/>
                <w:sz w:val="18"/>
                <w:szCs w:val="26"/>
                <w:rtl/>
                <w:lang w:val="ar-SA" w:eastAsia="zh-TW"/>
              </w:rPr>
            </w:pPr>
            <w:r w:rsidRPr="00925050">
              <w:rPr>
                <w:sz w:val="18"/>
                <w:szCs w:val="26"/>
                <w:rtl/>
              </w:rPr>
              <w:t>١-</w:t>
            </w:r>
            <w:r w:rsidR="00925050">
              <w:rPr>
                <w:sz w:val="18"/>
                <w:szCs w:val="26"/>
                <w:rtl/>
              </w:rPr>
              <w:tab/>
            </w:r>
            <w:r w:rsidRPr="00925050">
              <w:rPr>
                <w:sz w:val="18"/>
                <w:szCs w:val="26"/>
                <w:rtl/>
              </w:rPr>
              <w:t>نظام لإدارة ملفات السجناء</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b/>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٢-</w:t>
            </w:r>
            <w:r w:rsidR="00925050">
              <w:rPr>
                <w:sz w:val="18"/>
                <w:szCs w:val="26"/>
                <w:rtl/>
              </w:rPr>
              <w:tab/>
            </w:r>
            <w:r w:rsidRPr="00925050">
              <w:rPr>
                <w:sz w:val="18"/>
                <w:szCs w:val="26"/>
                <w:rtl/>
              </w:rPr>
              <w:t>اتساق البيانات العامة بين السجلات الإدارية والسجلات الطبية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bookmarkStart w:id="0" w:name="Check2"/>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bookmarkEnd w:id="0"/>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٣-</w:t>
            </w:r>
            <w:r w:rsidR="00925050">
              <w:rPr>
                <w:sz w:val="18"/>
                <w:szCs w:val="26"/>
                <w:rtl/>
              </w:rPr>
              <w:tab/>
            </w:r>
            <w:r w:rsidRPr="00925050">
              <w:rPr>
                <w:sz w:val="18"/>
                <w:szCs w:val="26"/>
                <w:rtl/>
              </w:rPr>
              <w:t>تسجيل المعلومات وا</w:t>
            </w:r>
            <w:bookmarkStart w:id="1" w:name="_GoBack"/>
            <w:bookmarkEnd w:id="1"/>
            <w:r w:rsidRPr="00925050">
              <w:rPr>
                <w:sz w:val="18"/>
                <w:szCs w:val="26"/>
                <w:rtl/>
              </w:rPr>
              <w:t>لمشاكل الطبية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٤-</w:t>
            </w:r>
            <w:r w:rsidR="00925050">
              <w:rPr>
                <w:sz w:val="18"/>
                <w:szCs w:val="26"/>
                <w:rtl/>
              </w:rPr>
              <w:tab/>
            </w:r>
            <w:r w:rsidRPr="00925050">
              <w:rPr>
                <w:sz w:val="18"/>
                <w:szCs w:val="26"/>
                <w:rtl/>
              </w:rPr>
              <w:t>توثيق الإصابات أو الشكاوى الطبية (بما في ذلك الشكاوى المتعلقة بالصحة العقلية والنفسية)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٥-</w:t>
            </w:r>
            <w:r w:rsidR="00925050">
              <w:rPr>
                <w:sz w:val="18"/>
                <w:szCs w:val="26"/>
                <w:rtl/>
              </w:rPr>
              <w:tab/>
            </w:r>
            <w:r w:rsidRPr="00925050">
              <w:rPr>
                <w:sz w:val="18"/>
                <w:szCs w:val="26"/>
                <w:rtl/>
              </w:rPr>
              <w:t>آليات الإبلاغ عن حالات التعذيب وإساءة المعاملة وتوثيقها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٦-</w:t>
            </w:r>
            <w:r w:rsidR="00925050">
              <w:rPr>
                <w:sz w:val="18"/>
                <w:szCs w:val="26"/>
                <w:rtl/>
              </w:rPr>
              <w:tab/>
            </w:r>
            <w:r w:rsidRPr="00925050">
              <w:rPr>
                <w:sz w:val="18"/>
                <w:szCs w:val="26"/>
                <w:rtl/>
              </w:rPr>
              <w:t>تجميع السجلات وتخزينها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8265" w:type="dxa"/>
            <w:gridSpan w:val="5"/>
            <w:shd w:val="clear" w:color="auto" w:fill="EEECE1" w:themeFill="background2"/>
            <w:tcMar>
              <w:top w:w="43" w:type="dxa"/>
              <w:left w:w="72" w:type="dxa"/>
              <w:bottom w:w="43" w:type="dxa"/>
              <w:right w:w="43" w:type="dxa"/>
            </w:tcMar>
          </w:tcPr>
          <w:p w:rsidR="00884CCB" w:rsidRPr="003813F6" w:rsidRDefault="00884CCB" w:rsidP="00E825B5">
            <w:pPr>
              <w:keepNext/>
              <w:tabs>
                <w:tab w:val="left" w:pos="427"/>
              </w:tabs>
              <w:spacing w:before="60" w:after="60" w:line="300" w:lineRule="exact"/>
              <w:ind w:right="113"/>
              <w:textDirection w:val="tbRlV"/>
              <w:rPr>
                <w:b/>
                <w:bCs/>
                <w:sz w:val="18"/>
                <w:szCs w:val="26"/>
                <w:rtl/>
                <w:lang w:val="ar-SA" w:eastAsia="zh-TW"/>
              </w:rPr>
            </w:pPr>
            <w:r w:rsidRPr="003813F6">
              <w:rPr>
                <w:b/>
                <w:bCs/>
                <w:sz w:val="18"/>
                <w:szCs w:val="26"/>
                <w:rtl/>
              </w:rPr>
              <w:t>خدمات الصحة العامة</w:t>
            </w: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keepNext/>
              <w:tabs>
                <w:tab w:val="left" w:pos="427"/>
              </w:tabs>
              <w:spacing w:before="60" w:after="60" w:line="300" w:lineRule="exact"/>
              <w:ind w:right="113"/>
              <w:textDirection w:val="tbRlV"/>
              <w:rPr>
                <w:b/>
                <w:sz w:val="18"/>
                <w:szCs w:val="26"/>
                <w:rtl/>
                <w:lang w:val="ar-SA" w:eastAsia="zh-TW"/>
              </w:rPr>
            </w:pPr>
            <w:r w:rsidRPr="00925050">
              <w:rPr>
                <w:sz w:val="18"/>
                <w:szCs w:val="26"/>
                <w:rtl/>
              </w:rPr>
              <w:t>١-</w:t>
            </w:r>
            <w:r w:rsidR="00925050">
              <w:rPr>
                <w:sz w:val="18"/>
                <w:szCs w:val="26"/>
                <w:rtl/>
              </w:rPr>
              <w:tab/>
            </w:r>
            <w:r w:rsidRPr="007D277E">
              <w:rPr>
                <w:spacing w:val="-4"/>
                <w:sz w:val="18"/>
                <w:szCs w:val="26"/>
                <w:rtl/>
              </w:rPr>
              <w:t>نظام تصنيف لتحديد وحماية احتياجات</w:t>
            </w:r>
            <w:r w:rsidRPr="00925050">
              <w:rPr>
                <w:sz w:val="18"/>
                <w:szCs w:val="26"/>
                <w:rtl/>
              </w:rPr>
              <w:t xml:space="preserve"> فئات معينة من الأفراد، مع مراعاة السن والثقافة ونوع الجنس والديانة</w:t>
            </w:r>
          </w:p>
        </w:tc>
        <w:tc>
          <w:tcPr>
            <w:tcW w:w="596" w:type="dxa"/>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٢-</w:t>
            </w:r>
            <w:r w:rsidR="00925050">
              <w:rPr>
                <w:sz w:val="18"/>
                <w:szCs w:val="26"/>
                <w:rtl/>
              </w:rPr>
              <w:tab/>
            </w:r>
            <w:r w:rsidRPr="00925050">
              <w:rPr>
                <w:sz w:val="18"/>
                <w:szCs w:val="26"/>
                <w:rtl/>
              </w:rPr>
              <w:t>استخدام أدوات تقييم المخاطر</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٣-</w:t>
            </w:r>
            <w:r w:rsidR="00925050">
              <w:rPr>
                <w:sz w:val="18"/>
                <w:szCs w:val="26"/>
                <w:rtl/>
              </w:rPr>
              <w:tab/>
            </w:r>
            <w:r w:rsidRPr="00925050">
              <w:rPr>
                <w:sz w:val="18"/>
                <w:szCs w:val="26"/>
                <w:rtl/>
              </w:rPr>
              <w:t>برامج لتلبية الاحتياجات الخاصة بمختلف الفئات وضمان المساواة في الحصول على الرعاية الصحية في حالات الأمراض العقلية، وتعاطي المخدرات، والأمراض المعدية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٤-</w:t>
            </w:r>
            <w:r w:rsidR="00925050">
              <w:rPr>
                <w:sz w:val="18"/>
                <w:szCs w:val="26"/>
                <w:rtl/>
              </w:rPr>
              <w:tab/>
            </w:r>
            <w:r w:rsidRPr="00925050">
              <w:rPr>
                <w:sz w:val="18"/>
                <w:szCs w:val="26"/>
                <w:rtl/>
              </w:rPr>
              <w:t>لوازم طب الأسنان واللوازم الطبية (المعدات والأدوية)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٥-</w:t>
            </w:r>
            <w:r w:rsidR="00925050">
              <w:rPr>
                <w:sz w:val="18"/>
                <w:szCs w:val="26"/>
                <w:rtl/>
              </w:rPr>
              <w:tab/>
            </w:r>
            <w:r w:rsidRPr="00925050">
              <w:rPr>
                <w:sz w:val="18"/>
                <w:szCs w:val="26"/>
                <w:rtl/>
              </w:rPr>
              <w:t>نظم للإحالة الطبية والإحالة إلى خدمات طب الأسنان</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٦-</w:t>
            </w:r>
            <w:r w:rsidR="00925050">
              <w:rPr>
                <w:sz w:val="18"/>
                <w:szCs w:val="26"/>
                <w:rtl/>
              </w:rPr>
              <w:tab/>
            </w:r>
            <w:r w:rsidRPr="00925050">
              <w:rPr>
                <w:sz w:val="18"/>
                <w:szCs w:val="26"/>
                <w:rtl/>
              </w:rPr>
              <w:t>ميزانية للخدمات الصحية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٧</w:t>
            </w:r>
            <w:r w:rsidR="00925050">
              <w:rPr>
                <w:sz w:val="18"/>
                <w:szCs w:val="26"/>
                <w:rtl/>
              </w:rPr>
              <w:t>-</w:t>
            </w:r>
            <w:r w:rsidR="00925050">
              <w:rPr>
                <w:sz w:val="18"/>
                <w:szCs w:val="26"/>
                <w:rtl/>
              </w:rPr>
              <w:tab/>
            </w:r>
            <w:r w:rsidRPr="00925050">
              <w:rPr>
                <w:sz w:val="18"/>
                <w:szCs w:val="26"/>
                <w:rtl/>
              </w:rPr>
              <w:t>تدخلات للوقاية و/أو العلاج في حالات الأمراض المنقولة جنسي</w:t>
            </w:r>
            <w:r w:rsidR="005960D8">
              <w:rPr>
                <w:sz w:val="18"/>
                <w:szCs w:val="26"/>
                <w:rtl/>
              </w:rPr>
              <w:t xml:space="preserve">اً </w:t>
            </w:r>
            <w:r w:rsidRPr="00925050">
              <w:rPr>
                <w:sz w:val="18"/>
                <w:szCs w:val="26"/>
                <w:rtl/>
              </w:rPr>
              <w:t xml:space="preserve">والأمراض المعدية والانتحار وإيذاء النفس وتعاطي المخدرات، </w:t>
            </w:r>
            <w:r w:rsidR="007D277E">
              <w:rPr>
                <w:rFonts w:hint="cs"/>
                <w:sz w:val="18"/>
                <w:szCs w:val="26"/>
                <w:rtl/>
              </w:rPr>
              <w:t>إ</w:t>
            </w:r>
            <w:r w:rsidRPr="00925050">
              <w:rPr>
                <w:sz w:val="18"/>
                <w:szCs w:val="26"/>
                <w:rtl/>
              </w:rPr>
              <w:t>لخ</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٨</w:t>
            </w:r>
            <w:r w:rsidR="00925050">
              <w:rPr>
                <w:sz w:val="18"/>
                <w:szCs w:val="26"/>
                <w:rtl/>
              </w:rPr>
              <w:t>-</w:t>
            </w:r>
            <w:r w:rsidR="00925050">
              <w:rPr>
                <w:sz w:val="18"/>
                <w:szCs w:val="26"/>
                <w:rtl/>
              </w:rPr>
              <w:tab/>
            </w:r>
            <w:r w:rsidRPr="00925050">
              <w:rPr>
                <w:sz w:val="18"/>
                <w:szCs w:val="26"/>
                <w:rtl/>
              </w:rPr>
              <w:t>برامج لإعادة التأهيل/إعادة الإدماج/إعادة التكييف الاجتماعي</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8265" w:type="dxa"/>
            <w:gridSpan w:val="5"/>
            <w:shd w:val="clear" w:color="auto" w:fill="EEECE1" w:themeFill="background2"/>
            <w:tcMar>
              <w:top w:w="43" w:type="dxa"/>
              <w:left w:w="72" w:type="dxa"/>
              <w:bottom w:w="43" w:type="dxa"/>
              <w:right w:w="43" w:type="dxa"/>
            </w:tcMar>
          </w:tcPr>
          <w:p w:rsidR="00884CCB" w:rsidRPr="003813F6" w:rsidRDefault="00884CCB" w:rsidP="00E825B5">
            <w:pPr>
              <w:tabs>
                <w:tab w:val="left" w:pos="427"/>
              </w:tabs>
              <w:spacing w:before="60" w:after="60" w:line="300" w:lineRule="exact"/>
              <w:ind w:right="113"/>
              <w:textDirection w:val="tbRlV"/>
              <w:rPr>
                <w:b/>
                <w:bCs/>
                <w:sz w:val="18"/>
                <w:szCs w:val="26"/>
                <w:rtl/>
                <w:lang w:val="ar-SA" w:eastAsia="zh-TW"/>
              </w:rPr>
            </w:pPr>
            <w:r w:rsidRPr="003813F6">
              <w:rPr>
                <w:b/>
                <w:bCs/>
                <w:sz w:val="18"/>
                <w:szCs w:val="26"/>
                <w:rtl/>
              </w:rPr>
              <w:t>خدمات الصحة العقلية</w:t>
            </w: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b/>
                <w:sz w:val="18"/>
                <w:szCs w:val="26"/>
                <w:rtl/>
                <w:lang w:val="ar-SA" w:eastAsia="zh-TW"/>
              </w:rPr>
            </w:pPr>
            <w:r w:rsidRPr="00925050">
              <w:rPr>
                <w:sz w:val="18"/>
                <w:szCs w:val="26"/>
                <w:rtl/>
              </w:rPr>
              <w:t>١</w:t>
            </w:r>
            <w:r w:rsidR="00925050">
              <w:rPr>
                <w:sz w:val="18"/>
                <w:szCs w:val="26"/>
                <w:rtl/>
              </w:rPr>
              <w:t>-</w:t>
            </w:r>
            <w:r w:rsidR="00925050">
              <w:rPr>
                <w:sz w:val="18"/>
                <w:szCs w:val="26"/>
                <w:rtl/>
              </w:rPr>
              <w:tab/>
            </w:r>
            <w:r w:rsidRPr="00925050">
              <w:rPr>
                <w:sz w:val="18"/>
                <w:szCs w:val="26"/>
                <w:rtl/>
              </w:rPr>
              <w:t>توافر مهنيين في ميدان الصحة العقلية</w:t>
            </w:r>
            <w:r w:rsidRPr="00925050">
              <w:rPr>
                <w:sz w:val="18"/>
                <w:szCs w:val="26"/>
              </w:rPr>
              <w:t>‬</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٢</w:t>
            </w:r>
            <w:r w:rsidR="00925050">
              <w:rPr>
                <w:sz w:val="18"/>
                <w:szCs w:val="26"/>
                <w:rtl/>
              </w:rPr>
              <w:t>-</w:t>
            </w:r>
            <w:r w:rsidR="00925050">
              <w:rPr>
                <w:sz w:val="18"/>
                <w:szCs w:val="26"/>
                <w:rtl/>
              </w:rPr>
              <w:tab/>
            </w:r>
            <w:r w:rsidRPr="007D277E">
              <w:rPr>
                <w:spacing w:val="-4"/>
                <w:sz w:val="18"/>
                <w:szCs w:val="26"/>
                <w:rtl/>
              </w:rPr>
              <w:t>تسجيل الشكاوى والعلامات والأعراض المتعلقة بالصحة العقلية والإجهاد النفسي</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٣</w:t>
            </w:r>
            <w:r w:rsidR="00925050">
              <w:rPr>
                <w:sz w:val="18"/>
                <w:szCs w:val="26"/>
                <w:rtl/>
              </w:rPr>
              <w:t>-</w:t>
            </w:r>
            <w:r w:rsidR="00925050">
              <w:rPr>
                <w:sz w:val="18"/>
                <w:szCs w:val="26"/>
                <w:rtl/>
              </w:rPr>
              <w:tab/>
            </w:r>
            <w:r w:rsidRPr="00925050">
              <w:rPr>
                <w:sz w:val="18"/>
                <w:szCs w:val="26"/>
                <w:rtl/>
              </w:rPr>
              <w:t>برامج وقائية لرعاية الصحة العقلية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٤</w:t>
            </w:r>
            <w:r w:rsidR="00925050">
              <w:rPr>
                <w:sz w:val="18"/>
                <w:szCs w:val="26"/>
                <w:rtl/>
              </w:rPr>
              <w:t>-</w:t>
            </w:r>
            <w:r w:rsidR="00925050">
              <w:rPr>
                <w:sz w:val="18"/>
                <w:szCs w:val="26"/>
                <w:rtl/>
              </w:rPr>
              <w:tab/>
            </w:r>
            <w:r w:rsidRPr="00925050">
              <w:rPr>
                <w:sz w:val="18"/>
                <w:szCs w:val="26"/>
                <w:rtl/>
              </w:rPr>
              <w:t>نوعية خدمات الصحة العقلية</w:t>
            </w:r>
            <w:r w:rsidRPr="00925050">
              <w:rPr>
                <w:sz w:val="18"/>
                <w:szCs w:val="26"/>
              </w:rPr>
              <w:t>‬</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8265" w:type="dxa"/>
            <w:gridSpan w:val="5"/>
            <w:shd w:val="clear" w:color="auto" w:fill="EEECE1" w:themeFill="background2"/>
            <w:tcMar>
              <w:top w:w="43" w:type="dxa"/>
              <w:left w:w="72" w:type="dxa"/>
              <w:bottom w:w="43" w:type="dxa"/>
              <w:right w:w="43" w:type="dxa"/>
            </w:tcMar>
          </w:tcPr>
          <w:p w:rsidR="00884CCB" w:rsidRPr="003813F6" w:rsidRDefault="00884CCB" w:rsidP="00E825B5">
            <w:pPr>
              <w:tabs>
                <w:tab w:val="left" w:pos="427"/>
              </w:tabs>
              <w:spacing w:before="60" w:after="60" w:line="300" w:lineRule="exact"/>
              <w:ind w:right="113"/>
              <w:textDirection w:val="tbRlV"/>
              <w:rPr>
                <w:b/>
                <w:bCs/>
                <w:sz w:val="18"/>
                <w:szCs w:val="26"/>
                <w:rtl/>
                <w:lang w:val="ar-SA" w:eastAsia="zh-TW"/>
              </w:rPr>
            </w:pPr>
            <w:r w:rsidRPr="003813F6">
              <w:rPr>
                <w:b/>
                <w:bCs/>
                <w:sz w:val="18"/>
                <w:szCs w:val="26"/>
                <w:rtl/>
              </w:rPr>
              <w:t>العاملون في ميدان الصحة</w:t>
            </w: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3813F6" w:rsidRDefault="00884CCB" w:rsidP="00E825B5">
            <w:pPr>
              <w:tabs>
                <w:tab w:val="left" w:pos="427"/>
              </w:tabs>
              <w:spacing w:before="60" w:after="60" w:line="300" w:lineRule="exact"/>
              <w:ind w:right="113"/>
              <w:contextualSpacing/>
              <w:textDirection w:val="tbRlV"/>
              <w:rPr>
                <w:rFonts w:eastAsia="Calibri"/>
                <w:b/>
                <w:bCs/>
                <w:sz w:val="18"/>
                <w:szCs w:val="26"/>
                <w:rtl/>
                <w:lang w:val="ar-SA" w:eastAsia="zh-TW"/>
              </w:rPr>
            </w:pPr>
            <w:r w:rsidRPr="003813F6">
              <w:rPr>
                <w:b/>
                <w:bCs/>
                <w:sz w:val="18"/>
                <w:szCs w:val="26"/>
                <w:rtl/>
              </w:rPr>
              <w:t>التدريب</w:t>
            </w:r>
          </w:p>
        </w:tc>
        <w:tc>
          <w:tcPr>
            <w:tcW w:w="4659" w:type="dxa"/>
            <w:gridSpan w:val="4"/>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١</w:t>
            </w:r>
            <w:r w:rsidR="00925050">
              <w:rPr>
                <w:sz w:val="18"/>
                <w:szCs w:val="26"/>
                <w:rtl/>
              </w:rPr>
              <w:t>-</w:t>
            </w:r>
            <w:r w:rsidR="00925050">
              <w:rPr>
                <w:sz w:val="18"/>
                <w:szCs w:val="26"/>
                <w:rtl/>
              </w:rPr>
              <w:tab/>
            </w:r>
            <w:r w:rsidRPr="00925050">
              <w:rPr>
                <w:sz w:val="18"/>
                <w:szCs w:val="26"/>
                <w:rtl/>
              </w:rPr>
              <w:t>توثيق حالات التعذيب</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contextualSpacing/>
              <w:textDirection w:val="tbRlV"/>
              <w:rPr>
                <w:rFonts w:eastAsia="Calibri"/>
                <w:sz w:val="18"/>
                <w:szCs w:val="26"/>
                <w:rtl/>
                <w:lang w:val="ar-SA" w:eastAsia="zh-TW"/>
              </w:rPr>
            </w:pPr>
            <w:r w:rsidRPr="00925050">
              <w:rPr>
                <w:sz w:val="18"/>
                <w:szCs w:val="26"/>
                <w:rtl/>
              </w:rPr>
              <w:t>٢</w:t>
            </w:r>
            <w:r w:rsidR="00925050">
              <w:rPr>
                <w:sz w:val="18"/>
                <w:szCs w:val="26"/>
                <w:rtl/>
              </w:rPr>
              <w:t>-</w:t>
            </w:r>
            <w:r w:rsidR="00925050">
              <w:rPr>
                <w:sz w:val="18"/>
                <w:szCs w:val="26"/>
                <w:rtl/>
              </w:rPr>
              <w:tab/>
            </w:r>
            <w:r w:rsidRPr="00925050">
              <w:rPr>
                <w:sz w:val="18"/>
                <w:szCs w:val="26"/>
                <w:rtl/>
              </w:rPr>
              <w:t>بروتوكول اسطنبول</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hint="cs"/>
                <w:sz w:val="18"/>
                <w:szCs w:val="26"/>
                <w:rtl/>
                <w:lang w:val="ar-SA" w:eastAsia="zh-TW"/>
              </w:rPr>
            </w:pPr>
            <w:r w:rsidRPr="00925050">
              <w:rPr>
                <w:sz w:val="18"/>
                <w:szCs w:val="26"/>
                <w:rtl/>
              </w:rPr>
              <w:t>٣</w:t>
            </w:r>
            <w:r w:rsidR="00925050">
              <w:rPr>
                <w:sz w:val="18"/>
                <w:szCs w:val="26"/>
                <w:rtl/>
              </w:rPr>
              <w:t>-</w:t>
            </w:r>
            <w:r w:rsidR="00925050">
              <w:rPr>
                <w:sz w:val="18"/>
                <w:szCs w:val="26"/>
                <w:rtl/>
              </w:rPr>
              <w:tab/>
            </w:r>
            <w:r w:rsidRPr="00925050">
              <w:rPr>
                <w:sz w:val="18"/>
                <w:szCs w:val="26"/>
                <w:rtl/>
              </w:rPr>
              <w:t>اتفاقية مناهضة التعذيب وغيره من ضروب المعاملة أو العقوبة القاسية أو اللاإنسانية أو المهينة وبروتوكولها الاختياري</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٤</w:t>
            </w:r>
            <w:r w:rsidR="00925050">
              <w:rPr>
                <w:sz w:val="18"/>
                <w:szCs w:val="26"/>
                <w:rtl/>
              </w:rPr>
              <w:t>-</w:t>
            </w:r>
            <w:r w:rsidR="00925050">
              <w:rPr>
                <w:sz w:val="18"/>
                <w:szCs w:val="26"/>
                <w:rtl/>
              </w:rPr>
              <w:tab/>
            </w:r>
            <w:r w:rsidRPr="00925050">
              <w:rPr>
                <w:sz w:val="18"/>
                <w:szCs w:val="26"/>
                <w:rtl/>
              </w:rPr>
              <w:t xml:space="preserve">المبادئ التوجيهية المتعلقة بمكافحة التخويف </w:t>
            </w:r>
            <w:r w:rsidRPr="007D277E">
              <w:rPr>
                <w:spacing w:val="-4"/>
                <w:sz w:val="18"/>
                <w:szCs w:val="26"/>
                <w:rtl/>
              </w:rPr>
              <w:t>أو الأعمال الانتقامية (مبادئ سان خوسيه التوجيهية)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٥</w:t>
            </w:r>
            <w:r w:rsidR="00925050">
              <w:rPr>
                <w:sz w:val="18"/>
                <w:szCs w:val="26"/>
                <w:rtl/>
              </w:rPr>
              <w:t>-</w:t>
            </w:r>
            <w:r w:rsidR="00925050">
              <w:rPr>
                <w:sz w:val="18"/>
                <w:szCs w:val="26"/>
                <w:rtl/>
              </w:rPr>
              <w:tab/>
            </w:r>
            <w:r w:rsidRPr="00925050">
              <w:rPr>
                <w:sz w:val="18"/>
                <w:szCs w:val="26"/>
                <w:rtl/>
              </w:rPr>
              <w:t>قواعد الأمم المتحدة النموذجية الدنيا لمعاملة السجناء (قواعد نيلسون مانديلا)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EEECE1" w:themeFill="background2"/>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b/>
                <w:bCs/>
                <w:sz w:val="18"/>
                <w:szCs w:val="26"/>
                <w:rtl/>
              </w:rPr>
              <w:t>الحساسية والأخلاقيات المهنية</w:t>
            </w:r>
          </w:p>
        </w:tc>
        <w:tc>
          <w:tcPr>
            <w:tcW w:w="4659" w:type="dxa"/>
            <w:gridSpan w:val="4"/>
            <w:shd w:val="clear" w:color="auto" w:fill="EEECE1" w:themeFill="background2"/>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b/>
                <w:sz w:val="18"/>
                <w:szCs w:val="26"/>
                <w:rtl/>
                <w:lang w:val="ar-SA" w:eastAsia="zh-TW"/>
              </w:rPr>
            </w:pPr>
            <w:r w:rsidRPr="00925050">
              <w:rPr>
                <w:sz w:val="18"/>
                <w:szCs w:val="26"/>
                <w:rtl/>
              </w:rPr>
              <w:t>١</w:t>
            </w:r>
            <w:r w:rsidR="00925050">
              <w:rPr>
                <w:sz w:val="18"/>
                <w:szCs w:val="26"/>
                <w:rtl/>
              </w:rPr>
              <w:t>-</w:t>
            </w:r>
            <w:r w:rsidR="00925050">
              <w:rPr>
                <w:sz w:val="18"/>
                <w:szCs w:val="26"/>
                <w:rtl/>
              </w:rPr>
              <w:tab/>
            </w:r>
            <w:r w:rsidRPr="007D277E">
              <w:rPr>
                <w:spacing w:val="-4"/>
                <w:sz w:val="18"/>
                <w:szCs w:val="26"/>
                <w:rtl/>
              </w:rPr>
              <w:t>مراعاة مختلف الجوانب العمرية والثقافية والدينية</w:t>
            </w:r>
            <w:r w:rsidRPr="00925050">
              <w:rPr>
                <w:sz w:val="18"/>
                <w:szCs w:val="26"/>
                <w:rtl/>
              </w:rPr>
              <w:t xml:space="preserve"> والجنسانية عند تقديم الخدمات الصحية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٢</w:t>
            </w:r>
            <w:r w:rsidR="00925050">
              <w:rPr>
                <w:sz w:val="18"/>
                <w:szCs w:val="26"/>
                <w:rtl/>
              </w:rPr>
              <w:t>-</w:t>
            </w:r>
            <w:r w:rsidR="00925050">
              <w:rPr>
                <w:sz w:val="18"/>
                <w:szCs w:val="26"/>
                <w:rtl/>
              </w:rPr>
              <w:tab/>
            </w:r>
            <w:r w:rsidRPr="00925050">
              <w:rPr>
                <w:sz w:val="18"/>
                <w:szCs w:val="26"/>
                <w:rtl/>
              </w:rPr>
              <w:t>توافر الدعم المؤسسي والتدريب والحماية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٣</w:t>
            </w:r>
            <w:r w:rsidR="00925050">
              <w:rPr>
                <w:sz w:val="18"/>
                <w:szCs w:val="26"/>
                <w:rtl/>
              </w:rPr>
              <w:t>-</w:t>
            </w:r>
            <w:r w:rsidR="00925050">
              <w:rPr>
                <w:sz w:val="18"/>
                <w:szCs w:val="26"/>
                <w:rtl/>
              </w:rPr>
              <w:tab/>
            </w:r>
            <w:r w:rsidRPr="00925050">
              <w:rPr>
                <w:sz w:val="18"/>
                <w:szCs w:val="26"/>
                <w:rtl/>
              </w:rPr>
              <w:t>الثقة في نظام إبلاغ السلطات بحالات التعذيب/إساءة المعاملة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٤</w:t>
            </w:r>
            <w:r w:rsidR="00925050">
              <w:rPr>
                <w:sz w:val="18"/>
                <w:szCs w:val="26"/>
                <w:rtl/>
              </w:rPr>
              <w:t>-</w:t>
            </w:r>
            <w:r w:rsidR="00925050">
              <w:rPr>
                <w:sz w:val="18"/>
                <w:szCs w:val="26"/>
                <w:rtl/>
              </w:rPr>
              <w:tab/>
            </w:r>
            <w:r w:rsidRPr="00925050">
              <w:rPr>
                <w:sz w:val="18"/>
                <w:szCs w:val="26"/>
                <w:rtl/>
              </w:rPr>
              <w:t>الاعتراف بالحواجز التي تعوق توثيق حالات التعذيب والإبلاغ عنها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EEECE1" w:themeFill="background2"/>
            <w:tcMar>
              <w:top w:w="43" w:type="dxa"/>
              <w:left w:w="72" w:type="dxa"/>
              <w:bottom w:w="43" w:type="dxa"/>
              <w:right w:w="43" w:type="dxa"/>
            </w:tcMar>
          </w:tcPr>
          <w:p w:rsidR="00884CCB" w:rsidRPr="003813F6" w:rsidRDefault="00884CCB" w:rsidP="00E825B5">
            <w:pPr>
              <w:tabs>
                <w:tab w:val="left" w:pos="427"/>
              </w:tabs>
              <w:spacing w:before="60" w:after="60" w:line="240" w:lineRule="exact"/>
              <w:ind w:right="113"/>
              <w:contextualSpacing/>
              <w:textDirection w:val="tbRlV"/>
              <w:rPr>
                <w:rFonts w:eastAsia="Calibri"/>
                <w:b/>
                <w:bCs/>
                <w:sz w:val="18"/>
                <w:szCs w:val="26"/>
                <w:rtl/>
                <w:lang w:val="ar-SA" w:eastAsia="zh-TW"/>
              </w:rPr>
            </w:pPr>
            <w:dir w:val="rtl">
              <w:r w:rsidRPr="003813F6">
                <w:rPr>
                  <w:b/>
                  <w:bCs/>
                  <w:sz w:val="18"/>
                  <w:szCs w:val="26"/>
                  <w:rtl/>
                </w:rPr>
                <w:t>الممارسة</w:t>
              </w:r>
              <w:r w:rsidRPr="003813F6">
                <w:rPr>
                  <w:b/>
                  <w:bCs/>
                  <w:sz w:val="18"/>
                  <w:szCs w:val="26"/>
                </w:rPr>
                <w:t>‬</w:t>
              </w:r>
              <w:r w:rsidRPr="003813F6">
                <w:rPr>
                  <w:b/>
                  <w:bCs/>
                  <w:sz w:val="18"/>
                  <w:szCs w:val="26"/>
                </w:rPr>
                <w:t>‬</w:t>
              </w:r>
            </w:dir>
          </w:p>
        </w:tc>
        <w:tc>
          <w:tcPr>
            <w:tcW w:w="4659" w:type="dxa"/>
            <w:gridSpan w:val="4"/>
            <w:shd w:val="clear" w:color="auto" w:fill="EEECE1" w:themeFill="background2"/>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contextualSpacing/>
              <w:textDirection w:val="tbRlV"/>
              <w:rPr>
                <w:rFonts w:eastAsia="Calibri"/>
                <w:sz w:val="18"/>
                <w:szCs w:val="26"/>
                <w:rtl/>
                <w:lang w:val="ar-SA" w:eastAsia="zh-TW"/>
              </w:rPr>
            </w:pPr>
            <w:r w:rsidRPr="00925050">
              <w:rPr>
                <w:sz w:val="18"/>
                <w:szCs w:val="26"/>
                <w:rtl/>
              </w:rPr>
              <w:t>١</w:t>
            </w:r>
            <w:r w:rsidR="00925050">
              <w:rPr>
                <w:sz w:val="18"/>
                <w:szCs w:val="26"/>
                <w:rtl/>
              </w:rPr>
              <w:t>-</w:t>
            </w:r>
            <w:r w:rsidR="00925050">
              <w:rPr>
                <w:sz w:val="18"/>
                <w:szCs w:val="26"/>
                <w:rtl/>
              </w:rPr>
              <w:tab/>
            </w:r>
            <w:r w:rsidRPr="00925050">
              <w:rPr>
                <w:sz w:val="18"/>
                <w:szCs w:val="26"/>
                <w:rtl/>
              </w:rPr>
              <w:t>الاعتماد على الذات والاستقلال</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73" w:type="dxa"/>
            <w:gridSpan w:val="2"/>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٢</w:t>
            </w:r>
            <w:r w:rsidR="00925050">
              <w:rPr>
                <w:sz w:val="18"/>
                <w:szCs w:val="26"/>
                <w:rtl/>
              </w:rPr>
              <w:t>-</w:t>
            </w:r>
            <w:r w:rsidR="00925050">
              <w:rPr>
                <w:sz w:val="18"/>
                <w:szCs w:val="26"/>
                <w:rtl/>
              </w:rPr>
              <w:tab/>
            </w:r>
            <w:r w:rsidRPr="00925050">
              <w:rPr>
                <w:sz w:val="18"/>
                <w:szCs w:val="26"/>
                <w:rtl/>
              </w:rPr>
              <w:t>استخدام بروتوكولات وإجراءات في حالات الحبس والعزل وتدابير تأديبية أخرى</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b/>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b/>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b/>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٣</w:t>
            </w:r>
            <w:r w:rsidR="00925050">
              <w:rPr>
                <w:sz w:val="18"/>
                <w:szCs w:val="26"/>
                <w:rtl/>
              </w:rPr>
              <w:t>-</w:t>
            </w:r>
            <w:r w:rsidR="00925050">
              <w:rPr>
                <w:sz w:val="18"/>
                <w:szCs w:val="26"/>
                <w:rtl/>
              </w:rPr>
              <w:tab/>
            </w:r>
            <w:r w:rsidRPr="007D277E">
              <w:rPr>
                <w:spacing w:val="-2"/>
                <w:sz w:val="18"/>
                <w:szCs w:val="26"/>
                <w:rtl/>
              </w:rPr>
              <w:t>استخدام بروتوكولات للإحالة والنقل إلى المرافق</w:t>
            </w:r>
            <w:r w:rsidRPr="00925050">
              <w:rPr>
                <w:sz w:val="18"/>
                <w:szCs w:val="26"/>
                <w:rtl/>
              </w:rPr>
              <w:t xml:space="preserve"> الطبية الخارجية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٤</w:t>
            </w:r>
            <w:r w:rsidR="00925050">
              <w:rPr>
                <w:sz w:val="18"/>
                <w:szCs w:val="26"/>
                <w:rtl/>
              </w:rPr>
              <w:t>-</w:t>
            </w:r>
            <w:r w:rsidR="00925050">
              <w:rPr>
                <w:sz w:val="18"/>
                <w:szCs w:val="26"/>
                <w:rtl/>
              </w:rPr>
              <w:tab/>
            </w:r>
            <w:r w:rsidRPr="00925050">
              <w:rPr>
                <w:sz w:val="18"/>
                <w:szCs w:val="26"/>
                <w:rtl/>
              </w:rPr>
              <w:t>الإبلاغ عن حالات التعذيب وإساءة المعاملة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2"/>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٥</w:t>
            </w:r>
            <w:r w:rsidR="00925050">
              <w:rPr>
                <w:sz w:val="18"/>
                <w:szCs w:val="26"/>
                <w:rtl/>
              </w:rPr>
              <w:t>-</w:t>
            </w:r>
            <w:r w:rsidR="00925050">
              <w:rPr>
                <w:sz w:val="18"/>
                <w:szCs w:val="26"/>
                <w:rtl/>
              </w:rPr>
              <w:tab/>
            </w:r>
            <w:r w:rsidRPr="00925050">
              <w:rPr>
                <w:sz w:val="18"/>
                <w:szCs w:val="26"/>
                <w:rtl/>
              </w:rPr>
              <w:t>وجود آليات لمكافحة الأعمال الانتقامية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٦</w:t>
            </w:r>
            <w:r w:rsidR="00925050">
              <w:rPr>
                <w:sz w:val="18"/>
                <w:szCs w:val="26"/>
                <w:rtl/>
              </w:rPr>
              <w:t>-</w:t>
            </w:r>
            <w:r w:rsidR="00925050">
              <w:rPr>
                <w:sz w:val="18"/>
                <w:szCs w:val="26"/>
                <w:rtl/>
              </w:rPr>
              <w:tab/>
            </w:r>
            <w:r w:rsidRPr="00925050">
              <w:rPr>
                <w:sz w:val="18"/>
                <w:szCs w:val="26"/>
                <w:rtl/>
              </w:rPr>
              <w:t xml:space="preserve">مشاركة العاملين في الميدان الطبي في تطبيق </w:t>
            </w:r>
            <w:r w:rsidRPr="007D277E">
              <w:rPr>
                <w:spacing w:val="-4"/>
                <w:sz w:val="18"/>
                <w:szCs w:val="26"/>
                <w:rtl/>
              </w:rPr>
              <w:t>و/أو رصد العزل والتقييد والإجراءات التأديبية الأخرى</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3"/>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٧</w:t>
            </w:r>
            <w:r w:rsidR="00925050">
              <w:rPr>
                <w:sz w:val="18"/>
                <w:szCs w:val="26"/>
                <w:rtl/>
              </w:rPr>
              <w:t>-</w:t>
            </w:r>
            <w:r w:rsidR="00925050">
              <w:rPr>
                <w:sz w:val="18"/>
                <w:szCs w:val="26"/>
                <w:rtl/>
              </w:rPr>
              <w:tab/>
            </w:r>
            <w:r w:rsidRPr="00925050">
              <w:rPr>
                <w:sz w:val="18"/>
                <w:szCs w:val="26"/>
                <w:rtl/>
              </w:rPr>
              <w:t>التقيد بقواعد نيلسون مانديلا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240" w:lineRule="exact"/>
              <w:ind w:right="113"/>
              <w:textDirection w:val="tbRlV"/>
              <w:rPr>
                <w:sz w:val="18"/>
                <w:szCs w:val="26"/>
                <w:rtl/>
                <w:lang w:val="ar-SA" w:eastAsia="zh-TW"/>
              </w:rPr>
            </w:pPr>
            <w:r w:rsidRPr="00925050">
              <w:rPr>
                <w:sz w:val="18"/>
                <w:szCs w:val="26"/>
                <w:rtl/>
              </w:rPr>
              <w:t>٨</w:t>
            </w:r>
            <w:r w:rsidR="00925050">
              <w:rPr>
                <w:sz w:val="18"/>
                <w:szCs w:val="26"/>
                <w:rtl/>
              </w:rPr>
              <w:t>-</w:t>
            </w:r>
            <w:r w:rsidR="00925050">
              <w:rPr>
                <w:sz w:val="18"/>
                <w:szCs w:val="26"/>
                <w:rtl/>
              </w:rPr>
              <w:tab/>
            </w:r>
            <w:r w:rsidRPr="00925050">
              <w:rPr>
                <w:sz w:val="18"/>
                <w:szCs w:val="26"/>
                <w:rtl/>
              </w:rPr>
              <w:t>استخدام بروتوكول اسطنبول لتوثيق حالات التعذيب</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24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٩</w:t>
            </w:r>
            <w:r w:rsidR="00925050">
              <w:rPr>
                <w:sz w:val="18"/>
                <w:szCs w:val="26"/>
                <w:rtl/>
              </w:rPr>
              <w:t>-</w:t>
            </w:r>
            <w:r w:rsidR="00925050">
              <w:rPr>
                <w:sz w:val="18"/>
                <w:szCs w:val="26"/>
                <w:rtl/>
              </w:rPr>
              <w:tab/>
            </w:r>
            <w:r w:rsidRPr="00925050">
              <w:rPr>
                <w:sz w:val="18"/>
                <w:szCs w:val="26"/>
                <w:rtl/>
              </w:rPr>
              <w:t>حضور الدورات التدريبية المتعلقة بتوثيق حالات التعذيب والإبلاغ عنها</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gridAfter w:val="1"/>
          <w:wAfter w:w="9" w:type="dxa"/>
          <w:cantSplit/>
        </w:trPr>
        <w:tc>
          <w:tcPr>
            <w:tcW w:w="8256" w:type="dxa"/>
            <w:gridSpan w:val="4"/>
            <w:shd w:val="clear" w:color="auto" w:fill="EEECE1" w:themeFill="background2"/>
            <w:tcMar>
              <w:top w:w="43" w:type="dxa"/>
              <w:left w:w="72" w:type="dxa"/>
              <w:bottom w:w="43" w:type="dxa"/>
              <w:right w:w="43" w:type="dxa"/>
            </w:tcMar>
          </w:tcPr>
          <w:p w:rsidR="00884CCB" w:rsidRPr="00925050" w:rsidRDefault="00884CCB" w:rsidP="00E825B5">
            <w:pPr>
              <w:keepNext/>
              <w:tabs>
                <w:tab w:val="left" w:pos="427"/>
              </w:tabs>
              <w:spacing w:before="60" w:after="60" w:line="300" w:lineRule="exact"/>
              <w:ind w:right="113"/>
              <w:textDirection w:val="tbRlV"/>
              <w:rPr>
                <w:sz w:val="18"/>
                <w:szCs w:val="26"/>
                <w:rtl/>
                <w:lang w:val="ar-SA" w:eastAsia="zh-TW"/>
              </w:rPr>
            </w:pPr>
            <w:r w:rsidRPr="00925050">
              <w:rPr>
                <w:b/>
                <w:bCs/>
                <w:sz w:val="18"/>
                <w:szCs w:val="26"/>
                <w:rtl/>
              </w:rPr>
              <w:t>البيئة الصحية في السجون</w:t>
            </w: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keepNext/>
              <w:tabs>
                <w:tab w:val="left" w:pos="427"/>
              </w:tabs>
              <w:spacing w:before="60" w:after="60" w:line="300" w:lineRule="exact"/>
              <w:ind w:right="113"/>
              <w:textDirection w:val="tbRlV"/>
              <w:rPr>
                <w:sz w:val="18"/>
                <w:szCs w:val="26"/>
                <w:rtl/>
                <w:lang w:val="ar-SA" w:eastAsia="zh-TW"/>
              </w:rPr>
            </w:pPr>
            <w:r w:rsidRPr="00925050">
              <w:rPr>
                <w:sz w:val="18"/>
                <w:szCs w:val="26"/>
                <w:rtl/>
              </w:rPr>
              <w:t>١</w:t>
            </w:r>
            <w:r w:rsidR="00925050">
              <w:rPr>
                <w:sz w:val="18"/>
                <w:szCs w:val="26"/>
                <w:rtl/>
              </w:rPr>
              <w:t>-</w:t>
            </w:r>
            <w:r w:rsidR="00925050">
              <w:rPr>
                <w:sz w:val="18"/>
                <w:szCs w:val="26"/>
                <w:rtl/>
              </w:rPr>
              <w:tab/>
            </w:r>
            <w:dir w:val="rtl">
              <w:r w:rsidRPr="00925050">
                <w:rPr>
                  <w:sz w:val="18"/>
                  <w:szCs w:val="26"/>
                  <w:rtl/>
                </w:rPr>
                <w:t>نوعية الأغذية وكميتها</w:t>
              </w:r>
              <w:r w:rsidRPr="00925050">
                <w:rPr>
                  <w:sz w:val="18"/>
                  <w:szCs w:val="26"/>
                </w:rPr>
                <w:t>‬</w:t>
              </w:r>
              <w:r w:rsidRPr="00925050">
                <w:rPr>
                  <w:sz w:val="18"/>
                  <w:szCs w:val="26"/>
                </w:rPr>
                <w:t>‬</w:t>
              </w:r>
            </w:dir>
          </w:p>
        </w:tc>
        <w:tc>
          <w:tcPr>
            <w:tcW w:w="596" w:type="dxa"/>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keepNext/>
              <w:spacing w:before="60" w:after="60" w:line="30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٢</w:t>
            </w:r>
            <w:r w:rsidR="00925050">
              <w:rPr>
                <w:sz w:val="18"/>
                <w:szCs w:val="26"/>
                <w:rtl/>
              </w:rPr>
              <w:t>-</w:t>
            </w:r>
            <w:r w:rsidR="00925050">
              <w:rPr>
                <w:sz w:val="18"/>
                <w:szCs w:val="26"/>
                <w:rtl/>
              </w:rPr>
              <w:tab/>
            </w:r>
            <w:r w:rsidRPr="00925050">
              <w:rPr>
                <w:sz w:val="18"/>
                <w:szCs w:val="26"/>
                <w:rtl/>
              </w:rPr>
              <w:t>سلامة المياه والنظافة العامة والتهوية ونور الشمس</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r w:rsidR="00884CCB" w:rsidRPr="00925050" w:rsidTr="007D277E">
        <w:trPr>
          <w:gridAfter w:val="1"/>
          <w:wAfter w:w="9" w:type="dxa"/>
          <w:cantSplit/>
        </w:trPr>
        <w:tc>
          <w:tcPr>
            <w:tcW w:w="3606" w:type="dxa"/>
            <w:shd w:val="clear" w:color="auto" w:fill="auto"/>
            <w:tcMar>
              <w:top w:w="43" w:type="dxa"/>
              <w:left w:w="72" w:type="dxa"/>
              <w:bottom w:w="43" w:type="dxa"/>
              <w:right w:w="43" w:type="dxa"/>
            </w:tcMar>
          </w:tcPr>
          <w:p w:rsidR="00884CCB" w:rsidRPr="00925050" w:rsidRDefault="00884CCB" w:rsidP="00E825B5">
            <w:pPr>
              <w:tabs>
                <w:tab w:val="left" w:pos="427"/>
              </w:tabs>
              <w:spacing w:before="60" w:after="60" w:line="300" w:lineRule="exact"/>
              <w:ind w:right="113"/>
              <w:textDirection w:val="tbRlV"/>
              <w:rPr>
                <w:sz w:val="18"/>
                <w:szCs w:val="26"/>
                <w:rtl/>
                <w:lang w:val="ar-SA" w:eastAsia="zh-TW"/>
              </w:rPr>
            </w:pPr>
            <w:r w:rsidRPr="00925050">
              <w:rPr>
                <w:sz w:val="18"/>
                <w:szCs w:val="26"/>
                <w:rtl/>
              </w:rPr>
              <w:t>٣</w:t>
            </w:r>
            <w:r w:rsidR="00925050">
              <w:rPr>
                <w:sz w:val="18"/>
                <w:szCs w:val="26"/>
                <w:rtl/>
              </w:rPr>
              <w:t>-</w:t>
            </w:r>
            <w:r w:rsidR="00925050">
              <w:rPr>
                <w:sz w:val="18"/>
                <w:szCs w:val="26"/>
                <w:rtl/>
              </w:rPr>
              <w:tab/>
            </w:r>
            <w:r w:rsidRPr="00925050">
              <w:rPr>
                <w:sz w:val="18"/>
                <w:szCs w:val="26"/>
                <w:rtl/>
              </w:rPr>
              <w:t>مرافق ترفيهية ورياضية</w:t>
            </w:r>
          </w:p>
        </w:tc>
        <w:tc>
          <w:tcPr>
            <w:tcW w:w="596"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590"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r w:rsidRPr="00925050">
              <w:rPr>
                <w:sz w:val="18"/>
                <w:szCs w:val="26"/>
              </w:rPr>
              <w:fldChar w:fldCharType="begin">
                <w:ffData>
                  <w:name w:val="Check1"/>
                  <w:enabled/>
                  <w:calcOnExit w:val="0"/>
                  <w:checkBox>
                    <w:sizeAuto/>
                    <w:default w:val="0"/>
                  </w:checkBox>
                </w:ffData>
              </w:fldChar>
            </w:r>
            <w:r w:rsidRPr="00925050">
              <w:rPr>
                <w:sz w:val="18"/>
                <w:szCs w:val="26"/>
              </w:rPr>
              <w:instrText xml:space="preserve"> FORMCHECKBOX </w:instrText>
            </w:r>
            <w:r w:rsidRPr="00925050">
              <w:rPr>
                <w:sz w:val="18"/>
                <w:szCs w:val="26"/>
              </w:rPr>
            </w:r>
            <w:r w:rsidRPr="00925050">
              <w:rPr>
                <w:sz w:val="18"/>
                <w:szCs w:val="26"/>
              </w:rPr>
              <w:fldChar w:fldCharType="separate"/>
            </w:r>
            <w:r w:rsidRPr="00925050">
              <w:rPr>
                <w:sz w:val="18"/>
                <w:szCs w:val="26"/>
              </w:rPr>
              <w:fldChar w:fldCharType="end"/>
            </w:r>
          </w:p>
        </w:tc>
        <w:tc>
          <w:tcPr>
            <w:tcW w:w="3464" w:type="dxa"/>
            <w:shd w:val="clear" w:color="auto" w:fill="auto"/>
            <w:tcMar>
              <w:top w:w="43" w:type="dxa"/>
              <w:left w:w="72" w:type="dxa"/>
              <w:bottom w:w="43" w:type="dxa"/>
              <w:right w:w="43" w:type="dxa"/>
            </w:tcMar>
          </w:tcPr>
          <w:p w:rsidR="00884CCB" w:rsidRPr="00925050" w:rsidRDefault="00884CCB" w:rsidP="00E825B5">
            <w:pPr>
              <w:spacing w:before="60" w:after="60" w:line="300" w:lineRule="exact"/>
              <w:ind w:right="113"/>
              <w:rPr>
                <w:sz w:val="18"/>
                <w:szCs w:val="26"/>
              </w:rPr>
            </w:pPr>
          </w:p>
        </w:tc>
      </w:tr>
    </w:tbl>
    <w:p w:rsidR="00761849" w:rsidRPr="00884CCB" w:rsidRDefault="00884CCB" w:rsidP="00884CCB">
      <w:pPr>
        <w:spacing w:before="120"/>
        <w:jc w:val="center"/>
        <w:rPr>
          <w:u w:val="single"/>
          <w:rtl/>
        </w:rPr>
      </w:pPr>
      <w:r>
        <w:rPr>
          <w:u w:val="single"/>
          <w:rtl/>
        </w:rPr>
        <w:tab/>
      </w:r>
      <w:r>
        <w:rPr>
          <w:u w:val="single"/>
          <w:rtl/>
        </w:rPr>
        <w:tab/>
      </w:r>
      <w:r>
        <w:rPr>
          <w:u w:val="single"/>
          <w:rtl/>
        </w:rPr>
        <w:tab/>
      </w:r>
    </w:p>
    <w:sectPr w:rsidR="00761849" w:rsidRPr="00884CCB" w:rsidSect="000946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050" w:rsidRPr="002901D9" w:rsidRDefault="00925050" w:rsidP="002901D9">
      <w:pPr>
        <w:spacing w:after="60" w:line="240" w:lineRule="auto"/>
        <w:rPr>
          <w:i/>
          <w:iCs/>
        </w:rPr>
      </w:pPr>
      <w:r>
        <w:rPr>
          <w:rFonts w:hint="cs"/>
          <w:i/>
          <w:iCs/>
          <w:rtl/>
        </w:rPr>
        <w:t>الحواشي</w:t>
      </w:r>
    </w:p>
  </w:endnote>
  <w:endnote w:type="continuationSeparator" w:id="0">
    <w:p w:rsidR="00925050" w:rsidRDefault="009250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50" w:rsidRPr="00712050" w:rsidRDefault="00925050" w:rsidP="00712050">
    <w:pPr>
      <w:pStyle w:val="Footer"/>
      <w:tabs>
        <w:tab w:val="right" w:pos="9598"/>
      </w:tabs>
      <w:rPr>
        <w:sz w:val="17"/>
      </w:rPr>
    </w:pPr>
    <w:r>
      <w:rPr>
        <w:sz w:val="17"/>
      </w:rPr>
      <w:t>GE.19-08555</w:t>
    </w:r>
    <w:r>
      <w:rPr>
        <w:sz w:val="17"/>
      </w:rPr>
      <w:tab/>
    </w:r>
    <w:r w:rsidRPr="00712050">
      <w:rPr>
        <w:b/>
        <w:sz w:val="18"/>
      </w:rPr>
      <w:fldChar w:fldCharType="begin"/>
    </w:r>
    <w:r w:rsidRPr="00712050">
      <w:rPr>
        <w:b/>
        <w:sz w:val="18"/>
      </w:rPr>
      <w:instrText xml:space="preserve"> PAGE  \* MERGEFORMAT </w:instrText>
    </w:r>
    <w:r w:rsidRPr="00712050">
      <w:rPr>
        <w:b/>
        <w:sz w:val="18"/>
      </w:rPr>
      <w:fldChar w:fldCharType="separate"/>
    </w:r>
    <w:r>
      <w:rPr>
        <w:b/>
        <w:sz w:val="18"/>
      </w:rPr>
      <w:t>2</w:t>
    </w:r>
    <w:r w:rsidRPr="0071205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50" w:rsidRPr="00712050" w:rsidRDefault="00925050" w:rsidP="006959B0">
    <w:pPr>
      <w:pStyle w:val="Footer"/>
      <w:tabs>
        <w:tab w:val="right" w:pos="9599"/>
      </w:tabs>
      <w:jc w:val="left"/>
      <w:rPr>
        <w:b/>
        <w:sz w:val="18"/>
        <w:lang w:val="en-US"/>
      </w:rPr>
    </w:pPr>
    <w:r w:rsidRPr="00712050">
      <w:rPr>
        <w:b/>
        <w:sz w:val="18"/>
        <w:lang w:val="en-US"/>
      </w:rPr>
      <w:fldChar w:fldCharType="begin"/>
    </w:r>
    <w:r w:rsidRPr="00712050">
      <w:rPr>
        <w:b/>
        <w:sz w:val="18"/>
        <w:lang w:val="en-US"/>
      </w:rPr>
      <w:instrText xml:space="preserve"> PAGE  \* MERGEFORMAT </w:instrText>
    </w:r>
    <w:r w:rsidRPr="00712050">
      <w:rPr>
        <w:b/>
        <w:sz w:val="18"/>
        <w:lang w:val="en-US"/>
      </w:rPr>
      <w:fldChar w:fldCharType="separate"/>
    </w:r>
    <w:r w:rsidRPr="00712050">
      <w:rPr>
        <w:b/>
        <w:noProof/>
        <w:sz w:val="18"/>
        <w:lang w:val="en-US"/>
      </w:rPr>
      <w:t>3</w:t>
    </w:r>
    <w:r w:rsidRPr="00712050">
      <w:rPr>
        <w:b/>
        <w:sz w:val="18"/>
        <w:lang w:val="en-US"/>
      </w:rPr>
      <w:fldChar w:fldCharType="end"/>
    </w:r>
    <w:r>
      <w:rPr>
        <w:b/>
        <w:sz w:val="18"/>
        <w:lang w:val="en-US"/>
      </w:rPr>
      <w:tab/>
    </w:r>
    <w:r>
      <w:rPr>
        <w:sz w:val="17"/>
        <w:lang w:val="en-US"/>
      </w:rPr>
      <w:t>GE.19-08555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50" w:rsidRDefault="00925050" w:rsidP="005A3015">
    <w:pPr>
      <w:pStyle w:val="Footer"/>
      <w:spacing w:before="360"/>
      <w:jc w:val="right"/>
      <w:rPr>
        <w:sz w:val="20"/>
        <w:szCs w:val="20"/>
      </w:rPr>
    </w:pPr>
    <w:r>
      <w:rPr>
        <w:sz w:val="20"/>
        <w:szCs w:val="20"/>
      </w:rPr>
      <w:t>GE.19-08555</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25050" w:rsidRPr="00094664" w:rsidRDefault="00925050" w:rsidP="0009466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050" w:rsidRPr="004956DC" w:rsidRDefault="00925050" w:rsidP="00761849">
      <w:pPr>
        <w:pStyle w:val="Footer"/>
        <w:bidi/>
        <w:spacing w:after="80" w:line="200" w:lineRule="exact"/>
        <w:ind w:left="680"/>
      </w:pPr>
      <w:r>
        <w:rPr>
          <w:rtl/>
        </w:rPr>
        <w:t>__________</w:t>
      </w:r>
    </w:p>
  </w:footnote>
  <w:footnote w:type="continuationSeparator" w:id="0">
    <w:p w:rsidR="00925050" w:rsidRDefault="00925050" w:rsidP="00656392">
      <w:pPr>
        <w:spacing w:line="240" w:lineRule="auto"/>
      </w:pPr>
      <w:r>
        <w:continuationSeparator/>
      </w:r>
    </w:p>
  </w:footnote>
  <w:footnote w:id="1">
    <w:p w:rsidR="00925050" w:rsidRPr="00712050" w:rsidRDefault="00925050" w:rsidP="00081623">
      <w:pPr>
        <w:pStyle w:val="FootnoteText1"/>
        <w:spacing w:after="0" w:line="280" w:lineRule="exact"/>
        <w:rPr>
          <w:rFonts w:hint="cs"/>
          <w:rtl/>
        </w:rPr>
      </w:pPr>
      <w:r>
        <w:rPr>
          <w:rtl/>
        </w:rPr>
        <w:t>*</w:t>
      </w:r>
      <w:r>
        <w:rPr>
          <w:rtl/>
        </w:rPr>
        <w:tab/>
      </w:r>
      <w:r w:rsidRPr="00081623">
        <w:rPr>
          <w:rtl/>
        </w:rPr>
        <w:t>اعتمدتها اللجنة الفرعية في دورتها الثالثة والثلاثين (١٣</w:t>
      </w:r>
      <w:r w:rsidR="00A07BB7">
        <w:rPr>
          <w:rFonts w:hint="cs"/>
          <w:rtl/>
        </w:rPr>
        <w:t>-</w:t>
      </w:r>
      <w:r w:rsidRPr="00081623">
        <w:rPr>
          <w:rtl/>
        </w:rPr>
        <w:t>١٧ تشرين الثاني/نوفمبر ٢٠١٧)</w:t>
      </w:r>
      <w:r>
        <w:rPr>
          <w:rFonts w:hint="cs"/>
          <w:rtl/>
        </w:rPr>
        <w:t xml:space="preserve">. </w:t>
      </w:r>
    </w:p>
  </w:footnote>
  <w:footnote w:id="2">
    <w:p w:rsidR="00925050" w:rsidRPr="00081623" w:rsidRDefault="00925050" w:rsidP="00081623">
      <w:pPr>
        <w:pStyle w:val="FootnoteText1"/>
        <w:rPr>
          <w:rFonts w:hint="cs"/>
        </w:rPr>
      </w:pPr>
      <w:r w:rsidRPr="00081623">
        <w:rPr>
          <w:rtl/>
        </w:rPr>
        <w:t>(</w:t>
      </w:r>
      <w:r w:rsidRPr="00081623">
        <w:rPr>
          <w:rStyle w:val="FootnoteReference"/>
          <w:vertAlign w:val="baseline"/>
        </w:rPr>
        <w:footnoteRef/>
      </w:r>
      <w:r>
        <w:rPr>
          <w:sz w:val="26"/>
          <w:rtl/>
        </w:rPr>
        <w:t>)</w:t>
      </w:r>
      <w:r>
        <w:rPr>
          <w:sz w:val="26"/>
          <w:rtl/>
        </w:rPr>
        <w:tab/>
      </w:r>
      <w:r w:rsidRPr="00081623">
        <w:rPr>
          <w:sz w:val="26"/>
          <w:rtl/>
        </w:rPr>
        <w:t>بالاستناد إلى البروتوكول الاختياري لاتفاقية مناهضة التعذيب وغيره من ضروب المعاملة أو العقوبة القاسية أو</w:t>
      </w:r>
      <w:r>
        <w:rPr>
          <w:rFonts w:hint="cs"/>
          <w:sz w:val="26"/>
          <w:rtl/>
        </w:rPr>
        <w:t> </w:t>
      </w:r>
      <w:r w:rsidRPr="00081623">
        <w:rPr>
          <w:sz w:val="26"/>
          <w:rtl/>
        </w:rPr>
        <w:t>اللاإنسانية أو المهينة، وبروتوكول اسطنبول، وقواعد الأمم المتحدة النموذجية الدنيا لمعاملة السجناء (قواعد</w:t>
      </w:r>
      <w:r>
        <w:rPr>
          <w:rFonts w:hint="cs"/>
          <w:sz w:val="26"/>
          <w:rtl/>
        </w:rPr>
        <w:t> </w:t>
      </w:r>
      <w:r w:rsidRPr="00081623">
        <w:rPr>
          <w:sz w:val="26"/>
          <w:rtl/>
        </w:rPr>
        <w:t xml:space="preserve">نيلسون مانديلا).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50" w:rsidRPr="00712050" w:rsidRDefault="00925050" w:rsidP="00712050">
    <w:pPr>
      <w:pStyle w:val="Header"/>
      <w:jc w:val="right"/>
    </w:pPr>
    <w:r w:rsidRPr="00712050">
      <w:t>CAT/OP/7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50" w:rsidRPr="00712050" w:rsidRDefault="00925050" w:rsidP="00712050">
    <w:pPr>
      <w:pStyle w:val="Header"/>
      <w:jc w:val="left"/>
    </w:pPr>
    <w:r w:rsidRPr="00712050">
      <w:t>CAT/OP/7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23284"/>
    <w:rsid w:val="000076D5"/>
    <w:rsid w:val="00043663"/>
    <w:rsid w:val="000505CF"/>
    <w:rsid w:val="00081623"/>
    <w:rsid w:val="00094664"/>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13F6"/>
    <w:rsid w:val="00384DA7"/>
    <w:rsid w:val="003D1062"/>
    <w:rsid w:val="00420D7B"/>
    <w:rsid w:val="00450B21"/>
    <w:rsid w:val="00453B63"/>
    <w:rsid w:val="00455780"/>
    <w:rsid w:val="004956DC"/>
    <w:rsid w:val="004B0A1C"/>
    <w:rsid w:val="004D298E"/>
    <w:rsid w:val="00523284"/>
    <w:rsid w:val="00527FBB"/>
    <w:rsid w:val="0054472E"/>
    <w:rsid w:val="005662A9"/>
    <w:rsid w:val="005827D4"/>
    <w:rsid w:val="005960D8"/>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12050"/>
    <w:rsid w:val="00733704"/>
    <w:rsid w:val="00761849"/>
    <w:rsid w:val="0078071A"/>
    <w:rsid w:val="00796FA1"/>
    <w:rsid w:val="007D277E"/>
    <w:rsid w:val="00817373"/>
    <w:rsid w:val="00852A9A"/>
    <w:rsid w:val="00884CCB"/>
    <w:rsid w:val="00893A8A"/>
    <w:rsid w:val="008F49E1"/>
    <w:rsid w:val="0090370F"/>
    <w:rsid w:val="00925050"/>
    <w:rsid w:val="009269D2"/>
    <w:rsid w:val="00942135"/>
    <w:rsid w:val="009521B0"/>
    <w:rsid w:val="00981C12"/>
    <w:rsid w:val="009A7E9F"/>
    <w:rsid w:val="009E5018"/>
    <w:rsid w:val="00A07BB7"/>
    <w:rsid w:val="00A12B37"/>
    <w:rsid w:val="00A34EA8"/>
    <w:rsid w:val="00A67AF5"/>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825B5"/>
    <w:rsid w:val="00EC05A7"/>
    <w:rsid w:val="00EC4B6B"/>
    <w:rsid w:val="00EF1EE5"/>
    <w:rsid w:val="00EF393D"/>
    <w:rsid w:val="00F763B4"/>
    <w:rsid w:val="00F900C3"/>
    <w:rsid w:val="00FE2C25"/>
    <w:rsid w:val="00FE528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744B3"/>
  <w15:docId w15:val="{FAD8AE12-79A6-4A3F-A44B-BABC09A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081623"/>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33B6-F2D6-428B-A73D-42783A2F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CAT/OP/7</vt:lpstr>
    </vt:vector>
  </TitlesOfParts>
  <Company>DCM</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CAT/OP/7</dc:title>
  <dc:subject>GE.1908555</dc:subject>
  <dc:creator>Gamal MAHMOUD-A.BELFALAH</dc:creator>
  <cp:keywords>ODS No.1914736</cp:keywords>
  <dc:description>Distr.: General_x000d_
24 May 2019_x000d_
Original: English</dc:description>
  <cp:lastModifiedBy>Gamal Mohamed Abdelhamid Mahmoud</cp:lastModifiedBy>
  <cp:revision>2</cp:revision>
  <cp:lastPrinted>2019-06-24T07:59:00Z</cp:lastPrinted>
  <dcterms:created xsi:type="dcterms:W3CDTF">2019-06-24T08:03:00Z</dcterms:created>
  <dcterms:modified xsi:type="dcterms:W3CDTF">2019-06-24T08:03:00Z</dcterms:modified>
  <cp:category>Final</cp:category>
</cp:coreProperties>
</file>