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963"/>
        <w:gridCol w:w="3402"/>
      </w:tblGrid>
      <w:tr w:rsidR="007832A2" w:rsidRPr="007A5201" w:rsidTr="00452996">
        <w:trPr>
          <w:trHeight w:hRule="exact" w:val="851"/>
        </w:trPr>
        <w:tc>
          <w:tcPr>
            <w:tcW w:w="1274" w:type="dxa"/>
            <w:tcBorders>
              <w:bottom w:val="single" w:sz="4" w:space="0" w:color="auto"/>
            </w:tcBorders>
          </w:tcPr>
          <w:p w:rsidR="007832A2" w:rsidRPr="003E159A" w:rsidRDefault="007832A2" w:rsidP="00452996">
            <w:pPr>
              <w:pStyle w:val="H4GA"/>
              <w:bidi w:val="0"/>
            </w:pPr>
          </w:p>
        </w:tc>
        <w:tc>
          <w:tcPr>
            <w:tcW w:w="4963" w:type="dxa"/>
            <w:tcBorders>
              <w:bottom w:val="single" w:sz="4" w:space="0" w:color="auto"/>
            </w:tcBorders>
            <w:vAlign w:val="bottom"/>
          </w:tcPr>
          <w:p w:rsidR="007832A2" w:rsidRPr="007A5201" w:rsidRDefault="007832A2" w:rsidP="00452996">
            <w:pPr>
              <w:spacing w:after="80" w:line="480" w:lineRule="exact"/>
              <w:jc w:val="left"/>
              <w:rPr>
                <w:sz w:val="40"/>
                <w:szCs w:val="40"/>
                <w:rtl/>
              </w:rPr>
            </w:pPr>
            <w:r w:rsidRPr="007A5201">
              <w:rPr>
                <w:rFonts w:hint="cs"/>
                <w:sz w:val="40"/>
                <w:szCs w:val="40"/>
                <w:rtl/>
              </w:rPr>
              <w:t>الأمم المتحدة</w:t>
            </w:r>
          </w:p>
        </w:tc>
        <w:tc>
          <w:tcPr>
            <w:tcW w:w="3402" w:type="dxa"/>
            <w:tcBorders>
              <w:bottom w:val="single" w:sz="4" w:space="0" w:color="auto"/>
            </w:tcBorders>
            <w:vAlign w:val="bottom"/>
          </w:tcPr>
          <w:p w:rsidR="007832A2" w:rsidRPr="007A5201" w:rsidRDefault="007832A2" w:rsidP="00452996">
            <w:pPr>
              <w:bidi w:val="0"/>
              <w:spacing w:after="20"/>
              <w:jc w:val="left"/>
              <w:rPr>
                <w:szCs w:val="20"/>
              </w:rPr>
            </w:pPr>
            <w:r w:rsidRPr="007A5201">
              <w:rPr>
                <w:sz w:val="40"/>
                <w:szCs w:val="20"/>
              </w:rPr>
              <w:t>CAT</w:t>
            </w:r>
            <w:r w:rsidRPr="007A5201">
              <w:rPr>
                <w:szCs w:val="20"/>
              </w:rPr>
              <w:t>/C/61/D/614/2014</w:t>
            </w:r>
          </w:p>
        </w:tc>
      </w:tr>
      <w:tr w:rsidR="007832A2" w:rsidRPr="007A5201" w:rsidTr="00452996">
        <w:trPr>
          <w:trHeight w:hRule="exact" w:val="2835"/>
        </w:trPr>
        <w:tc>
          <w:tcPr>
            <w:tcW w:w="1274" w:type="dxa"/>
            <w:tcBorders>
              <w:top w:val="single" w:sz="4" w:space="0" w:color="auto"/>
              <w:bottom w:val="single" w:sz="12" w:space="0" w:color="auto"/>
            </w:tcBorders>
          </w:tcPr>
          <w:p w:rsidR="007832A2" w:rsidRPr="007A5201" w:rsidRDefault="007832A2" w:rsidP="00452996">
            <w:pPr>
              <w:jc w:val="center"/>
              <w:rPr>
                <w:sz w:val="56"/>
                <w:szCs w:val="56"/>
                <w:rtl/>
                <w:lang w:bidi="ar-DZ"/>
              </w:rPr>
            </w:pPr>
            <w:r w:rsidRPr="007A5201">
              <w:rPr>
                <w:noProof/>
                <w:sz w:val="56"/>
                <w:szCs w:val="56"/>
                <w:lang w:eastAsia="zh-CN"/>
              </w:rPr>
              <w:drawing>
                <wp:inline distT="0" distB="0" distL="0" distR="0" wp14:anchorId="69684094" wp14:editId="5F824CFF">
                  <wp:extent cx="630000" cy="612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963" w:type="dxa"/>
            <w:tcBorders>
              <w:top w:val="single" w:sz="4" w:space="0" w:color="auto"/>
              <w:bottom w:val="single" w:sz="12" w:space="0" w:color="auto"/>
            </w:tcBorders>
          </w:tcPr>
          <w:p w:rsidR="007832A2" w:rsidRPr="007A5201" w:rsidRDefault="007832A2" w:rsidP="00452996">
            <w:pPr>
              <w:spacing w:before="120" w:after="40" w:line="640" w:lineRule="exact"/>
              <w:jc w:val="left"/>
              <w:rPr>
                <w:b/>
                <w:bCs/>
                <w:sz w:val="56"/>
                <w:szCs w:val="56"/>
              </w:rPr>
            </w:pPr>
            <w:r w:rsidRPr="007A5201">
              <w:rPr>
                <w:rFonts w:hint="cs"/>
                <w:b/>
                <w:bCs/>
                <w:sz w:val="52"/>
                <w:szCs w:val="52"/>
                <w:rtl/>
              </w:rPr>
              <w:t>اتفاقية مناهضة التعذيب وغيره من ضروب المعاملة</w:t>
            </w:r>
            <w:r w:rsidR="00074000">
              <w:rPr>
                <w:rFonts w:hint="cs"/>
                <w:b/>
                <w:bCs/>
                <w:sz w:val="52"/>
                <w:szCs w:val="52"/>
                <w:rtl/>
              </w:rPr>
              <w:t xml:space="preserve"> أو </w:t>
            </w:r>
            <w:r w:rsidRPr="007A5201">
              <w:rPr>
                <w:rFonts w:hint="cs"/>
                <w:b/>
                <w:bCs/>
                <w:sz w:val="52"/>
                <w:szCs w:val="52"/>
                <w:rtl/>
              </w:rPr>
              <w:t>العقوبة القاسية</w:t>
            </w:r>
            <w:r w:rsidR="00074000">
              <w:rPr>
                <w:rFonts w:hint="cs"/>
                <w:b/>
                <w:bCs/>
                <w:sz w:val="52"/>
                <w:szCs w:val="52"/>
                <w:rtl/>
              </w:rPr>
              <w:t xml:space="preserve"> أو </w:t>
            </w:r>
            <w:r w:rsidRPr="007A5201">
              <w:rPr>
                <w:rFonts w:hint="cs"/>
                <w:b/>
                <w:bCs/>
                <w:sz w:val="52"/>
                <w:szCs w:val="52"/>
                <w:rtl/>
              </w:rPr>
              <w:t>اللاإنسانية</w:t>
            </w:r>
            <w:r w:rsidR="00074000">
              <w:rPr>
                <w:rFonts w:hint="cs"/>
                <w:b/>
                <w:bCs/>
                <w:sz w:val="52"/>
                <w:szCs w:val="52"/>
                <w:rtl/>
              </w:rPr>
              <w:t xml:space="preserve"> أو </w:t>
            </w:r>
            <w:r w:rsidRPr="007A5201">
              <w:rPr>
                <w:rFonts w:hint="cs"/>
                <w:b/>
                <w:bCs/>
                <w:sz w:val="52"/>
                <w:szCs w:val="52"/>
                <w:rtl/>
              </w:rPr>
              <w:t>المهينة</w:t>
            </w:r>
          </w:p>
        </w:tc>
        <w:tc>
          <w:tcPr>
            <w:tcW w:w="3402" w:type="dxa"/>
            <w:tcBorders>
              <w:top w:val="single" w:sz="4" w:space="0" w:color="auto"/>
              <w:bottom w:val="single" w:sz="12" w:space="0" w:color="auto"/>
            </w:tcBorders>
          </w:tcPr>
          <w:p w:rsidR="007832A2" w:rsidRPr="007A5201" w:rsidRDefault="007832A2" w:rsidP="00452996">
            <w:pPr>
              <w:bidi w:val="0"/>
              <w:spacing w:before="240"/>
              <w:jc w:val="left"/>
              <w:rPr>
                <w:szCs w:val="20"/>
              </w:rPr>
            </w:pPr>
            <w:r w:rsidRPr="007A5201">
              <w:rPr>
                <w:szCs w:val="20"/>
              </w:rPr>
              <w:t>Distr.: General</w:t>
            </w:r>
          </w:p>
          <w:p w:rsidR="007832A2" w:rsidRPr="007A5201" w:rsidRDefault="007832A2" w:rsidP="007832A2">
            <w:pPr>
              <w:bidi w:val="0"/>
              <w:jc w:val="left"/>
              <w:rPr>
                <w:szCs w:val="20"/>
              </w:rPr>
            </w:pPr>
            <w:r w:rsidRPr="007A5201">
              <w:rPr>
                <w:szCs w:val="20"/>
              </w:rPr>
              <w:t>25 September 2017</w:t>
            </w:r>
          </w:p>
          <w:p w:rsidR="007832A2" w:rsidRPr="007A5201" w:rsidRDefault="007832A2" w:rsidP="00452996">
            <w:pPr>
              <w:bidi w:val="0"/>
              <w:jc w:val="left"/>
              <w:rPr>
                <w:szCs w:val="20"/>
              </w:rPr>
            </w:pPr>
            <w:r w:rsidRPr="007A5201">
              <w:rPr>
                <w:szCs w:val="20"/>
              </w:rPr>
              <w:t>Arabic</w:t>
            </w:r>
          </w:p>
          <w:p w:rsidR="007832A2" w:rsidRPr="007A5201" w:rsidRDefault="007832A2" w:rsidP="007832A2">
            <w:pPr>
              <w:bidi w:val="0"/>
              <w:jc w:val="left"/>
              <w:rPr>
                <w:szCs w:val="20"/>
              </w:rPr>
            </w:pPr>
            <w:r w:rsidRPr="007A5201">
              <w:rPr>
                <w:szCs w:val="20"/>
              </w:rPr>
              <w:t>Original: English</w:t>
            </w:r>
          </w:p>
        </w:tc>
      </w:tr>
    </w:tbl>
    <w:p w:rsidR="007832A2" w:rsidRPr="007A5201" w:rsidRDefault="007832A2" w:rsidP="007832A2">
      <w:pPr>
        <w:pStyle w:val="SingleTxtGA"/>
        <w:spacing w:before="120" w:after="0"/>
        <w:ind w:left="0" w:right="4252"/>
        <w:jc w:val="left"/>
        <w:rPr>
          <w:b/>
          <w:bCs/>
          <w:sz w:val="26"/>
          <w:szCs w:val="36"/>
          <w:rtl/>
          <w:lang w:eastAsia="zh-TW" w:bidi="ar-DZ"/>
        </w:rPr>
      </w:pPr>
      <w:r w:rsidRPr="007A5201">
        <w:rPr>
          <w:b/>
          <w:bCs/>
          <w:sz w:val="26"/>
          <w:szCs w:val="36"/>
          <w:rtl/>
          <w:cs/>
          <w:lang w:eastAsia="zh-TW"/>
        </w:rPr>
        <w:t>لجنة مناهضة التعذيب</w:t>
      </w:r>
    </w:p>
    <w:p w:rsidR="007832A2" w:rsidRPr="007A5201" w:rsidRDefault="007832A2" w:rsidP="007832A2">
      <w:pPr>
        <w:pStyle w:val="HChGA"/>
        <w:rPr>
          <w:rtl/>
          <w:lang w:eastAsia="zh-TW"/>
        </w:rPr>
      </w:pPr>
      <w:r w:rsidRPr="007A5201">
        <w:rPr>
          <w:rtl/>
          <w:lang w:eastAsia="zh-TW"/>
        </w:rPr>
        <w:tab/>
      </w:r>
      <w:r w:rsidRPr="007A5201">
        <w:rPr>
          <w:rtl/>
          <w:lang w:eastAsia="zh-TW"/>
        </w:rPr>
        <w:tab/>
        <w:t xml:space="preserve">قرار اعتمدته اللجنة بموجب المادة 22 من الاتفاقية، بشأن البلاغ </w:t>
      </w:r>
      <w:r w:rsidR="00074000">
        <w:rPr>
          <w:rtl/>
          <w:lang w:eastAsia="zh-TW"/>
        </w:rPr>
        <w:t>رقم </w:t>
      </w:r>
      <w:r w:rsidRPr="007A5201">
        <w:rPr>
          <w:rtl/>
          <w:lang w:eastAsia="zh-TW"/>
        </w:rPr>
        <w:t>614/2014</w:t>
      </w:r>
      <w:r w:rsidRPr="007A5201">
        <w:rPr>
          <w:rStyle w:val="FootnoteReference"/>
          <w:sz w:val="20"/>
          <w:vertAlign w:val="baseline"/>
          <w:rtl/>
          <w:lang w:eastAsia="zh-TW"/>
        </w:rPr>
        <w:footnoteReference w:customMarkFollows="1" w:id="1"/>
        <w:t>*</w:t>
      </w:r>
      <w:r w:rsidRPr="007A5201">
        <w:rPr>
          <w:rStyle w:val="FootnoteReference"/>
          <w:rFonts w:hint="cs"/>
          <w:sz w:val="20"/>
          <w:vertAlign w:val="baseline"/>
          <w:rtl/>
          <w:lang w:eastAsia="zh-TW"/>
        </w:rPr>
        <w:t xml:space="preserve"> </w:t>
      </w:r>
      <w:r w:rsidRPr="007A5201">
        <w:rPr>
          <w:rStyle w:val="FootnoteReference"/>
          <w:b/>
          <w:sz w:val="20"/>
          <w:vertAlign w:val="baseline"/>
          <w:rtl/>
          <w:lang w:eastAsia="zh-TW"/>
        </w:rPr>
        <w:footnoteReference w:customMarkFollows="1" w:id="2"/>
        <w:t>**</w:t>
      </w:r>
      <w:r w:rsidRPr="007A5201">
        <w:rPr>
          <w:rStyle w:val="FootnoteReference"/>
          <w:rFonts w:hint="cs"/>
          <w:b/>
          <w:sz w:val="20"/>
          <w:vertAlign w:val="baseline"/>
          <w:rtl/>
          <w:lang w:eastAsia="zh-TW"/>
        </w:rPr>
        <w:t xml:space="preserve"> </w:t>
      </w:r>
      <w:r w:rsidRPr="007A5201">
        <w:rPr>
          <w:rStyle w:val="FootnoteReference"/>
          <w:sz w:val="20"/>
          <w:vertAlign w:val="baseline"/>
          <w:rtl/>
          <w:lang w:eastAsia="zh-TW"/>
        </w:rPr>
        <w:footnoteReference w:customMarkFollows="1" w:id="3"/>
        <w:t>***</w:t>
      </w:r>
    </w:p>
    <w:p w:rsidR="007832A2" w:rsidRPr="007A5201" w:rsidRDefault="007832A2" w:rsidP="007832A2">
      <w:pPr>
        <w:pStyle w:val="SingleTxtGA"/>
        <w:tabs>
          <w:tab w:val="clear" w:pos="1928"/>
          <w:tab w:val="clear" w:pos="2608"/>
          <w:tab w:val="clear" w:pos="3289"/>
          <w:tab w:val="clear" w:pos="3969"/>
          <w:tab w:val="clear" w:pos="4649"/>
          <w:tab w:val="clear" w:pos="5330"/>
        </w:tabs>
        <w:ind w:left="4649" w:hanging="2721"/>
        <w:rPr>
          <w:rtl/>
        </w:rPr>
      </w:pPr>
      <w:r w:rsidRPr="007A5201">
        <w:rPr>
          <w:i/>
          <w:iCs/>
          <w:rtl/>
        </w:rPr>
        <w:t>بلاغ مقدم:</w:t>
      </w:r>
      <w:r w:rsidRPr="007A5201">
        <w:rPr>
          <w:rtl/>
        </w:rPr>
        <w:tab/>
        <w:t xml:space="preserve">من </w:t>
      </w:r>
      <w:proofErr w:type="spellStart"/>
      <w:r w:rsidRPr="007A5201">
        <w:rPr>
          <w:rtl/>
        </w:rPr>
        <w:t>سوباكاران</w:t>
      </w:r>
      <w:proofErr w:type="spellEnd"/>
      <w:r w:rsidRPr="007A5201">
        <w:rPr>
          <w:rtl/>
        </w:rPr>
        <w:t xml:space="preserve"> ر.</w:t>
      </w:r>
      <w:r w:rsidRPr="007A5201">
        <w:rPr>
          <w:rFonts w:hint="cs"/>
          <w:rtl/>
        </w:rPr>
        <w:t xml:space="preserve"> </w:t>
      </w:r>
      <w:proofErr w:type="spellStart"/>
      <w:r w:rsidRPr="007A5201">
        <w:rPr>
          <w:rtl/>
        </w:rPr>
        <w:t>ثيرونياناسامبانثار</w:t>
      </w:r>
      <w:proofErr w:type="spellEnd"/>
      <w:r w:rsidRPr="007A5201">
        <w:rPr>
          <w:rFonts w:hint="cs"/>
          <w:rtl/>
        </w:rPr>
        <w:t xml:space="preserve"> </w:t>
      </w:r>
      <w:r w:rsidRPr="007A5201">
        <w:rPr>
          <w:rtl/>
        </w:rPr>
        <w:t>(يمثله محام، السيد روبرت جيمس دي فيري ماكاو)</w:t>
      </w:r>
    </w:p>
    <w:p w:rsidR="007832A2" w:rsidRPr="007A5201" w:rsidRDefault="007832A2" w:rsidP="007832A2">
      <w:pPr>
        <w:pStyle w:val="SingleTxtGA"/>
        <w:tabs>
          <w:tab w:val="clear" w:pos="1928"/>
          <w:tab w:val="clear" w:pos="2608"/>
          <w:tab w:val="clear" w:pos="3289"/>
          <w:tab w:val="clear" w:pos="3969"/>
          <w:tab w:val="clear" w:pos="4649"/>
          <w:tab w:val="clear" w:pos="5330"/>
        </w:tabs>
        <w:ind w:left="4649" w:hanging="2721"/>
        <w:rPr>
          <w:rtl/>
        </w:rPr>
      </w:pPr>
      <w:r w:rsidRPr="007A5201">
        <w:rPr>
          <w:i/>
          <w:iCs/>
          <w:rtl/>
        </w:rPr>
        <w:t>الشخص المدعى أنه ضحية</w:t>
      </w:r>
      <w:r w:rsidRPr="007A5201">
        <w:rPr>
          <w:rFonts w:hint="cs"/>
          <w:i/>
          <w:iCs/>
          <w:rtl/>
        </w:rPr>
        <w:t>:</w:t>
      </w:r>
      <w:r w:rsidRPr="007A5201">
        <w:rPr>
          <w:rFonts w:hint="cs"/>
          <w:rtl/>
        </w:rPr>
        <w:tab/>
      </w:r>
      <w:r w:rsidRPr="007A5201">
        <w:rPr>
          <w:rtl/>
        </w:rPr>
        <w:t>صاحب الشكوى</w:t>
      </w:r>
    </w:p>
    <w:p w:rsidR="007832A2" w:rsidRPr="007A5201" w:rsidRDefault="007832A2" w:rsidP="007832A2">
      <w:pPr>
        <w:pStyle w:val="SingleTxtGA"/>
        <w:tabs>
          <w:tab w:val="clear" w:pos="1928"/>
          <w:tab w:val="clear" w:pos="2608"/>
          <w:tab w:val="clear" w:pos="3289"/>
          <w:tab w:val="clear" w:pos="3969"/>
          <w:tab w:val="clear" w:pos="4649"/>
          <w:tab w:val="clear" w:pos="5330"/>
        </w:tabs>
        <w:ind w:left="4649" w:hanging="2721"/>
        <w:rPr>
          <w:rtl/>
        </w:rPr>
      </w:pPr>
      <w:r w:rsidRPr="007A5201">
        <w:rPr>
          <w:i/>
          <w:iCs/>
          <w:rtl/>
        </w:rPr>
        <w:t>الدولة الطرف:</w:t>
      </w:r>
      <w:r w:rsidRPr="007A5201">
        <w:rPr>
          <w:rtl/>
        </w:rPr>
        <w:tab/>
        <w:t>أستراليا</w:t>
      </w:r>
    </w:p>
    <w:p w:rsidR="007832A2" w:rsidRPr="007A5201" w:rsidRDefault="007832A2" w:rsidP="007832A2">
      <w:pPr>
        <w:pStyle w:val="SingleTxtGA"/>
        <w:tabs>
          <w:tab w:val="clear" w:pos="1928"/>
          <w:tab w:val="clear" w:pos="2608"/>
          <w:tab w:val="clear" w:pos="3289"/>
          <w:tab w:val="clear" w:pos="3969"/>
          <w:tab w:val="clear" w:pos="4649"/>
          <w:tab w:val="clear" w:pos="5330"/>
        </w:tabs>
        <w:ind w:left="4649" w:hanging="2721"/>
        <w:rPr>
          <w:rtl/>
        </w:rPr>
      </w:pPr>
      <w:r w:rsidRPr="007A5201">
        <w:rPr>
          <w:i/>
          <w:iCs/>
          <w:rtl/>
        </w:rPr>
        <w:t>تاريخ تقديم الشكوى:</w:t>
      </w:r>
      <w:r w:rsidRPr="007A5201">
        <w:rPr>
          <w:rtl/>
        </w:rPr>
        <w:tab/>
        <w:t>24 حزيران/</w:t>
      </w:r>
      <w:proofErr w:type="gramStart"/>
      <w:r w:rsidRPr="007A5201">
        <w:rPr>
          <w:rtl/>
        </w:rPr>
        <w:t>يونيه</w:t>
      </w:r>
      <w:proofErr w:type="gramEnd"/>
      <w:r w:rsidRPr="007A5201">
        <w:rPr>
          <w:rtl/>
        </w:rPr>
        <w:t xml:space="preserve"> 2014 (تاريخ تقديم الرسالة الأولى)</w:t>
      </w:r>
    </w:p>
    <w:p w:rsidR="007832A2" w:rsidRPr="007A5201" w:rsidRDefault="007832A2" w:rsidP="007832A2">
      <w:pPr>
        <w:pStyle w:val="SingleTxtGA"/>
        <w:tabs>
          <w:tab w:val="clear" w:pos="1928"/>
          <w:tab w:val="clear" w:pos="2608"/>
          <w:tab w:val="clear" w:pos="3289"/>
          <w:tab w:val="clear" w:pos="3969"/>
          <w:tab w:val="clear" w:pos="4649"/>
          <w:tab w:val="clear" w:pos="5330"/>
        </w:tabs>
        <w:ind w:left="4649" w:hanging="2721"/>
        <w:rPr>
          <w:rtl/>
        </w:rPr>
      </w:pPr>
      <w:r w:rsidRPr="007A5201">
        <w:rPr>
          <w:i/>
          <w:iCs/>
          <w:rtl/>
        </w:rPr>
        <w:t>تاريخ اعتماد هذا القرار:</w:t>
      </w:r>
      <w:r w:rsidRPr="007A5201">
        <w:rPr>
          <w:rtl/>
        </w:rPr>
        <w:tab/>
        <w:t>9 آب/أغسطس 2017</w:t>
      </w:r>
    </w:p>
    <w:p w:rsidR="007832A2" w:rsidRPr="007A5201" w:rsidRDefault="007832A2" w:rsidP="007832A2">
      <w:pPr>
        <w:pStyle w:val="SingleTxtGA"/>
        <w:tabs>
          <w:tab w:val="clear" w:pos="1928"/>
          <w:tab w:val="clear" w:pos="2608"/>
          <w:tab w:val="clear" w:pos="3289"/>
          <w:tab w:val="clear" w:pos="3969"/>
          <w:tab w:val="clear" w:pos="4649"/>
          <w:tab w:val="clear" w:pos="5330"/>
        </w:tabs>
        <w:ind w:left="4649" w:hanging="2721"/>
        <w:rPr>
          <w:rtl/>
        </w:rPr>
      </w:pPr>
      <w:r w:rsidRPr="007A5201">
        <w:rPr>
          <w:i/>
          <w:iCs/>
          <w:rtl/>
        </w:rPr>
        <w:t>الموضوع</w:t>
      </w:r>
      <w:r w:rsidRPr="007A5201">
        <w:rPr>
          <w:rFonts w:hint="cs"/>
          <w:i/>
          <w:iCs/>
          <w:rtl/>
        </w:rPr>
        <w:t>:</w:t>
      </w:r>
      <w:r w:rsidRPr="007A5201">
        <w:rPr>
          <w:rFonts w:hint="cs"/>
          <w:rtl/>
        </w:rPr>
        <w:tab/>
      </w:r>
      <w:r w:rsidRPr="007A5201">
        <w:rPr>
          <w:rtl/>
        </w:rPr>
        <w:t xml:space="preserve">ترحيل صاحب الشكوى من أستراليا إلى </w:t>
      </w:r>
      <w:r w:rsidR="00074000">
        <w:rPr>
          <w:rtl/>
        </w:rPr>
        <w:t>سري لانكا</w:t>
      </w:r>
    </w:p>
    <w:p w:rsidR="007832A2" w:rsidRPr="007A5201" w:rsidRDefault="007832A2" w:rsidP="007832A2">
      <w:pPr>
        <w:pStyle w:val="SingleTxtGA"/>
        <w:tabs>
          <w:tab w:val="clear" w:pos="1928"/>
          <w:tab w:val="clear" w:pos="2608"/>
          <w:tab w:val="clear" w:pos="3289"/>
          <w:tab w:val="clear" w:pos="3969"/>
          <w:tab w:val="clear" w:pos="4649"/>
          <w:tab w:val="clear" w:pos="5330"/>
        </w:tabs>
        <w:ind w:left="4649" w:hanging="2721"/>
        <w:rPr>
          <w:rtl/>
        </w:rPr>
      </w:pPr>
      <w:r w:rsidRPr="007A5201">
        <w:rPr>
          <w:i/>
          <w:iCs/>
          <w:rtl/>
        </w:rPr>
        <w:t>المسائل الإجرائية:</w:t>
      </w:r>
      <w:r w:rsidRPr="007A5201">
        <w:rPr>
          <w:rtl/>
        </w:rPr>
        <w:tab/>
        <w:t>المقبولية - ادعاءات واهية بشكل ظاهر</w:t>
      </w:r>
    </w:p>
    <w:p w:rsidR="007832A2" w:rsidRPr="007A5201" w:rsidRDefault="007832A2" w:rsidP="007832A2">
      <w:pPr>
        <w:pStyle w:val="SingleTxtGA"/>
        <w:tabs>
          <w:tab w:val="clear" w:pos="1928"/>
          <w:tab w:val="clear" w:pos="2608"/>
          <w:tab w:val="clear" w:pos="3289"/>
          <w:tab w:val="clear" w:pos="3969"/>
          <w:tab w:val="clear" w:pos="4649"/>
          <w:tab w:val="clear" w:pos="5330"/>
        </w:tabs>
        <w:ind w:left="4649" w:hanging="2721"/>
        <w:rPr>
          <w:rtl/>
        </w:rPr>
      </w:pPr>
      <w:r w:rsidRPr="007A5201">
        <w:rPr>
          <w:i/>
          <w:iCs/>
          <w:rtl/>
        </w:rPr>
        <w:t>المسائل الموضوعية:</w:t>
      </w:r>
      <w:r w:rsidRPr="007A5201">
        <w:rPr>
          <w:rtl/>
        </w:rPr>
        <w:tab/>
        <w:t>خطر التعرض للتعذيب في حالة الترحيل إلى البلد الأصلي (عدم الإعادة القسرية)</w:t>
      </w:r>
    </w:p>
    <w:p w:rsidR="007832A2" w:rsidRPr="007A5201" w:rsidRDefault="007832A2" w:rsidP="007832A2">
      <w:pPr>
        <w:pStyle w:val="SingleTxtGA"/>
        <w:tabs>
          <w:tab w:val="clear" w:pos="1928"/>
          <w:tab w:val="clear" w:pos="2608"/>
          <w:tab w:val="clear" w:pos="3289"/>
          <w:tab w:val="clear" w:pos="3969"/>
          <w:tab w:val="clear" w:pos="4649"/>
          <w:tab w:val="clear" w:pos="5330"/>
        </w:tabs>
        <w:ind w:left="4649" w:hanging="2721"/>
        <w:rPr>
          <w:rtl/>
        </w:rPr>
      </w:pPr>
      <w:r w:rsidRPr="007A5201">
        <w:rPr>
          <w:i/>
          <w:iCs/>
          <w:rtl/>
        </w:rPr>
        <w:t>مواد الاتفاقية:</w:t>
      </w:r>
      <w:r w:rsidRPr="007A5201">
        <w:rPr>
          <w:rtl/>
        </w:rPr>
        <w:tab/>
        <w:t>3 و22</w:t>
      </w:r>
    </w:p>
    <w:p w:rsidR="007832A2" w:rsidRPr="007A5201" w:rsidRDefault="007832A2" w:rsidP="007832A2">
      <w:pPr>
        <w:pStyle w:val="SingleTxtGA"/>
        <w:rPr>
          <w:rtl/>
        </w:rPr>
      </w:pPr>
      <w:r w:rsidRPr="007A5201">
        <w:rPr>
          <w:rtl/>
        </w:rPr>
        <w:t>1-1</w:t>
      </w:r>
      <w:r w:rsidRPr="007A5201">
        <w:rPr>
          <w:rtl/>
        </w:rPr>
        <w:tab/>
        <w:t xml:space="preserve">صاحب الشكوى هو </w:t>
      </w:r>
      <w:proofErr w:type="spellStart"/>
      <w:r w:rsidRPr="007A5201">
        <w:rPr>
          <w:rtl/>
        </w:rPr>
        <w:t>سوباكران</w:t>
      </w:r>
      <w:proofErr w:type="spellEnd"/>
      <w:r w:rsidRPr="007A5201">
        <w:rPr>
          <w:rtl/>
        </w:rPr>
        <w:t xml:space="preserve"> ر.</w:t>
      </w:r>
      <w:r w:rsidR="00726DEF" w:rsidRPr="007A5201">
        <w:rPr>
          <w:rFonts w:hint="cs"/>
          <w:rtl/>
        </w:rPr>
        <w:t> </w:t>
      </w:r>
      <w:proofErr w:type="spellStart"/>
      <w:r w:rsidRPr="007A5201">
        <w:rPr>
          <w:rtl/>
        </w:rPr>
        <w:t>ثيرونياناسامبانثار</w:t>
      </w:r>
      <w:proofErr w:type="spellEnd"/>
      <w:r w:rsidRPr="007A5201">
        <w:rPr>
          <w:rtl/>
        </w:rPr>
        <w:t xml:space="preserve">، مواطن من </w:t>
      </w:r>
      <w:r w:rsidR="00074000">
        <w:rPr>
          <w:rtl/>
        </w:rPr>
        <w:t>سري لانكا</w:t>
      </w:r>
      <w:r w:rsidRPr="007A5201">
        <w:rPr>
          <w:rtl/>
        </w:rPr>
        <w:t>، مولود في 28 تشرين الثاني/نوفمبر 1990. وقد طلب اللجوء في أستراليا ورُفض طلبه، وكان معرض</w:t>
      </w:r>
      <w:r w:rsidR="00F07E37" w:rsidRPr="007A5201">
        <w:rPr>
          <w:rtl/>
        </w:rPr>
        <w:t xml:space="preserve">اً </w:t>
      </w:r>
      <w:r w:rsidRPr="007A5201">
        <w:rPr>
          <w:rtl/>
        </w:rPr>
        <w:t xml:space="preserve">للإبعاد إلى </w:t>
      </w:r>
      <w:r w:rsidR="00074000">
        <w:rPr>
          <w:rtl/>
        </w:rPr>
        <w:t>سري لانكا</w:t>
      </w:r>
      <w:r w:rsidRPr="007A5201">
        <w:rPr>
          <w:rtl/>
        </w:rPr>
        <w:t xml:space="preserve"> قسراً. ويدعي أنه سيكون معرض</w:t>
      </w:r>
      <w:r w:rsidR="00F07E37" w:rsidRPr="007A5201">
        <w:rPr>
          <w:rtl/>
        </w:rPr>
        <w:t xml:space="preserve">اً </w:t>
      </w:r>
      <w:r w:rsidRPr="007A5201">
        <w:rPr>
          <w:rtl/>
        </w:rPr>
        <w:t>لخطر التعذيب في حالة إبعاده قسر</w:t>
      </w:r>
      <w:r w:rsidR="00F07E37" w:rsidRPr="007A5201">
        <w:rPr>
          <w:rtl/>
        </w:rPr>
        <w:t>اً،</w:t>
      </w:r>
      <w:r w:rsidRPr="007A5201">
        <w:rPr>
          <w:rtl/>
        </w:rPr>
        <w:t xml:space="preserve"> </w:t>
      </w:r>
      <w:r w:rsidRPr="007A5201">
        <w:rPr>
          <w:rtl/>
        </w:rPr>
        <w:lastRenderedPageBreak/>
        <w:t>وهو</w:t>
      </w:r>
      <w:r w:rsidR="00074000">
        <w:rPr>
          <w:rtl/>
        </w:rPr>
        <w:t xml:space="preserve"> ما </w:t>
      </w:r>
      <w:r w:rsidRPr="007A5201">
        <w:rPr>
          <w:rtl/>
        </w:rPr>
        <w:t>يشكل انتهاكاً لأحكام المادة 3 من اتفاقية مناهضة التعذيب وغيره من ضروب المعاملة</w:t>
      </w:r>
      <w:r w:rsidR="00074000">
        <w:rPr>
          <w:rtl/>
        </w:rPr>
        <w:t xml:space="preserve"> أو </w:t>
      </w:r>
      <w:r w:rsidRPr="007A5201">
        <w:rPr>
          <w:rtl/>
        </w:rPr>
        <w:t>العقوبة القاسية</w:t>
      </w:r>
      <w:r w:rsidR="00074000">
        <w:rPr>
          <w:rtl/>
        </w:rPr>
        <w:t xml:space="preserve"> أو </w:t>
      </w:r>
      <w:r w:rsidRPr="007A5201">
        <w:rPr>
          <w:rtl/>
        </w:rPr>
        <w:t>اللاإنسانية</w:t>
      </w:r>
      <w:r w:rsidR="00074000">
        <w:rPr>
          <w:rtl/>
        </w:rPr>
        <w:t xml:space="preserve"> أو </w:t>
      </w:r>
      <w:r w:rsidRPr="007A5201">
        <w:rPr>
          <w:rtl/>
        </w:rPr>
        <w:t>المهينة. وقد أصدرت أستراليا الإعلان المطلوب بموجب المادة 22 من الاتفاقية في 28 كانون الثاني/يناير 1993. ويمثل صاحب الشكوى محام، هو السيد روبرت جيمس دي فيري ماكاو.</w:t>
      </w:r>
    </w:p>
    <w:p w:rsidR="00AE43A7" w:rsidRPr="007A5201" w:rsidRDefault="007832A2" w:rsidP="007832A2">
      <w:pPr>
        <w:pStyle w:val="SingleTxtGA"/>
        <w:rPr>
          <w:rtl/>
        </w:rPr>
      </w:pPr>
      <w:r w:rsidRPr="007A5201">
        <w:rPr>
          <w:rtl/>
        </w:rPr>
        <w:t>1-2</w:t>
      </w:r>
      <w:r w:rsidRPr="007A5201">
        <w:rPr>
          <w:rtl/>
        </w:rPr>
        <w:tab/>
        <w:t>وفي 24 حزيران/</w:t>
      </w:r>
      <w:proofErr w:type="gramStart"/>
      <w:r w:rsidRPr="007A5201">
        <w:rPr>
          <w:rtl/>
        </w:rPr>
        <w:t>يونيه</w:t>
      </w:r>
      <w:proofErr w:type="gramEnd"/>
      <w:r w:rsidRPr="007A5201">
        <w:rPr>
          <w:rtl/>
        </w:rPr>
        <w:t xml:space="preserve"> 2014، طلبت اللجنة إلى الدولة الطرف، عن طريق مقررها المعني بالشكاوى الجديدة والتدابير المؤقتة، العدول عن إعادة صاحب الشكوى إلى </w:t>
      </w:r>
      <w:r w:rsidR="00074000">
        <w:rPr>
          <w:rtl/>
        </w:rPr>
        <w:t>سري لانكا</w:t>
      </w:r>
      <w:r w:rsidRPr="007A5201">
        <w:rPr>
          <w:rtl/>
        </w:rPr>
        <w:t xml:space="preserve"> ريثما تنظر اللجنة في شكواه.</w:t>
      </w:r>
      <w:r w:rsidR="00074000">
        <w:rPr>
          <w:rtl/>
        </w:rPr>
        <w:t xml:space="preserve"> وفي </w:t>
      </w:r>
      <w:r w:rsidRPr="007A5201">
        <w:rPr>
          <w:rtl/>
        </w:rPr>
        <w:t>26 حزيران/</w:t>
      </w:r>
      <w:proofErr w:type="gramStart"/>
      <w:r w:rsidRPr="007A5201">
        <w:rPr>
          <w:rtl/>
        </w:rPr>
        <w:t>يونيه</w:t>
      </w:r>
      <w:proofErr w:type="gramEnd"/>
      <w:r w:rsidRPr="007A5201">
        <w:rPr>
          <w:rtl/>
        </w:rPr>
        <w:t xml:space="preserve"> 2014، أخبرت الدولة الطرف اللجنة بأن توقيت الطلب المقدم من اللجنة لاتخاذ تدابير مؤقتة حال دون إطلاع السلطات المختصة في الحكومة الأسترالية على البلاغ في غضون فترة زمنية كافية لمنع مغادرة صاحب الشكوى، التي كانت مقررة في 25 حزيران/يونيه 2014. وأُجري تقييمٌ للبلاغ، الذي قدمه صاحب الشكوى إلى اللجنة، عندما كان موجود</w:t>
      </w:r>
      <w:r w:rsidR="00F07E37" w:rsidRPr="007A5201">
        <w:rPr>
          <w:rtl/>
        </w:rPr>
        <w:t xml:space="preserve">اً </w:t>
      </w:r>
      <w:r w:rsidRPr="007A5201">
        <w:rPr>
          <w:rtl/>
        </w:rPr>
        <w:t>في نقطة العبور، واستُنتج</w:t>
      </w:r>
      <w:r w:rsidRPr="007A5201">
        <w:rPr>
          <w:vertAlign w:val="superscript"/>
          <w:rtl/>
        </w:rPr>
        <w:t>(</w:t>
      </w:r>
      <w:r w:rsidRPr="007A5201">
        <w:rPr>
          <w:vertAlign w:val="superscript"/>
          <w:rtl/>
        </w:rPr>
        <w:footnoteReference w:id="4"/>
      </w:r>
      <w:r w:rsidRPr="007A5201">
        <w:rPr>
          <w:vertAlign w:val="superscript"/>
          <w:rtl/>
        </w:rPr>
        <w:t>)</w:t>
      </w:r>
      <w:r w:rsidRPr="007A5201">
        <w:rPr>
          <w:rtl/>
        </w:rPr>
        <w:t xml:space="preserve"> من هذا التقييم أن البلاغ يخلو من أي معلومات جديدة</w:t>
      </w:r>
      <w:r w:rsidR="00074000">
        <w:rPr>
          <w:rtl/>
        </w:rPr>
        <w:t xml:space="preserve"> لم </w:t>
      </w:r>
      <w:r w:rsidRPr="007A5201">
        <w:rPr>
          <w:rtl/>
        </w:rPr>
        <w:t>يُنظر فيها على نحو شامل في إطار الإجراءات المحلية</w:t>
      </w:r>
      <w:r w:rsidRPr="007A5201">
        <w:rPr>
          <w:vertAlign w:val="superscript"/>
          <w:rtl/>
        </w:rPr>
        <w:t>(</w:t>
      </w:r>
      <w:r w:rsidRPr="007A5201">
        <w:rPr>
          <w:vertAlign w:val="superscript"/>
          <w:rtl/>
        </w:rPr>
        <w:footnoteReference w:id="5"/>
      </w:r>
      <w:r w:rsidRPr="007A5201">
        <w:rPr>
          <w:vertAlign w:val="superscript"/>
          <w:rtl/>
        </w:rPr>
        <w:t>)</w:t>
      </w:r>
      <w:r w:rsidRPr="007A5201">
        <w:rPr>
          <w:rtl/>
        </w:rPr>
        <w:t xml:space="preserve">. فأبعد صاحب الشكوى إلى </w:t>
      </w:r>
      <w:r w:rsidR="00074000">
        <w:rPr>
          <w:rtl/>
        </w:rPr>
        <w:t>سري لانكا</w:t>
      </w:r>
      <w:r w:rsidRPr="007A5201">
        <w:rPr>
          <w:rtl/>
        </w:rPr>
        <w:t xml:space="preserve"> في 25 حزيران/</w:t>
      </w:r>
      <w:proofErr w:type="gramStart"/>
      <w:r w:rsidRPr="007A5201">
        <w:rPr>
          <w:rtl/>
        </w:rPr>
        <w:t>يونيه</w:t>
      </w:r>
      <w:proofErr w:type="gramEnd"/>
      <w:r w:rsidRPr="007A5201">
        <w:rPr>
          <w:rtl/>
        </w:rPr>
        <w:t xml:space="preserve"> 2014.</w:t>
      </w:r>
    </w:p>
    <w:p w:rsidR="007832A2" w:rsidRPr="007A5201" w:rsidRDefault="007832A2" w:rsidP="00BA7C2C">
      <w:pPr>
        <w:pStyle w:val="H23GA"/>
        <w:rPr>
          <w:rtl/>
        </w:rPr>
      </w:pPr>
      <w:r w:rsidRPr="007A5201">
        <w:rPr>
          <w:rtl/>
        </w:rPr>
        <w:tab/>
      </w:r>
      <w:r w:rsidRPr="007A5201">
        <w:rPr>
          <w:rtl/>
        </w:rPr>
        <w:tab/>
        <w:t>الوقائع</w:t>
      </w:r>
      <w:r w:rsidR="00074000">
        <w:rPr>
          <w:rtl/>
        </w:rPr>
        <w:t xml:space="preserve"> كما </w:t>
      </w:r>
      <w:r w:rsidRPr="007A5201">
        <w:rPr>
          <w:rtl/>
        </w:rPr>
        <w:t>عرضها صاحب الشكوى</w:t>
      </w:r>
    </w:p>
    <w:p w:rsidR="007832A2" w:rsidRPr="007A5201" w:rsidRDefault="007832A2" w:rsidP="00AE43A7">
      <w:pPr>
        <w:pStyle w:val="SingleTxtGA"/>
        <w:rPr>
          <w:rtl/>
        </w:rPr>
      </w:pPr>
      <w:r w:rsidRPr="007A5201">
        <w:rPr>
          <w:rtl/>
        </w:rPr>
        <w:t>2-1</w:t>
      </w:r>
      <w:r w:rsidRPr="007A5201">
        <w:rPr>
          <w:rtl/>
        </w:rPr>
        <w:tab/>
        <w:t>صاحب الشكوى هو مواطن سريلانكي من إثنية التاميل.</w:t>
      </w:r>
      <w:r w:rsidR="00074000">
        <w:rPr>
          <w:rtl/>
        </w:rPr>
        <w:t xml:space="preserve"> وفي عام </w:t>
      </w:r>
      <w:r w:rsidRPr="007A5201">
        <w:rPr>
          <w:rtl/>
        </w:rPr>
        <w:t>2005، ظهر في صور ومشاهد مصورة لقيامه بدور البطولة في عرض مسرحي قُدِّم في مدرسته بتنظيم من حركة نمور تحرير تاميل إيلام.</w:t>
      </w:r>
      <w:r w:rsidR="00074000">
        <w:rPr>
          <w:rtl/>
        </w:rPr>
        <w:t xml:space="preserve"> ولم </w:t>
      </w:r>
      <w:r w:rsidRPr="007A5201">
        <w:rPr>
          <w:rtl/>
        </w:rPr>
        <w:t>تكن لصاحب الشكوى أي صلة أخرى بالحركة.</w:t>
      </w:r>
    </w:p>
    <w:p w:rsidR="007832A2" w:rsidRPr="007A5201" w:rsidRDefault="007832A2" w:rsidP="00AE43A7">
      <w:pPr>
        <w:pStyle w:val="SingleTxtGA"/>
        <w:rPr>
          <w:rtl/>
        </w:rPr>
      </w:pPr>
      <w:r w:rsidRPr="007A5201">
        <w:rPr>
          <w:rtl/>
        </w:rPr>
        <w:t>2-2</w:t>
      </w:r>
      <w:r w:rsidRPr="007A5201">
        <w:rPr>
          <w:rtl/>
        </w:rPr>
        <w:tab/>
        <w:t>وفي مطلع</w:t>
      </w:r>
      <w:r w:rsidR="00074000">
        <w:rPr>
          <w:rtl/>
        </w:rPr>
        <w:t xml:space="preserve"> عام </w:t>
      </w:r>
      <w:r w:rsidRPr="007A5201">
        <w:rPr>
          <w:rtl/>
        </w:rPr>
        <w:t>2008، حضرت عصابة مسلحة مجهولة الهوية إلى بيته وطرحت عليه أسئلة بشأن الحركة. وكانوا أربعة رجال مسلحين وجهوا إليه الأسئلة عند بوابة منزله.</w:t>
      </w:r>
      <w:r w:rsidR="00074000">
        <w:rPr>
          <w:rtl/>
        </w:rPr>
        <w:t xml:space="preserve"> وفي </w:t>
      </w:r>
      <w:r w:rsidRPr="007A5201">
        <w:rPr>
          <w:rtl/>
        </w:rPr>
        <w:t>حزيران/</w:t>
      </w:r>
      <w:proofErr w:type="gramStart"/>
      <w:r w:rsidRPr="007A5201">
        <w:rPr>
          <w:rtl/>
        </w:rPr>
        <w:t>يونيه</w:t>
      </w:r>
      <w:proofErr w:type="gramEnd"/>
      <w:r w:rsidRPr="007A5201">
        <w:rPr>
          <w:rtl/>
        </w:rPr>
        <w:t xml:space="preserve"> 2008، حاول رجلان اختطاف صاحب الشكوى زاعميْن أنهما </w:t>
      </w:r>
      <w:proofErr w:type="spellStart"/>
      <w:r w:rsidRPr="007A5201">
        <w:rPr>
          <w:rtl/>
        </w:rPr>
        <w:t>يصطحبانه</w:t>
      </w:r>
      <w:proofErr w:type="spellEnd"/>
      <w:r w:rsidRPr="007A5201">
        <w:rPr>
          <w:rtl/>
        </w:rPr>
        <w:t xml:space="preserve"> لزيارة والده الجريح في المستشفى. وقد نجا بفضل تجمع التلاميذ والآباء حوله. وبعد هذا الحادث، انقطع صاحب الشكوى عن المدرسة وانتقل للعيش مع قريب له ولكنه</w:t>
      </w:r>
      <w:r w:rsidR="00074000">
        <w:rPr>
          <w:rtl/>
        </w:rPr>
        <w:t xml:space="preserve"> لم </w:t>
      </w:r>
      <w:r w:rsidRPr="007A5201">
        <w:rPr>
          <w:rtl/>
        </w:rPr>
        <w:t>يحدد المكان</w:t>
      </w:r>
      <w:r w:rsidRPr="007A5201">
        <w:rPr>
          <w:vertAlign w:val="superscript"/>
          <w:rtl/>
        </w:rPr>
        <w:t>(</w:t>
      </w:r>
      <w:r w:rsidRPr="007A5201">
        <w:rPr>
          <w:vertAlign w:val="superscript"/>
          <w:rtl/>
        </w:rPr>
        <w:footnoteReference w:id="6"/>
      </w:r>
      <w:r w:rsidRPr="007A5201">
        <w:rPr>
          <w:vertAlign w:val="superscript"/>
          <w:rtl/>
        </w:rPr>
        <w:t>)</w:t>
      </w:r>
      <w:r w:rsidRPr="007A5201">
        <w:rPr>
          <w:rtl/>
        </w:rPr>
        <w:t>. واعتبار</w:t>
      </w:r>
      <w:r w:rsidR="00F07E37" w:rsidRPr="007A5201">
        <w:rPr>
          <w:rtl/>
        </w:rPr>
        <w:t xml:space="preserve">اً </w:t>
      </w:r>
      <w:r w:rsidRPr="007A5201">
        <w:rPr>
          <w:rtl/>
        </w:rPr>
        <w:t>من تشرين الأول/أكتوبر 2009، اختبأ في كاتدرائية سانت ماري في جفنا بعد أن توالت زيارات العصابات المسلحة لأسرته بانتظام. وخلال تلك الفترة، زار الأسرةَ أفرادٌ من الجيش السريلانكي وعصابات شبه عسكرية على حد سواء. وعندما تراجعت وتيرة هذه الزيارات واشتاق إلى أسرته، عاد إلى المنزل في 5 كانون الثاني/يناير 2011 تقريب</w:t>
      </w:r>
      <w:r w:rsidR="00F07E37" w:rsidRPr="007A5201">
        <w:rPr>
          <w:rtl/>
        </w:rPr>
        <w:t>اً.</w:t>
      </w:r>
    </w:p>
    <w:p w:rsidR="007832A2" w:rsidRPr="007A5201" w:rsidRDefault="007832A2" w:rsidP="007832A2">
      <w:pPr>
        <w:pStyle w:val="SingleTxtGA"/>
        <w:rPr>
          <w:rtl/>
        </w:rPr>
      </w:pPr>
      <w:r w:rsidRPr="007A5201">
        <w:rPr>
          <w:rtl/>
        </w:rPr>
        <w:t>2-3</w:t>
      </w:r>
      <w:r w:rsidRPr="007A5201">
        <w:rPr>
          <w:rtl/>
        </w:rPr>
        <w:tab/>
        <w:t>وفي أيار/مايو 2011، حضر أفراد من الجيش السريلانكي إلى منزل صاحب الشكوى لتفتيشه وحاولوا اقتياد شقيقته، البالغة من العمر 16 عام</w:t>
      </w:r>
      <w:r w:rsidR="00F07E37" w:rsidRPr="007A5201">
        <w:rPr>
          <w:rtl/>
        </w:rPr>
        <w:t>اً،</w:t>
      </w:r>
      <w:r w:rsidRPr="007A5201">
        <w:rPr>
          <w:rtl/>
        </w:rPr>
        <w:t xml:space="preserve"> إلى غرفة أخرى رغم</w:t>
      </w:r>
      <w:r w:rsidR="00F07E37" w:rsidRPr="007A5201">
        <w:rPr>
          <w:rtl/>
        </w:rPr>
        <w:t xml:space="preserve">اً </w:t>
      </w:r>
      <w:r w:rsidRPr="007A5201">
        <w:rPr>
          <w:rtl/>
        </w:rPr>
        <w:t>عنها. وحاول صاحب الشكوى التدخل مستعين</w:t>
      </w:r>
      <w:r w:rsidR="00F07E37" w:rsidRPr="007A5201">
        <w:rPr>
          <w:rtl/>
        </w:rPr>
        <w:t xml:space="preserve">اً </w:t>
      </w:r>
      <w:r w:rsidRPr="007A5201">
        <w:rPr>
          <w:rtl/>
        </w:rPr>
        <w:t xml:space="preserve">بمضخة هواء لأنه شك في وجود نية لدى الجندي باغتصاب </w:t>
      </w:r>
      <w:r w:rsidRPr="007A5201">
        <w:rPr>
          <w:rtl/>
        </w:rPr>
        <w:lastRenderedPageBreak/>
        <w:t>شقيقته. فهجم بقية الجنود على صاحب الشكوى وانهالوا عليه ركل</w:t>
      </w:r>
      <w:r w:rsidR="00F07E37" w:rsidRPr="007A5201">
        <w:rPr>
          <w:rtl/>
        </w:rPr>
        <w:t xml:space="preserve">اً </w:t>
      </w:r>
      <w:r w:rsidRPr="007A5201">
        <w:rPr>
          <w:rtl/>
        </w:rPr>
        <w:t>وضرب</w:t>
      </w:r>
      <w:r w:rsidR="00F07E37" w:rsidRPr="007A5201">
        <w:rPr>
          <w:rtl/>
        </w:rPr>
        <w:t xml:space="preserve">اً </w:t>
      </w:r>
      <w:r w:rsidRPr="007A5201">
        <w:rPr>
          <w:rtl/>
        </w:rPr>
        <w:t>بمضخة الهواء وأعقاب بنادقهم.</w:t>
      </w:r>
    </w:p>
    <w:p w:rsidR="007832A2" w:rsidRPr="007A5201" w:rsidRDefault="007832A2" w:rsidP="00AE43A7">
      <w:pPr>
        <w:pStyle w:val="SingleTxtGA"/>
        <w:rPr>
          <w:rtl/>
        </w:rPr>
      </w:pPr>
      <w:r w:rsidRPr="007A5201">
        <w:rPr>
          <w:rtl/>
        </w:rPr>
        <w:t>2-4</w:t>
      </w:r>
      <w:r w:rsidRPr="007A5201">
        <w:rPr>
          <w:rtl/>
        </w:rPr>
        <w:tab/>
        <w:t>وفي حزيران/</w:t>
      </w:r>
      <w:proofErr w:type="gramStart"/>
      <w:r w:rsidRPr="007A5201">
        <w:rPr>
          <w:rtl/>
        </w:rPr>
        <w:t>يونيه</w:t>
      </w:r>
      <w:proofErr w:type="gramEnd"/>
      <w:r w:rsidRPr="007A5201">
        <w:rPr>
          <w:rtl/>
        </w:rPr>
        <w:t xml:space="preserve"> 2011، أقدمت مجموعة كبيرة من الرجال، كانوا يستقلون شاحنة بيضاء اللون، على اختطاف صاحب الشكوى عندما كان متوجه</w:t>
      </w:r>
      <w:r w:rsidR="00F07E37" w:rsidRPr="007A5201">
        <w:rPr>
          <w:rtl/>
        </w:rPr>
        <w:t xml:space="preserve">اً </w:t>
      </w:r>
      <w:r w:rsidRPr="007A5201">
        <w:rPr>
          <w:rtl/>
        </w:rPr>
        <w:t>إلى معبد محلي. وعصبت عيناه واقتيد إلى غرفة وك</w:t>
      </w:r>
      <w:r w:rsidR="00AE43A7" w:rsidRPr="007A5201">
        <w:rPr>
          <w:rFonts w:hint="cs"/>
          <w:rtl/>
        </w:rPr>
        <w:t>ي</w:t>
      </w:r>
      <w:r w:rsidRPr="007A5201">
        <w:rPr>
          <w:rtl/>
        </w:rPr>
        <w:t>ل هناك. ومرة أخرى، ديس بالأقدام وكيلت له الضربات،</w:t>
      </w:r>
      <w:r w:rsidR="00074000">
        <w:rPr>
          <w:rtl/>
        </w:rPr>
        <w:t xml:space="preserve"> بما </w:t>
      </w:r>
      <w:r w:rsidRPr="007A5201">
        <w:rPr>
          <w:rtl/>
        </w:rPr>
        <w:t>في ذلك على أعضائه التناسلية. وظل محتجز</w:t>
      </w:r>
      <w:r w:rsidR="00F07E37" w:rsidRPr="007A5201">
        <w:rPr>
          <w:rtl/>
        </w:rPr>
        <w:t xml:space="preserve">اً </w:t>
      </w:r>
      <w:r w:rsidRPr="007A5201">
        <w:rPr>
          <w:rtl/>
        </w:rPr>
        <w:t>لمدة ستة أيام إلى أن دفع والده رشوة من أجل الإفراج عنه. وخلال تلك الفترة، تعرض للاعتداء الجنسي على مدى ثلاثة أيام. وعلم صاحب الشكوى من الشخص الذي أخلَّى سبيله، وهو من أفراد العصابة، أنه سيقول للآخرين إنه لاذ بالفرار. ويقول صاحب الشكوى موضح</w:t>
      </w:r>
      <w:r w:rsidR="00F07E37" w:rsidRPr="007A5201">
        <w:rPr>
          <w:rtl/>
        </w:rPr>
        <w:t xml:space="preserve">اً </w:t>
      </w:r>
      <w:r w:rsidRPr="007A5201">
        <w:rPr>
          <w:rtl/>
        </w:rPr>
        <w:t>إن ذلك يعني أن العصابة ستحاول القبض عليه من جديد. وعلم من عضو العصابة أيض</w:t>
      </w:r>
      <w:r w:rsidR="00F07E37" w:rsidRPr="007A5201">
        <w:rPr>
          <w:rtl/>
        </w:rPr>
        <w:t xml:space="preserve">اً </w:t>
      </w:r>
      <w:r w:rsidRPr="007A5201">
        <w:rPr>
          <w:rtl/>
        </w:rPr>
        <w:t>أنه سيُقتل إذا ألقي القبض عليه مرة ثانية. ولذلك، قرر صاحب الشكوى العودة إلى كاتدرائية سانت ماري.</w:t>
      </w:r>
      <w:r w:rsidR="00074000">
        <w:rPr>
          <w:rtl/>
        </w:rPr>
        <w:t xml:space="preserve"> وفي </w:t>
      </w:r>
      <w:r w:rsidRPr="007A5201">
        <w:rPr>
          <w:rtl/>
        </w:rPr>
        <w:t xml:space="preserve">الفترة بين 15 و19 تموز/يوليه 2011، فر من </w:t>
      </w:r>
      <w:r w:rsidR="00074000">
        <w:rPr>
          <w:rtl/>
        </w:rPr>
        <w:t>سري لانكا</w:t>
      </w:r>
      <w:r w:rsidRPr="007A5201">
        <w:rPr>
          <w:rtl/>
        </w:rPr>
        <w:t xml:space="preserve"> إلى ماليزيا عن طريق الجو. وأثناء وجوده هناك توجه أفراد من الجيش السريلانكي وعصابات مسلحة إلى منزله في </w:t>
      </w:r>
      <w:r w:rsidR="00074000">
        <w:rPr>
          <w:rtl/>
        </w:rPr>
        <w:t>سري لانكا</w:t>
      </w:r>
      <w:r w:rsidRPr="007A5201">
        <w:rPr>
          <w:rtl/>
        </w:rPr>
        <w:t>، واستجوبوا شقيقه.</w:t>
      </w:r>
    </w:p>
    <w:p w:rsidR="007832A2" w:rsidRPr="007A5201" w:rsidRDefault="007832A2" w:rsidP="00EC4892">
      <w:pPr>
        <w:pStyle w:val="SingleTxtGA"/>
        <w:rPr>
          <w:rtl/>
        </w:rPr>
      </w:pPr>
      <w:r w:rsidRPr="007A5201">
        <w:rPr>
          <w:rtl/>
        </w:rPr>
        <w:t>2-5</w:t>
      </w:r>
      <w:r w:rsidRPr="007A5201">
        <w:rPr>
          <w:rtl/>
        </w:rPr>
        <w:tab/>
        <w:t>وفي 1 كانون الأول/ديسمبر 2011، وصل صاحب الشكوى إلى أستراليا.</w:t>
      </w:r>
      <w:r w:rsidR="00074000">
        <w:rPr>
          <w:rtl/>
        </w:rPr>
        <w:t xml:space="preserve"> وفي </w:t>
      </w:r>
      <w:r w:rsidRPr="007A5201">
        <w:rPr>
          <w:rtl/>
        </w:rPr>
        <w:t>21 كانون الثاني/يناير 2012، قدم طلب</w:t>
      </w:r>
      <w:r w:rsidR="00F07E37" w:rsidRPr="007A5201">
        <w:rPr>
          <w:rtl/>
        </w:rPr>
        <w:t xml:space="preserve">اً </w:t>
      </w:r>
      <w:r w:rsidRPr="007A5201">
        <w:rPr>
          <w:rtl/>
        </w:rPr>
        <w:t>لتقييم التزامات توفير الحماية.</w:t>
      </w:r>
      <w:r w:rsidR="00074000">
        <w:rPr>
          <w:rtl/>
        </w:rPr>
        <w:t xml:space="preserve"> وفي </w:t>
      </w:r>
      <w:r w:rsidRPr="007A5201">
        <w:rPr>
          <w:rtl/>
        </w:rPr>
        <w:t>6 آذار/مارس 2012، رفض مندوب عن وزارة الهجرة والجنسية طلب اللجوء المقدم من صاحب الشكوى.</w:t>
      </w:r>
      <w:r w:rsidR="00074000">
        <w:rPr>
          <w:rtl/>
        </w:rPr>
        <w:t xml:space="preserve"> وفي </w:t>
      </w:r>
      <w:r w:rsidRPr="007A5201">
        <w:rPr>
          <w:rtl/>
        </w:rPr>
        <w:t>14 آذار/مارس 2012، أحيل صاحب الشكوى على الجهة المخولة إجراء تقييم مستقل لطلب الحماية؛ ورفض الطلب في 27 أيلول/سبتمبر 2012 على أساس أن أستراليا ليست عليها التزامات تجاهه بتوفير الحماية. وخلص المكتب المستقل لتقييم طلبات الحماية إلى أن صاحب الشكوى</w:t>
      </w:r>
      <w:r w:rsidR="00074000">
        <w:rPr>
          <w:rtl/>
        </w:rPr>
        <w:t xml:space="preserve"> لا </w:t>
      </w:r>
      <w:r w:rsidRPr="007A5201">
        <w:rPr>
          <w:rtl/>
        </w:rPr>
        <w:t xml:space="preserve">يستوفي المعايير المطلوبة للحصول على تأشيرة الحماية (من فئة </w:t>
      </w:r>
      <w:r w:rsidRPr="007A5201">
        <w:t>XA</w:t>
      </w:r>
      <w:r w:rsidRPr="007A5201">
        <w:rPr>
          <w:rtl/>
        </w:rPr>
        <w:t>) المنصوص عليها في المادة 36(2) من قانون الهجرة</w:t>
      </w:r>
      <w:r w:rsidR="00074000">
        <w:rPr>
          <w:rtl/>
        </w:rPr>
        <w:t xml:space="preserve"> لعام </w:t>
      </w:r>
      <w:r w:rsidRPr="007A5201">
        <w:rPr>
          <w:rtl/>
        </w:rPr>
        <w:t>1958، وأيد المكتب الاستنتاج الذي توصلت إليه الهيئة الرئيسية المصدرة للقرار ومفاده أن صاحب الشكوى ليس لديه خوف مبرر من التعرض للاضطهاد بالمعنى المقصود في الاتفاقية الخاصة بوضع اللاجئين</w:t>
      </w:r>
      <w:r w:rsidR="00074000">
        <w:rPr>
          <w:rtl/>
        </w:rPr>
        <w:t xml:space="preserve"> لعام </w:t>
      </w:r>
      <w:r w:rsidRPr="007A5201">
        <w:rPr>
          <w:rtl/>
        </w:rPr>
        <w:t>1951</w:t>
      </w:r>
      <w:r w:rsidRPr="007A5201">
        <w:rPr>
          <w:vertAlign w:val="superscript"/>
          <w:rtl/>
        </w:rPr>
        <w:t>(</w:t>
      </w:r>
      <w:r w:rsidRPr="007A5201">
        <w:rPr>
          <w:vertAlign w:val="superscript"/>
          <w:rtl/>
        </w:rPr>
        <w:footnoteReference w:id="7"/>
      </w:r>
      <w:r w:rsidRPr="007A5201">
        <w:rPr>
          <w:vertAlign w:val="superscript"/>
          <w:rtl/>
        </w:rPr>
        <w:t>)</w:t>
      </w:r>
      <w:r w:rsidRPr="007A5201">
        <w:rPr>
          <w:rtl/>
        </w:rPr>
        <w:t>، وبالتالي ليست له صفة لاجئ،</w:t>
      </w:r>
      <w:r w:rsidR="00074000">
        <w:rPr>
          <w:rtl/>
        </w:rPr>
        <w:t xml:space="preserve"> ولا </w:t>
      </w:r>
      <w:r w:rsidRPr="007A5201">
        <w:rPr>
          <w:rtl/>
        </w:rPr>
        <w:t>يتمتع بالحماية التكميلية أيض</w:t>
      </w:r>
      <w:r w:rsidR="00F07E37" w:rsidRPr="007A5201">
        <w:rPr>
          <w:rtl/>
        </w:rPr>
        <w:t>اً.</w:t>
      </w:r>
    </w:p>
    <w:p w:rsidR="007832A2" w:rsidRPr="007A5201" w:rsidRDefault="007832A2" w:rsidP="007832A2">
      <w:pPr>
        <w:pStyle w:val="SingleTxtGA"/>
        <w:rPr>
          <w:rtl/>
        </w:rPr>
      </w:pPr>
      <w:r w:rsidRPr="007A5201">
        <w:rPr>
          <w:rtl/>
        </w:rPr>
        <w:t>2-6</w:t>
      </w:r>
      <w:r w:rsidRPr="007A5201">
        <w:rPr>
          <w:rtl/>
        </w:rPr>
        <w:tab/>
        <w:t>وفي 20 شباط/فبراير 2013، التمس صاحب الشكوى من محكمة الصلح الاتحادية في أستراليا (باتت تعرف باسم محكمة الدائرة الاتحادية في أستراليا) مراجعة قرار المكتب المستقل لتقييم طلبات الحماية، ورفضت المحكمة استئنافه في 23 نيسان/أبريل 2014.</w:t>
      </w:r>
      <w:r w:rsidR="00074000">
        <w:rPr>
          <w:rtl/>
        </w:rPr>
        <w:t xml:space="preserve"> وفي </w:t>
      </w:r>
      <w:r w:rsidRPr="007A5201">
        <w:rPr>
          <w:rtl/>
        </w:rPr>
        <w:t>22 أيار/مايو 2014، قدم صاحب الشكوى استئناف</w:t>
      </w:r>
      <w:r w:rsidR="00F07E37" w:rsidRPr="007A5201">
        <w:rPr>
          <w:rtl/>
        </w:rPr>
        <w:t xml:space="preserve">اً </w:t>
      </w:r>
      <w:r w:rsidRPr="007A5201">
        <w:rPr>
          <w:rtl/>
        </w:rPr>
        <w:t>إلى المحكمة الاتحادية الأسترالية، وكان من المتوقع أن يبت فيه بين 4 و26 آب/أغسطس 2014</w:t>
      </w:r>
      <w:r w:rsidRPr="007A5201">
        <w:rPr>
          <w:vertAlign w:val="superscript"/>
          <w:rtl/>
        </w:rPr>
        <w:t>(</w:t>
      </w:r>
      <w:r w:rsidRPr="007A5201">
        <w:rPr>
          <w:vertAlign w:val="superscript"/>
          <w:rtl/>
        </w:rPr>
        <w:footnoteReference w:id="8"/>
      </w:r>
      <w:r w:rsidRPr="007A5201">
        <w:rPr>
          <w:vertAlign w:val="superscript"/>
          <w:rtl/>
        </w:rPr>
        <w:t>)</w:t>
      </w:r>
      <w:r w:rsidRPr="007A5201">
        <w:rPr>
          <w:rtl/>
        </w:rPr>
        <w:t>.</w:t>
      </w:r>
      <w:r w:rsidR="00074000">
        <w:rPr>
          <w:rtl/>
        </w:rPr>
        <w:t xml:space="preserve"> إلا </w:t>
      </w:r>
      <w:r w:rsidRPr="007A5201">
        <w:rPr>
          <w:rtl/>
        </w:rPr>
        <w:t>أن إدارة الهجرة وحماية الحدود أبلغت صاحب الشكوى، في 9 حزيران/</w:t>
      </w:r>
      <w:proofErr w:type="gramStart"/>
      <w:r w:rsidRPr="007A5201">
        <w:rPr>
          <w:rtl/>
        </w:rPr>
        <w:t>يونيه</w:t>
      </w:r>
      <w:proofErr w:type="gramEnd"/>
      <w:r w:rsidRPr="007A5201">
        <w:rPr>
          <w:rtl/>
        </w:rPr>
        <w:t xml:space="preserve"> 2014، أنه تقرر إبعاده قسر</w:t>
      </w:r>
      <w:r w:rsidR="00F07E37" w:rsidRPr="007A5201">
        <w:rPr>
          <w:rtl/>
        </w:rPr>
        <w:t xml:space="preserve">اً </w:t>
      </w:r>
      <w:r w:rsidRPr="007A5201">
        <w:rPr>
          <w:rtl/>
        </w:rPr>
        <w:t>في 25 حزيران/يونيه 2014، على الرغم من عدم انتهاء البت في طلب الاستئناف.</w:t>
      </w:r>
    </w:p>
    <w:p w:rsidR="007832A2" w:rsidRPr="007A5201" w:rsidRDefault="007832A2" w:rsidP="007832A2">
      <w:pPr>
        <w:pStyle w:val="SingleTxtGA"/>
        <w:rPr>
          <w:rtl/>
        </w:rPr>
      </w:pPr>
      <w:r w:rsidRPr="007A5201">
        <w:rPr>
          <w:rtl/>
        </w:rPr>
        <w:lastRenderedPageBreak/>
        <w:t>2-7</w:t>
      </w:r>
      <w:r w:rsidRPr="007A5201">
        <w:rPr>
          <w:rtl/>
        </w:rPr>
        <w:tab/>
        <w:t>ويفيد صاحب الشكوى بأنه قد استنفد جميع سبل الانتصاف المحلية الفعالة المتاحة وبأن المسألة نفسها</w:t>
      </w:r>
      <w:r w:rsidR="00074000">
        <w:rPr>
          <w:rtl/>
        </w:rPr>
        <w:t xml:space="preserve"> لم </w:t>
      </w:r>
      <w:r w:rsidRPr="007A5201">
        <w:rPr>
          <w:rtl/>
        </w:rPr>
        <w:t>يجر بحثها،</w:t>
      </w:r>
      <w:r w:rsidR="00074000">
        <w:rPr>
          <w:rtl/>
        </w:rPr>
        <w:t xml:space="preserve"> ولا </w:t>
      </w:r>
      <w:r w:rsidRPr="007A5201">
        <w:rPr>
          <w:rtl/>
        </w:rPr>
        <w:t>يجرى بحثها بموجب أي إجراء من إجراءات التحقيق</w:t>
      </w:r>
      <w:r w:rsidR="00074000">
        <w:rPr>
          <w:rtl/>
        </w:rPr>
        <w:t xml:space="preserve"> أو </w:t>
      </w:r>
      <w:r w:rsidRPr="007A5201">
        <w:rPr>
          <w:rtl/>
        </w:rPr>
        <w:t>التسوية الدولية.</w:t>
      </w:r>
    </w:p>
    <w:p w:rsidR="007832A2" w:rsidRPr="007A5201" w:rsidRDefault="007832A2" w:rsidP="007832A2">
      <w:pPr>
        <w:pStyle w:val="H23GA"/>
        <w:rPr>
          <w:rtl/>
        </w:rPr>
      </w:pPr>
      <w:r w:rsidRPr="007A5201">
        <w:rPr>
          <w:rtl/>
        </w:rPr>
        <w:tab/>
      </w:r>
      <w:r w:rsidRPr="007A5201">
        <w:rPr>
          <w:rtl/>
        </w:rPr>
        <w:tab/>
        <w:t>الشكوى</w:t>
      </w:r>
    </w:p>
    <w:p w:rsidR="007832A2" w:rsidRPr="007A5201" w:rsidRDefault="007832A2" w:rsidP="007832A2">
      <w:pPr>
        <w:pStyle w:val="SingleTxtGA"/>
        <w:rPr>
          <w:rtl/>
        </w:rPr>
      </w:pPr>
      <w:r w:rsidRPr="007A5201">
        <w:rPr>
          <w:rtl/>
        </w:rPr>
        <w:t>3-1</w:t>
      </w:r>
      <w:r w:rsidRPr="007A5201">
        <w:rPr>
          <w:rtl/>
        </w:rPr>
        <w:tab/>
        <w:t xml:space="preserve">يدعي صاحب الشكوى أنه سيتعرض، في حال أعيد إلى </w:t>
      </w:r>
      <w:r w:rsidR="00074000">
        <w:rPr>
          <w:rtl/>
        </w:rPr>
        <w:t>سري لانكا</w:t>
      </w:r>
      <w:r w:rsidRPr="007A5201">
        <w:rPr>
          <w:rtl/>
        </w:rPr>
        <w:t>، للاختطاف والتعذيب وربما القتل من قِبل الجيش السريلانكي</w:t>
      </w:r>
      <w:r w:rsidR="00074000">
        <w:rPr>
          <w:rtl/>
        </w:rPr>
        <w:t xml:space="preserve"> أو </w:t>
      </w:r>
      <w:r w:rsidRPr="007A5201">
        <w:rPr>
          <w:rtl/>
        </w:rPr>
        <w:t>جماعات شبه عسكرية، مثل فصيل كارونا، تضع يدها في يد الجيش السريلانكي لاضطهاد من يشتبه في تعاونه مع حركة نمور تحرير تاميل إيلام. ويشير أيض</w:t>
      </w:r>
      <w:r w:rsidR="00F07E37" w:rsidRPr="007A5201">
        <w:rPr>
          <w:rtl/>
        </w:rPr>
        <w:t xml:space="preserve">اً </w:t>
      </w:r>
      <w:r w:rsidRPr="007A5201">
        <w:rPr>
          <w:rtl/>
        </w:rPr>
        <w:t>إلى أن أربعة أشخاص آخرين شاركوا في العرض المسرحي المدرسي قد دفعوا الثمن، فتعرض اثنان منهم للاختطاف والقتل، وفر الثالث إلى فرنسا،</w:t>
      </w:r>
      <w:r w:rsidR="00074000">
        <w:rPr>
          <w:rtl/>
        </w:rPr>
        <w:t xml:space="preserve"> أما </w:t>
      </w:r>
      <w:r w:rsidRPr="007A5201">
        <w:rPr>
          <w:rtl/>
        </w:rPr>
        <w:t xml:space="preserve">الشخص الرابع، فقد اختطف وعُذِّب وأجبر على الإبلاغ عن أنشطة الحركة. ويؤكد صاحب الشكوى أن حوالي نصف عدد الأشخاص الذين شاركوا في عروض مسرحية نظمتها المدرسة خلال فترة وقف إطلاق النار فرَّ من </w:t>
      </w:r>
      <w:r w:rsidR="00074000">
        <w:rPr>
          <w:rtl/>
        </w:rPr>
        <w:t>سري لانكا</w:t>
      </w:r>
      <w:r w:rsidRPr="007A5201">
        <w:rPr>
          <w:rtl/>
        </w:rPr>
        <w:t>، وأن من بقي منهم تعرض للقتل.</w:t>
      </w:r>
    </w:p>
    <w:p w:rsidR="00AE43A7" w:rsidRPr="007A5201" w:rsidRDefault="007832A2" w:rsidP="00EC4892">
      <w:pPr>
        <w:pStyle w:val="SingleTxtGA"/>
        <w:rPr>
          <w:rtl/>
        </w:rPr>
      </w:pPr>
      <w:r w:rsidRPr="007A5201">
        <w:rPr>
          <w:rtl/>
        </w:rPr>
        <w:t>3-2</w:t>
      </w:r>
      <w:r w:rsidRPr="007A5201">
        <w:rPr>
          <w:rtl/>
        </w:rPr>
        <w:tab/>
        <w:t>ويشير صاحب الشكوى إلى أن طلب الاستئناف الذي قدمه إلى المحكمة الاتحادية الأسترالية</w:t>
      </w:r>
      <w:r w:rsidR="00074000">
        <w:rPr>
          <w:rtl/>
        </w:rPr>
        <w:t xml:space="preserve"> لم </w:t>
      </w:r>
      <w:r w:rsidRPr="007A5201">
        <w:rPr>
          <w:rtl/>
        </w:rPr>
        <w:t xml:space="preserve">يُبت فيه بعد، وإلى أن بإمكانه، في حال رفض هذا الطلب، الاستئناف أمام المحكمة العليا في أستراليا لالتماس تدخل وزاري. ويدعي أن الدولة الطرف ستنتهك التزاماتها بعدم الإعادة القسرية بمقتضى المادة 3(1) من الاتفاقية إذا رُحِّل قبل انتهاء الإجراءات القانونية، وإذا تعرض للتعذيب في </w:t>
      </w:r>
      <w:r w:rsidR="00074000">
        <w:rPr>
          <w:rtl/>
        </w:rPr>
        <w:t>سري لانكا</w:t>
      </w:r>
      <w:r w:rsidRPr="007A5201">
        <w:rPr>
          <w:vertAlign w:val="superscript"/>
          <w:rtl/>
        </w:rPr>
        <w:t>(</w:t>
      </w:r>
      <w:r w:rsidRPr="007A5201">
        <w:rPr>
          <w:vertAlign w:val="superscript"/>
          <w:rtl/>
        </w:rPr>
        <w:footnoteReference w:id="9"/>
      </w:r>
      <w:r w:rsidRPr="007A5201">
        <w:rPr>
          <w:vertAlign w:val="superscript"/>
          <w:rtl/>
        </w:rPr>
        <w:t>)</w:t>
      </w:r>
      <w:r w:rsidRPr="007A5201">
        <w:rPr>
          <w:rtl/>
        </w:rPr>
        <w:t>.</w:t>
      </w:r>
    </w:p>
    <w:p w:rsidR="007832A2" w:rsidRPr="007A5201" w:rsidRDefault="007832A2" w:rsidP="007832A2">
      <w:pPr>
        <w:pStyle w:val="H23GA"/>
        <w:rPr>
          <w:rtl/>
        </w:rPr>
      </w:pPr>
      <w:r w:rsidRPr="007A5201">
        <w:rPr>
          <w:rtl/>
        </w:rPr>
        <w:tab/>
      </w:r>
      <w:r w:rsidRPr="007A5201">
        <w:rPr>
          <w:rtl/>
        </w:rPr>
        <w:tab/>
        <w:t>ملاحظات الدولة الطرف بشأن المقبولية والأسس الموضوعية</w:t>
      </w:r>
    </w:p>
    <w:p w:rsidR="00AE43A7" w:rsidRPr="007A5201" w:rsidRDefault="007832A2" w:rsidP="007832A2">
      <w:pPr>
        <w:pStyle w:val="SingleTxtGA"/>
        <w:rPr>
          <w:rtl/>
        </w:rPr>
      </w:pPr>
      <w:r w:rsidRPr="007A5201">
        <w:rPr>
          <w:rtl/>
        </w:rPr>
        <w:t>4-1</w:t>
      </w:r>
      <w:r w:rsidRPr="007A5201">
        <w:rPr>
          <w:rtl/>
        </w:rPr>
        <w:tab/>
        <w:t>قدّمت الدولة الطرف، في 22 كانون الأول/ديسمبر 2014، ملاحظاتها بشأن مقبولية الشكوى وأسسها الموضوعية. وهي تدفع بأن ادعاءات صاحب الشكوى غير مقبولة لأنها تستند إلى أسس واهية بشكل ظاهر</w:t>
      </w:r>
      <w:r w:rsidR="00074000">
        <w:rPr>
          <w:rtl/>
        </w:rPr>
        <w:t xml:space="preserve"> بما </w:t>
      </w:r>
      <w:r w:rsidRPr="007A5201">
        <w:rPr>
          <w:rtl/>
        </w:rPr>
        <w:t>أن صاحب الشكوى</w:t>
      </w:r>
      <w:r w:rsidR="00074000">
        <w:rPr>
          <w:rtl/>
        </w:rPr>
        <w:t xml:space="preserve"> لم </w:t>
      </w:r>
      <w:r w:rsidRPr="007A5201">
        <w:rPr>
          <w:rtl/>
        </w:rPr>
        <w:t>يقدم أدلة كافية. وإذا كانت اللجنة ترى أن ادعاءاته مقبولة، فإن هذه الادعاءات ينبغي أن تُرفض لافتقارها إلى أسس موضوعية.</w:t>
      </w:r>
      <w:r w:rsidR="00074000">
        <w:rPr>
          <w:rtl/>
        </w:rPr>
        <w:t xml:space="preserve"> ولم </w:t>
      </w:r>
      <w:r w:rsidRPr="007A5201">
        <w:rPr>
          <w:rtl/>
        </w:rPr>
        <w:t>يقدم صاحب الشكوى إلى اللجنة أية أدلة جديدة تشير إلى توافر أسباب جوهرية تدعو إلى الاعتقاد بأنه سيتعرض لخطر التعذيب. وقد خضعت جميع الادعاءات التي قدمها صاحب الشكوى إلى اللجنة للتقييم بالفعل في الدولة الطرف في إطار إجراءات تحديد صفة اللاجئ والحماية التكميلية في الفترة بين آذار/مارس 2012 ونيسان/أبريل 2014.</w:t>
      </w:r>
    </w:p>
    <w:p w:rsidR="00AE43A7" w:rsidRPr="007A5201" w:rsidRDefault="007832A2" w:rsidP="007832A2">
      <w:pPr>
        <w:pStyle w:val="SingleTxtGA"/>
        <w:rPr>
          <w:rtl/>
        </w:rPr>
      </w:pPr>
      <w:r w:rsidRPr="007A5201">
        <w:rPr>
          <w:rtl/>
        </w:rPr>
        <w:t>4-2</w:t>
      </w:r>
      <w:r w:rsidRPr="007A5201">
        <w:rPr>
          <w:rtl/>
        </w:rPr>
        <w:tab/>
        <w:t>وفي هذا الصدد، تدعي الدولة الطرف أن الالتزام بعدم الإعادة القسرية يقتصر على حالات التعذيب</w:t>
      </w:r>
      <w:r w:rsidRPr="007A5201">
        <w:rPr>
          <w:vertAlign w:val="superscript"/>
          <w:rtl/>
        </w:rPr>
        <w:t>(</w:t>
      </w:r>
      <w:r w:rsidRPr="007A5201">
        <w:rPr>
          <w:vertAlign w:val="superscript"/>
          <w:rtl/>
        </w:rPr>
        <w:footnoteReference w:id="10"/>
      </w:r>
      <w:r w:rsidRPr="007A5201">
        <w:rPr>
          <w:vertAlign w:val="superscript"/>
          <w:rtl/>
        </w:rPr>
        <w:t>)</w:t>
      </w:r>
      <w:r w:rsidR="00074000">
        <w:rPr>
          <w:rtl/>
        </w:rPr>
        <w:t xml:space="preserve"> ولا </w:t>
      </w:r>
      <w:r w:rsidRPr="007A5201">
        <w:rPr>
          <w:rtl/>
        </w:rPr>
        <w:t>يشمل حالات المعاملة</w:t>
      </w:r>
      <w:r w:rsidR="00074000">
        <w:rPr>
          <w:rtl/>
        </w:rPr>
        <w:t xml:space="preserve"> أو </w:t>
      </w:r>
      <w:r w:rsidRPr="007A5201">
        <w:rPr>
          <w:rtl/>
        </w:rPr>
        <w:t>العقوبة القاسية</w:t>
      </w:r>
      <w:r w:rsidR="00074000">
        <w:rPr>
          <w:rtl/>
        </w:rPr>
        <w:t xml:space="preserve"> أو </w:t>
      </w:r>
      <w:r w:rsidRPr="007A5201">
        <w:rPr>
          <w:rtl/>
        </w:rPr>
        <w:t>اللاإنسانية</w:t>
      </w:r>
      <w:r w:rsidR="00074000">
        <w:rPr>
          <w:rtl/>
        </w:rPr>
        <w:t xml:space="preserve"> أو </w:t>
      </w:r>
      <w:r w:rsidRPr="007A5201">
        <w:rPr>
          <w:rtl/>
        </w:rPr>
        <w:t>المهينة</w:t>
      </w:r>
      <w:r w:rsidRPr="007A5201">
        <w:rPr>
          <w:vertAlign w:val="superscript"/>
          <w:rtl/>
        </w:rPr>
        <w:t>(</w:t>
      </w:r>
      <w:r w:rsidRPr="007A5201">
        <w:rPr>
          <w:vertAlign w:val="superscript"/>
          <w:rtl/>
        </w:rPr>
        <w:footnoteReference w:id="11"/>
      </w:r>
      <w:r w:rsidRPr="007A5201">
        <w:rPr>
          <w:vertAlign w:val="superscript"/>
          <w:rtl/>
        </w:rPr>
        <w:t>)</w:t>
      </w:r>
      <w:r w:rsidRPr="007A5201">
        <w:rPr>
          <w:rtl/>
        </w:rPr>
        <w:t xml:space="preserve">. وتُذكِّر بالاجتهاد القضائي للجنة الذي يقضي بأن يقدم صاحب الشكوى أسباباً إضافية تثبت </w:t>
      </w:r>
      <w:r w:rsidRPr="007A5201">
        <w:rPr>
          <w:rtl/>
        </w:rPr>
        <w:lastRenderedPageBreak/>
        <w:t>أنه سيتعرض شخصياً للخطر</w:t>
      </w:r>
      <w:r w:rsidRPr="007A5201">
        <w:rPr>
          <w:vertAlign w:val="superscript"/>
          <w:rtl/>
        </w:rPr>
        <w:t>(</w:t>
      </w:r>
      <w:r w:rsidRPr="007A5201">
        <w:rPr>
          <w:vertAlign w:val="superscript"/>
          <w:rtl/>
        </w:rPr>
        <w:footnoteReference w:id="12"/>
      </w:r>
      <w:r w:rsidRPr="007A5201">
        <w:rPr>
          <w:vertAlign w:val="superscript"/>
          <w:rtl/>
        </w:rPr>
        <w:t>)</w:t>
      </w:r>
      <w:r w:rsidRPr="007A5201">
        <w:rPr>
          <w:rtl/>
        </w:rPr>
        <w:t>. ويتحمل صاحب الشكوى عبء إثبات وجود خطر متوقع وحقيقي وشخصي عليه من التعرض للتعذيب عند تسليمه</w:t>
      </w:r>
      <w:r w:rsidR="00074000">
        <w:rPr>
          <w:rtl/>
        </w:rPr>
        <w:t xml:space="preserve"> أو </w:t>
      </w:r>
      <w:r w:rsidRPr="007A5201">
        <w:rPr>
          <w:rtl/>
        </w:rPr>
        <w:t>ترحيله</w:t>
      </w:r>
      <w:r w:rsidRPr="007A5201">
        <w:rPr>
          <w:vertAlign w:val="superscript"/>
          <w:rtl/>
        </w:rPr>
        <w:t>(</w:t>
      </w:r>
      <w:r w:rsidRPr="007A5201">
        <w:rPr>
          <w:vertAlign w:val="superscript"/>
          <w:rtl/>
        </w:rPr>
        <w:footnoteReference w:id="13"/>
      </w:r>
      <w:r w:rsidRPr="007A5201">
        <w:rPr>
          <w:vertAlign w:val="superscript"/>
          <w:rtl/>
        </w:rPr>
        <w:t>)</w:t>
      </w:r>
      <w:r w:rsidRPr="007A5201">
        <w:rPr>
          <w:rtl/>
        </w:rPr>
        <w:t>. ويجب "تقدير خطر التعذيب بناءً على أسس تتجاوز مجرد الافتراض</w:t>
      </w:r>
      <w:r w:rsidR="00074000">
        <w:rPr>
          <w:rtl/>
        </w:rPr>
        <w:t xml:space="preserve"> أو </w:t>
      </w:r>
      <w:r w:rsidRPr="007A5201">
        <w:rPr>
          <w:rtl/>
        </w:rPr>
        <w:t>الشك"</w:t>
      </w:r>
      <w:r w:rsidRPr="007A5201">
        <w:rPr>
          <w:vertAlign w:val="superscript"/>
          <w:rtl/>
        </w:rPr>
        <w:t>(</w:t>
      </w:r>
      <w:r w:rsidRPr="007A5201">
        <w:rPr>
          <w:vertAlign w:val="superscript"/>
          <w:rtl/>
        </w:rPr>
        <w:footnoteReference w:id="14"/>
      </w:r>
      <w:r w:rsidRPr="007A5201">
        <w:rPr>
          <w:vertAlign w:val="superscript"/>
          <w:rtl/>
        </w:rPr>
        <w:t>)</w:t>
      </w:r>
      <w:r w:rsidRPr="007A5201">
        <w:rPr>
          <w:rtl/>
        </w:rPr>
        <w:t>.</w:t>
      </w:r>
    </w:p>
    <w:p w:rsidR="007832A2" w:rsidRPr="007A5201" w:rsidRDefault="007832A2" w:rsidP="00726DEF">
      <w:pPr>
        <w:pStyle w:val="SingleTxtGA"/>
        <w:rPr>
          <w:rtl/>
        </w:rPr>
      </w:pPr>
      <w:r w:rsidRPr="007A5201">
        <w:rPr>
          <w:rtl/>
        </w:rPr>
        <w:t>4-3</w:t>
      </w:r>
      <w:r w:rsidRPr="007A5201">
        <w:rPr>
          <w:rtl/>
        </w:rPr>
        <w:tab/>
        <w:t>وتؤكد الدولة الطرف أن ادعاءات صاحب الشكوى قد نظر فيها على نحو شامل في إطار مجموعة إجراءات محلية صارمة وتقرَّر على إثرها أن ادعاءاته تفتقر إلى المصداقية وليس فيها</w:t>
      </w:r>
      <w:r w:rsidR="00074000">
        <w:rPr>
          <w:rtl/>
        </w:rPr>
        <w:t xml:space="preserve"> ما </w:t>
      </w:r>
      <w:r w:rsidRPr="007A5201">
        <w:rPr>
          <w:rtl/>
        </w:rPr>
        <w:t>يُحمِّل الدولة الطرف التزامات بعدم الإعادة القسرية. وتشير على وجه الخصوص، إلى أن ادعاءات صاحب الشكوى قد خضعت للتقييم بموجب الأحكام المتعلقة بالحماية التكميلية الواردة في الفقرة (</w:t>
      </w:r>
      <w:proofErr w:type="gramStart"/>
      <w:r w:rsidRPr="007A5201">
        <w:rPr>
          <w:rtl/>
        </w:rPr>
        <w:t>2)(</w:t>
      </w:r>
      <w:proofErr w:type="spellStart"/>
      <w:proofErr w:type="gramEnd"/>
      <w:r w:rsidRPr="007A5201">
        <w:rPr>
          <w:rtl/>
        </w:rPr>
        <w:t>أأ</w:t>
      </w:r>
      <w:proofErr w:type="spellEnd"/>
      <w:r w:rsidRPr="007A5201">
        <w:rPr>
          <w:rtl/>
        </w:rPr>
        <w:t>) من المادة 36 من قانون الهجرة</w:t>
      </w:r>
      <w:r w:rsidR="00074000">
        <w:rPr>
          <w:rtl/>
        </w:rPr>
        <w:t xml:space="preserve"> لعام </w:t>
      </w:r>
      <w:r w:rsidRPr="007A5201">
        <w:rPr>
          <w:rtl/>
        </w:rPr>
        <w:t>1958، التي ترد فيها التزامات عدم الإعادة القسرية، على النحو المنصوص عليه في المادة 3 من الاتفاقية.</w:t>
      </w:r>
    </w:p>
    <w:p w:rsidR="007832A2" w:rsidRPr="007A5201" w:rsidRDefault="007832A2" w:rsidP="007832A2">
      <w:pPr>
        <w:pStyle w:val="SingleTxtGA"/>
        <w:rPr>
          <w:rtl/>
        </w:rPr>
      </w:pPr>
      <w:r w:rsidRPr="007A5201">
        <w:rPr>
          <w:rtl/>
        </w:rPr>
        <w:t>4-4</w:t>
      </w:r>
      <w:r w:rsidRPr="007A5201">
        <w:rPr>
          <w:rtl/>
        </w:rPr>
        <w:tab/>
        <w:t>وتُذكِّر الدولة الطرف بأن صاحب الشكوى قدم طلب</w:t>
      </w:r>
      <w:r w:rsidR="00F07E37" w:rsidRPr="007A5201">
        <w:rPr>
          <w:rtl/>
        </w:rPr>
        <w:t xml:space="preserve">اً </w:t>
      </w:r>
      <w:r w:rsidRPr="007A5201">
        <w:rPr>
          <w:rtl/>
        </w:rPr>
        <w:t>للحصول على تأشيرة حماية بعد وصوله إلى أستراليا بصورة غير قانونية على متن قارب في 1 كانون الأول/ديسمبر 2011.</w:t>
      </w:r>
      <w:r w:rsidR="00074000">
        <w:rPr>
          <w:rtl/>
        </w:rPr>
        <w:t xml:space="preserve"> وفي </w:t>
      </w:r>
      <w:r w:rsidRPr="007A5201">
        <w:rPr>
          <w:rtl/>
        </w:rPr>
        <w:t>6 آذار/مارس 2012، رفضت إدارة الهجرة والجنسية طلب صاحب الشكوى، بعد أن قيَّمت جميع مطالبات الحماية التي قدمها، على أساس أن أستراليا</w:t>
      </w:r>
      <w:r w:rsidR="00074000">
        <w:rPr>
          <w:rtl/>
        </w:rPr>
        <w:t xml:space="preserve"> لا </w:t>
      </w:r>
      <w:r w:rsidRPr="007A5201">
        <w:rPr>
          <w:rtl/>
        </w:rPr>
        <w:t>تتحمل تجاهه التزامات بتوفير الحماية. وخلال تقييم التزامات توفير الحماية، أجريت مقابلة معه بمساعدة مترجم شفوي، مع فحص جميع المعلومات القطرية ذات الصلة</w:t>
      </w:r>
      <w:r w:rsidRPr="007A5201">
        <w:rPr>
          <w:vertAlign w:val="superscript"/>
          <w:rtl/>
        </w:rPr>
        <w:t>(</w:t>
      </w:r>
      <w:r w:rsidRPr="007A5201">
        <w:rPr>
          <w:vertAlign w:val="superscript"/>
          <w:rtl/>
        </w:rPr>
        <w:footnoteReference w:id="15"/>
      </w:r>
      <w:r w:rsidRPr="007A5201">
        <w:rPr>
          <w:vertAlign w:val="superscript"/>
          <w:rtl/>
        </w:rPr>
        <w:t>)</w:t>
      </w:r>
      <w:r w:rsidRPr="007A5201">
        <w:rPr>
          <w:rtl/>
        </w:rPr>
        <w:t>. وخلصت الهيئة الرئيسية المصدرة للقرار إلى عدم مصداقية ادعاءات صاحب الشكوى بشأن تعرضه للمضايقات في عامي 2008 و2011، أي بعد مرور حوالي ثلاث سنوات وست سنوات على مشاركته في العرض المسرحي في</w:t>
      </w:r>
      <w:r w:rsidR="00074000">
        <w:rPr>
          <w:rtl/>
        </w:rPr>
        <w:t xml:space="preserve"> عام </w:t>
      </w:r>
      <w:r w:rsidRPr="007A5201">
        <w:rPr>
          <w:rtl/>
        </w:rPr>
        <w:t>2005، وبشأن تعرضه للاختطاف في حزيران/</w:t>
      </w:r>
      <w:proofErr w:type="gramStart"/>
      <w:r w:rsidRPr="007A5201">
        <w:rPr>
          <w:rtl/>
        </w:rPr>
        <w:t>يونيه</w:t>
      </w:r>
      <w:proofErr w:type="gramEnd"/>
      <w:r w:rsidRPr="007A5201">
        <w:rPr>
          <w:rtl/>
        </w:rPr>
        <w:t xml:space="preserve"> 2011. وأخذت الهيئة المصدرة للقرار</w:t>
      </w:r>
      <w:r w:rsidR="00074000">
        <w:rPr>
          <w:rtl/>
        </w:rPr>
        <w:t xml:space="preserve"> بما </w:t>
      </w:r>
      <w:r w:rsidRPr="007A5201">
        <w:rPr>
          <w:rtl/>
        </w:rPr>
        <w:t>ذكره صاحب الشكوى عن مشاركته، في</w:t>
      </w:r>
      <w:r w:rsidR="00074000">
        <w:rPr>
          <w:rtl/>
        </w:rPr>
        <w:t xml:space="preserve"> عام </w:t>
      </w:r>
      <w:r w:rsidRPr="007A5201">
        <w:rPr>
          <w:rtl/>
        </w:rPr>
        <w:t>2005، في العرض المسرحي الذي تولت حركة نمور تحرير تاميل إيلام رعايته وتنظيمه، لكنها</w:t>
      </w:r>
      <w:r w:rsidR="00074000">
        <w:rPr>
          <w:rtl/>
        </w:rPr>
        <w:t xml:space="preserve"> لم </w:t>
      </w:r>
      <w:r w:rsidRPr="007A5201">
        <w:rPr>
          <w:rtl/>
        </w:rPr>
        <w:t>تأخذ</w:t>
      </w:r>
      <w:r w:rsidR="00074000">
        <w:rPr>
          <w:rtl/>
        </w:rPr>
        <w:t xml:space="preserve"> بما </w:t>
      </w:r>
      <w:r w:rsidRPr="007A5201">
        <w:rPr>
          <w:rtl/>
        </w:rPr>
        <w:t xml:space="preserve">قاله عن الاشتباه في كونه من مناصري الحركة بسبب ذلك، وعن لفته لاهتمام الجماعات شبه العسكرية في الجيش السريلانكي. وأفادت الدولة الطرف بأن تمكنه من مغادرة </w:t>
      </w:r>
      <w:r w:rsidR="00074000">
        <w:rPr>
          <w:rtl/>
        </w:rPr>
        <w:t>سري لانكا</w:t>
      </w:r>
      <w:r w:rsidRPr="007A5201">
        <w:rPr>
          <w:rtl/>
        </w:rPr>
        <w:t xml:space="preserve"> بجواز سفر صحيح من دون أن يحدث له شيء يدعم هذا الاستنتاج. وارتكزت الهيئة المصدرة للقرار أيض</w:t>
      </w:r>
      <w:r w:rsidR="00F07E37" w:rsidRPr="007A5201">
        <w:rPr>
          <w:rtl/>
        </w:rPr>
        <w:t xml:space="preserve">اً </w:t>
      </w:r>
      <w:r w:rsidRPr="007A5201">
        <w:rPr>
          <w:rtl/>
        </w:rPr>
        <w:t xml:space="preserve">إلى المعلومات القطرية التي أشارت إلى أن الحالة الأمنية في </w:t>
      </w:r>
      <w:r w:rsidR="00074000">
        <w:rPr>
          <w:rtl/>
        </w:rPr>
        <w:t>سري لانكا</w:t>
      </w:r>
      <w:r w:rsidRPr="007A5201">
        <w:rPr>
          <w:rtl/>
        </w:rPr>
        <w:t xml:space="preserve"> قد تحسنت منذ توقف الأعمال القتالية في</w:t>
      </w:r>
      <w:r w:rsidR="00074000">
        <w:rPr>
          <w:rtl/>
        </w:rPr>
        <w:t xml:space="preserve"> عام </w:t>
      </w:r>
      <w:r w:rsidRPr="007A5201">
        <w:rPr>
          <w:rtl/>
        </w:rPr>
        <w:t>2009، وأن صاحب الشكوى</w:t>
      </w:r>
      <w:r w:rsidR="00074000">
        <w:rPr>
          <w:rtl/>
        </w:rPr>
        <w:t xml:space="preserve"> لن </w:t>
      </w:r>
      <w:r w:rsidRPr="007A5201">
        <w:rPr>
          <w:rtl/>
        </w:rPr>
        <w:t>يكون مستهدف</w:t>
      </w:r>
      <w:r w:rsidR="00F07E37" w:rsidRPr="007A5201">
        <w:rPr>
          <w:rtl/>
        </w:rPr>
        <w:t xml:space="preserve">اً </w:t>
      </w:r>
      <w:r w:rsidRPr="007A5201">
        <w:rPr>
          <w:rtl/>
        </w:rPr>
        <w:t>بسبب انتمائه إلى إثنية التاميل. وعليه، استُنتج أن صاحب الشكوى ليس لديه خوف مبرر من التعرض للاضطهاد. وأثناء تقييم التزامات توفير الحماية،</w:t>
      </w:r>
      <w:r w:rsidR="00074000">
        <w:rPr>
          <w:rtl/>
        </w:rPr>
        <w:t xml:space="preserve"> لم </w:t>
      </w:r>
      <w:r w:rsidRPr="007A5201">
        <w:rPr>
          <w:rtl/>
        </w:rPr>
        <w:t>تُقيَّم ادعاءات صاحب الشكوى استناد</w:t>
      </w:r>
      <w:r w:rsidR="00F07E37" w:rsidRPr="007A5201">
        <w:rPr>
          <w:rtl/>
        </w:rPr>
        <w:t xml:space="preserve">اً </w:t>
      </w:r>
      <w:r w:rsidRPr="007A5201">
        <w:rPr>
          <w:rtl/>
        </w:rPr>
        <w:t>إلى الأحكام المتعلقة بالحماية التكميلية المنصوص عليها في قانون الهجرة، لأن تلك الأحكام</w:t>
      </w:r>
      <w:r w:rsidR="00074000">
        <w:rPr>
          <w:rtl/>
        </w:rPr>
        <w:t xml:space="preserve"> لم </w:t>
      </w:r>
      <w:r w:rsidRPr="007A5201">
        <w:rPr>
          <w:rtl/>
        </w:rPr>
        <w:t>تكن سارية المفعول حين بُتَّ في حالته بتاريخ 6 آذار/مارس 2012</w:t>
      </w:r>
      <w:r w:rsidRPr="007A5201">
        <w:rPr>
          <w:vertAlign w:val="superscript"/>
          <w:rtl/>
        </w:rPr>
        <w:t>(</w:t>
      </w:r>
      <w:r w:rsidRPr="007A5201">
        <w:rPr>
          <w:vertAlign w:val="superscript"/>
          <w:rtl/>
        </w:rPr>
        <w:footnoteReference w:id="16"/>
      </w:r>
      <w:r w:rsidRPr="007A5201">
        <w:rPr>
          <w:vertAlign w:val="superscript"/>
          <w:rtl/>
        </w:rPr>
        <w:t>)</w:t>
      </w:r>
      <w:r w:rsidRPr="007A5201">
        <w:rPr>
          <w:rtl/>
        </w:rPr>
        <w:t>. لكن ادعاءات صاحب الشكوى قُيِّمت لاحق</w:t>
      </w:r>
      <w:r w:rsidR="00F07E37" w:rsidRPr="007A5201">
        <w:rPr>
          <w:rtl/>
        </w:rPr>
        <w:t xml:space="preserve">اً </w:t>
      </w:r>
      <w:r w:rsidRPr="007A5201">
        <w:rPr>
          <w:rtl/>
        </w:rPr>
        <w:lastRenderedPageBreak/>
        <w:t>بموجب الأحكام المتعلقة بالحماية التكميلية في إطار إجراءات محلية الأخرى،</w:t>
      </w:r>
      <w:r w:rsidR="00074000">
        <w:rPr>
          <w:rtl/>
        </w:rPr>
        <w:t xml:space="preserve"> بما </w:t>
      </w:r>
      <w:r w:rsidRPr="007A5201">
        <w:rPr>
          <w:rtl/>
        </w:rPr>
        <w:t>في ذلك التقييم المستقل لطلب الحماية.</w:t>
      </w:r>
    </w:p>
    <w:p w:rsidR="007832A2" w:rsidRPr="007A5201" w:rsidRDefault="007832A2" w:rsidP="007832A2">
      <w:pPr>
        <w:pStyle w:val="SingleTxtGA"/>
        <w:rPr>
          <w:rtl/>
        </w:rPr>
      </w:pPr>
      <w:r w:rsidRPr="007A5201">
        <w:rPr>
          <w:rtl/>
        </w:rPr>
        <w:t>4-5</w:t>
      </w:r>
      <w:r w:rsidRPr="007A5201">
        <w:rPr>
          <w:rtl/>
        </w:rPr>
        <w:tab/>
        <w:t xml:space="preserve">وفي 27 أيلول/سبتمبر 2012، أجري التقييم المستقل لطلب الحماية </w:t>
      </w:r>
      <w:r w:rsidR="00074000">
        <w:rPr>
          <w:rtl/>
        </w:rPr>
        <w:t>فيما يتعلق</w:t>
      </w:r>
      <w:r w:rsidRPr="007A5201">
        <w:rPr>
          <w:rtl/>
        </w:rPr>
        <w:t xml:space="preserve"> بقرار رفض طلب الحصول على تأشيرة الحماية المقدم من صاحب الشكوى، وأثبتت نتيجة التقييم أنه</w:t>
      </w:r>
      <w:r w:rsidR="00074000">
        <w:rPr>
          <w:rtl/>
        </w:rPr>
        <w:t xml:space="preserve"> لا </w:t>
      </w:r>
      <w:r w:rsidRPr="007A5201">
        <w:rPr>
          <w:rtl/>
        </w:rPr>
        <w:t>يستوفي أي معيار من المعايير المطلوبة للحصول على تأشيرة الحماية بموجب الاتفاقية الخاصة بوضع اللاجئين</w:t>
      </w:r>
      <w:r w:rsidR="00074000">
        <w:rPr>
          <w:rtl/>
        </w:rPr>
        <w:t xml:space="preserve"> لعام </w:t>
      </w:r>
      <w:r w:rsidRPr="007A5201">
        <w:rPr>
          <w:rtl/>
        </w:rPr>
        <w:t>1951</w:t>
      </w:r>
      <w:r w:rsidR="00074000">
        <w:rPr>
          <w:rtl/>
        </w:rPr>
        <w:t xml:space="preserve"> أو </w:t>
      </w:r>
      <w:r w:rsidRPr="007A5201">
        <w:rPr>
          <w:rtl/>
        </w:rPr>
        <w:t>بموجب الأحكام المتعلقة بالحماية التكميلية الواردة في قانون الهجرة. وأجرى خبير التقييم مقابلة مع صاحب الشكوى، في 11 تموز/يوليه 2012، بمساعدة مترجم شفوي من التاميل، وحضر المقابلة موظف من إدارة الهجرة. ونظر الخبير في الوثائق التي تتضمن المعلومات الأساسية وكذلك في الادعاءات الإضافية الواردة في الشكوى المقدمة إلى اللجنة، بشأن الاستهداف المزعوم لأشخاص آخرين شاركوا في العرض المسرحي المدرسي في</w:t>
      </w:r>
      <w:r w:rsidR="00074000">
        <w:rPr>
          <w:rtl/>
        </w:rPr>
        <w:t xml:space="preserve"> عام </w:t>
      </w:r>
      <w:r w:rsidRPr="007A5201">
        <w:rPr>
          <w:rtl/>
        </w:rPr>
        <w:t>2005، واستجواب أفراد من الجيش السريلانكي والعصابات المسلحة لشقيقه عندما كان هو موجود</w:t>
      </w:r>
      <w:r w:rsidR="00F07E37" w:rsidRPr="007A5201">
        <w:rPr>
          <w:rtl/>
        </w:rPr>
        <w:t xml:space="preserve">اً </w:t>
      </w:r>
      <w:r w:rsidRPr="007A5201">
        <w:rPr>
          <w:rtl/>
        </w:rPr>
        <w:t>في ماليزيا في</w:t>
      </w:r>
      <w:r w:rsidR="00074000">
        <w:rPr>
          <w:rtl/>
        </w:rPr>
        <w:t xml:space="preserve"> عام </w:t>
      </w:r>
      <w:r w:rsidRPr="007A5201">
        <w:rPr>
          <w:rtl/>
        </w:rPr>
        <w:t>2011. وخلص خبير التقييم إلى أن صاحب الشكوى</w:t>
      </w:r>
      <w:r w:rsidR="00074000">
        <w:rPr>
          <w:rtl/>
        </w:rPr>
        <w:t xml:space="preserve"> لا </w:t>
      </w:r>
      <w:r w:rsidRPr="007A5201">
        <w:rPr>
          <w:rtl/>
        </w:rPr>
        <w:t>يستوفي المعايير المطلوبة للحصول على تأشيرة الحماية لعدم وجود خطر حقيقي عليه من التعرض للاضطهاد إذا</w:t>
      </w:r>
      <w:r w:rsidR="00074000">
        <w:rPr>
          <w:rtl/>
        </w:rPr>
        <w:t xml:space="preserve"> ما </w:t>
      </w:r>
      <w:r w:rsidRPr="007A5201">
        <w:rPr>
          <w:rtl/>
        </w:rPr>
        <w:t xml:space="preserve">أعيد إلى </w:t>
      </w:r>
      <w:r w:rsidR="00074000">
        <w:rPr>
          <w:rtl/>
        </w:rPr>
        <w:t>سري لانكا</w:t>
      </w:r>
      <w:r w:rsidRPr="007A5201">
        <w:rPr>
          <w:rtl/>
        </w:rPr>
        <w:t>.</w:t>
      </w:r>
      <w:r w:rsidR="00074000">
        <w:rPr>
          <w:rtl/>
        </w:rPr>
        <w:t xml:space="preserve"> ولم </w:t>
      </w:r>
      <w:r w:rsidRPr="007A5201">
        <w:rPr>
          <w:rtl/>
        </w:rPr>
        <w:t xml:space="preserve">تتوافر أسباب جوهرية تدعو إلى الاعتقاد بأن إبعاده إلى </w:t>
      </w:r>
      <w:r w:rsidR="00074000">
        <w:rPr>
          <w:rtl/>
        </w:rPr>
        <w:t>سري لانكا</w:t>
      </w:r>
      <w:r w:rsidRPr="007A5201">
        <w:rPr>
          <w:rtl/>
        </w:rPr>
        <w:t xml:space="preserve"> ستكون نتيجته الحتمية والمتوقعة التعرض لخطر حقيقي من تكبد ضرر جسيم،</w:t>
      </w:r>
      <w:r w:rsidR="00074000">
        <w:rPr>
          <w:rtl/>
        </w:rPr>
        <w:t xml:space="preserve"> بما </w:t>
      </w:r>
      <w:r w:rsidRPr="007A5201">
        <w:rPr>
          <w:rtl/>
        </w:rPr>
        <w:t>في ذلك الحرمان من الحياة تعسف</w:t>
      </w:r>
      <w:r w:rsidR="00F07E37" w:rsidRPr="007A5201">
        <w:rPr>
          <w:rtl/>
        </w:rPr>
        <w:t>اً</w:t>
      </w:r>
      <w:r w:rsidR="00074000">
        <w:rPr>
          <w:rtl/>
        </w:rPr>
        <w:t xml:space="preserve"> أو </w:t>
      </w:r>
      <w:r w:rsidRPr="007A5201">
        <w:rPr>
          <w:rtl/>
        </w:rPr>
        <w:t>التعذيب،</w:t>
      </w:r>
      <w:r w:rsidR="00074000">
        <w:rPr>
          <w:rtl/>
        </w:rPr>
        <w:t xml:space="preserve"> أو </w:t>
      </w:r>
      <w:r w:rsidRPr="007A5201">
        <w:rPr>
          <w:rtl/>
        </w:rPr>
        <w:t>المعاملة</w:t>
      </w:r>
      <w:r w:rsidR="00074000">
        <w:rPr>
          <w:rtl/>
        </w:rPr>
        <w:t xml:space="preserve"> أو </w:t>
      </w:r>
      <w:r w:rsidRPr="007A5201">
        <w:rPr>
          <w:rtl/>
        </w:rPr>
        <w:t>العقوبة القاسية</w:t>
      </w:r>
      <w:r w:rsidR="00074000">
        <w:rPr>
          <w:rtl/>
        </w:rPr>
        <w:t xml:space="preserve"> أو </w:t>
      </w:r>
      <w:r w:rsidRPr="007A5201">
        <w:rPr>
          <w:rtl/>
        </w:rPr>
        <w:t>اللاإنسانية</w:t>
      </w:r>
      <w:r w:rsidR="00074000">
        <w:rPr>
          <w:rtl/>
        </w:rPr>
        <w:t xml:space="preserve"> أو </w:t>
      </w:r>
      <w:r w:rsidRPr="007A5201">
        <w:rPr>
          <w:rtl/>
        </w:rPr>
        <w:t xml:space="preserve">المهينة. ورأى خبير التقييم أن شهادة صاحب الشكوى غير جديرة بالثقة </w:t>
      </w:r>
      <w:r w:rsidR="00074000">
        <w:rPr>
          <w:rtl/>
        </w:rPr>
        <w:t>فيما يتعلق</w:t>
      </w:r>
      <w:r w:rsidRPr="007A5201">
        <w:rPr>
          <w:rtl/>
        </w:rPr>
        <w:t xml:space="preserve"> بكثير من ادعاءاته. ويشير قرار المكتب المستقل لتقييم طلبات الحماية، المدرج في الملف، إلى أن تناقضات رواية صاحب الشكوى تمس، على سبيل المثال،</w:t>
      </w:r>
      <w:r w:rsidR="00074000">
        <w:rPr>
          <w:rtl/>
        </w:rPr>
        <w:t xml:space="preserve"> ما </w:t>
      </w:r>
      <w:r w:rsidRPr="007A5201">
        <w:rPr>
          <w:rtl/>
        </w:rPr>
        <w:t>ذكره عن التماسه الملاذ في الكنيسة الكاثوليكية الرومانية المحلية، وعدم تمكنه من الحصول على أي تأكيد من القس. وعوض</w:t>
      </w:r>
      <w:r w:rsidR="00F07E37" w:rsidRPr="007A5201">
        <w:rPr>
          <w:rtl/>
        </w:rPr>
        <w:t xml:space="preserve">اً </w:t>
      </w:r>
      <w:r w:rsidRPr="007A5201">
        <w:rPr>
          <w:rtl/>
        </w:rPr>
        <w:t>عن ذلك، أدلى صاحب الشكوى بإقرار شرعي من أحد قضاة الصلح، تفيد شهادته على</w:t>
      </w:r>
      <w:r w:rsidR="00074000">
        <w:rPr>
          <w:rtl/>
        </w:rPr>
        <w:t xml:space="preserve"> ما </w:t>
      </w:r>
      <w:r w:rsidRPr="007A5201">
        <w:rPr>
          <w:rtl/>
        </w:rPr>
        <w:t>يبدو بأنه</w:t>
      </w:r>
      <w:r w:rsidR="00074000">
        <w:rPr>
          <w:rtl/>
        </w:rPr>
        <w:t xml:space="preserve"> لم </w:t>
      </w:r>
      <w:r w:rsidRPr="007A5201">
        <w:rPr>
          <w:rtl/>
        </w:rPr>
        <w:t>يمكث في الكنيسة سوى سنة تقريب</w:t>
      </w:r>
      <w:r w:rsidR="00F07E37" w:rsidRPr="007A5201">
        <w:rPr>
          <w:rtl/>
        </w:rPr>
        <w:t>اً،</w:t>
      </w:r>
      <w:r w:rsidRPr="007A5201">
        <w:rPr>
          <w:rtl/>
        </w:rPr>
        <w:t xml:space="preserve"> في حين أنه كان قد أفاد سابق</w:t>
      </w:r>
      <w:r w:rsidR="00F07E37" w:rsidRPr="007A5201">
        <w:rPr>
          <w:rtl/>
        </w:rPr>
        <w:t xml:space="preserve">اً </w:t>
      </w:r>
      <w:r w:rsidRPr="007A5201">
        <w:rPr>
          <w:rtl/>
        </w:rPr>
        <w:t>بأنه توارى عن الأنظار لأكثر من سنتين. وعلاوة على ذلك،</w:t>
      </w:r>
      <w:r w:rsidR="00074000">
        <w:rPr>
          <w:rtl/>
        </w:rPr>
        <w:t xml:space="preserve"> لم </w:t>
      </w:r>
      <w:r w:rsidRPr="007A5201">
        <w:rPr>
          <w:rtl/>
        </w:rPr>
        <w:t>يغادر صاحب الشكوى الكنيسة التي كان قد لاذ بها بسبب الجيش السريلانكي الذي كان يبحث عنه، بل غادرها لأنه اشتاق إلى أسرته. ولذلك، اعتبرت الشهادة التي أدلي بها في هذا الصدد غير صحيحة. وعلاوة على ذلك، أثار القرار الصادر عن المكتب المستقل لتقييم طلبات الحماية شواغل بشأن السجل الأكاديمي لمقدم الطلب، لأنه كان يجلس للامتحانات في المدرسة أثناء فترة اختبائه المزعوم في الكنيسة. وحدث أيض</w:t>
      </w:r>
      <w:r w:rsidR="00F07E37" w:rsidRPr="007A5201">
        <w:rPr>
          <w:rtl/>
        </w:rPr>
        <w:t xml:space="preserve">اً </w:t>
      </w:r>
      <w:r w:rsidRPr="007A5201">
        <w:rPr>
          <w:rtl/>
        </w:rPr>
        <w:t>تعديل كبير في رواية صاحب الشكوى لحادثة اختطافه. واعتُبِر اختطافه أمر</w:t>
      </w:r>
      <w:r w:rsidR="00F07E37" w:rsidRPr="007A5201">
        <w:rPr>
          <w:rtl/>
        </w:rPr>
        <w:t xml:space="preserve">اً </w:t>
      </w:r>
      <w:r w:rsidRPr="007A5201">
        <w:rPr>
          <w:rtl/>
        </w:rPr>
        <w:t>مقلق</w:t>
      </w:r>
      <w:r w:rsidR="00F07E37" w:rsidRPr="007A5201">
        <w:rPr>
          <w:rtl/>
        </w:rPr>
        <w:t>اً،</w:t>
      </w:r>
      <w:r w:rsidRPr="007A5201">
        <w:rPr>
          <w:rtl/>
        </w:rPr>
        <w:t xml:space="preserve"> لأن المدرسة</w:t>
      </w:r>
      <w:r w:rsidR="00074000">
        <w:rPr>
          <w:rtl/>
        </w:rPr>
        <w:t xml:space="preserve"> لم </w:t>
      </w:r>
      <w:r w:rsidRPr="007A5201">
        <w:rPr>
          <w:rtl/>
        </w:rPr>
        <w:t>تبلغ قط عن هذه المسألة</w:t>
      </w:r>
      <w:r w:rsidR="00074000">
        <w:rPr>
          <w:rtl/>
        </w:rPr>
        <w:t xml:space="preserve"> ولم </w:t>
      </w:r>
      <w:r w:rsidRPr="007A5201">
        <w:rPr>
          <w:rtl/>
        </w:rPr>
        <w:t>تتحدث إلى صاحب الشكوى</w:t>
      </w:r>
      <w:r w:rsidR="00074000">
        <w:rPr>
          <w:rtl/>
        </w:rPr>
        <w:t xml:space="preserve"> أو </w:t>
      </w:r>
      <w:r w:rsidRPr="007A5201">
        <w:rPr>
          <w:rtl/>
        </w:rPr>
        <w:t>إلى والديه بشأنها. وعلى الرغم من تعرضه المزعوم للعنف والاغتصاب،</w:t>
      </w:r>
      <w:r w:rsidR="00074000">
        <w:rPr>
          <w:rtl/>
        </w:rPr>
        <w:t xml:space="preserve"> لم </w:t>
      </w:r>
      <w:r w:rsidRPr="007A5201">
        <w:rPr>
          <w:rtl/>
        </w:rPr>
        <w:t>تلحق به أي إصابات</w:t>
      </w:r>
      <w:r w:rsidR="00074000">
        <w:rPr>
          <w:rtl/>
        </w:rPr>
        <w:t xml:space="preserve"> ولم </w:t>
      </w:r>
      <w:r w:rsidRPr="007A5201">
        <w:rPr>
          <w:rtl/>
        </w:rPr>
        <w:t>يلتمس العلاج الطبي بعد أن أخلِّي سبيله. ولذلك،</w:t>
      </w:r>
      <w:r w:rsidR="00074000">
        <w:rPr>
          <w:rtl/>
        </w:rPr>
        <w:t xml:space="preserve"> لم </w:t>
      </w:r>
      <w:r w:rsidRPr="007A5201">
        <w:rPr>
          <w:rtl/>
        </w:rPr>
        <w:t>يأخذ خبير التقييم بادعاءاته المتعلقة بالتعرض للمضايقات بين عامي 2008 و2011، وللاختطاف في</w:t>
      </w:r>
      <w:r w:rsidR="00074000">
        <w:rPr>
          <w:rtl/>
        </w:rPr>
        <w:t xml:space="preserve"> عام </w:t>
      </w:r>
      <w:r w:rsidRPr="007A5201">
        <w:rPr>
          <w:rtl/>
        </w:rPr>
        <w:t>2911.</w:t>
      </w:r>
      <w:r w:rsidR="00074000">
        <w:rPr>
          <w:rtl/>
        </w:rPr>
        <w:t xml:space="preserve"> وفي </w:t>
      </w:r>
      <w:r w:rsidRPr="007A5201">
        <w:rPr>
          <w:rtl/>
        </w:rPr>
        <w:t>هذا الصدد، ذكر المكتب المستقل لتقييم طلبات الحماية في قراره أيض</w:t>
      </w:r>
      <w:r w:rsidR="00F07E37" w:rsidRPr="007A5201">
        <w:rPr>
          <w:rtl/>
        </w:rPr>
        <w:t xml:space="preserve">اً </w:t>
      </w:r>
      <w:r w:rsidRPr="007A5201">
        <w:rPr>
          <w:rtl/>
        </w:rPr>
        <w:t>أن الجهة التي أجرت المراجعة</w:t>
      </w:r>
      <w:r w:rsidR="00074000">
        <w:rPr>
          <w:rtl/>
        </w:rPr>
        <w:t xml:space="preserve"> لم </w:t>
      </w:r>
      <w:r w:rsidRPr="007A5201">
        <w:rPr>
          <w:rtl/>
        </w:rPr>
        <w:t>تحصل على أي أدلة على الاضطهاد المزعوم للأشخاص الذين شاركوا في الأنشطة الثقافية لحركة نمور تحرير تاميل إيلام. وعليه، رأت هذه الجهة أن من غير المعقول أن يغفل صاحب الشكوى في المقابلة الأولى ذكر</w:t>
      </w:r>
      <w:r w:rsidR="00074000">
        <w:rPr>
          <w:rtl/>
        </w:rPr>
        <w:t xml:space="preserve"> ما </w:t>
      </w:r>
      <w:r w:rsidRPr="007A5201">
        <w:rPr>
          <w:rtl/>
        </w:rPr>
        <w:t>تعرض له بقية المشاركين من عقوبات قاسية، وهو</w:t>
      </w:r>
      <w:r w:rsidR="00074000">
        <w:rPr>
          <w:rtl/>
        </w:rPr>
        <w:t xml:space="preserve"> ما </w:t>
      </w:r>
      <w:r w:rsidRPr="007A5201">
        <w:rPr>
          <w:rtl/>
        </w:rPr>
        <w:t>يبدو متناقض</w:t>
      </w:r>
      <w:r w:rsidR="00F07E37" w:rsidRPr="007A5201">
        <w:rPr>
          <w:rtl/>
        </w:rPr>
        <w:t xml:space="preserve">اً </w:t>
      </w:r>
      <w:r w:rsidRPr="007A5201">
        <w:rPr>
          <w:rtl/>
        </w:rPr>
        <w:t>مع</w:t>
      </w:r>
      <w:r w:rsidR="00074000">
        <w:rPr>
          <w:rtl/>
        </w:rPr>
        <w:t xml:space="preserve"> ما </w:t>
      </w:r>
      <w:r w:rsidRPr="007A5201">
        <w:rPr>
          <w:rtl/>
        </w:rPr>
        <w:t>ادعى حدوثه له هو. وبالنظر إلى عدد الأشخاص المعنيين،</w:t>
      </w:r>
      <w:r w:rsidR="00074000">
        <w:rPr>
          <w:rtl/>
        </w:rPr>
        <w:t xml:space="preserve"> لم </w:t>
      </w:r>
      <w:r w:rsidRPr="007A5201">
        <w:rPr>
          <w:rtl/>
        </w:rPr>
        <w:t xml:space="preserve">تأخذ الجهة التي </w:t>
      </w:r>
      <w:r w:rsidRPr="007A5201">
        <w:rPr>
          <w:rtl/>
        </w:rPr>
        <w:lastRenderedPageBreak/>
        <w:t>أجرت المراجعة بقول صاحب الشكوى إن مشاركته في العرض المسرحي قبل ثلاث سنوات يمكن أن تلفت اهتمام الجيش السريلانكي. و</w:t>
      </w:r>
      <w:r w:rsidR="00074000">
        <w:rPr>
          <w:rtl/>
        </w:rPr>
        <w:t>فيما يتعلق</w:t>
      </w:r>
      <w:r w:rsidRPr="007A5201">
        <w:rPr>
          <w:rtl/>
        </w:rPr>
        <w:t xml:space="preserve"> بنتائج تقييم طلب الحماية التكميلية، خلص خبير التقييم، استناد</w:t>
      </w:r>
      <w:r w:rsidR="00F07E37" w:rsidRPr="007A5201">
        <w:rPr>
          <w:rtl/>
        </w:rPr>
        <w:t xml:space="preserve">اً </w:t>
      </w:r>
      <w:r w:rsidRPr="007A5201">
        <w:rPr>
          <w:rtl/>
        </w:rPr>
        <w:t>إلى المعلومات القطرية ذات الصلة، إلى أن صاحب الشكوى</w:t>
      </w:r>
      <w:r w:rsidR="00074000">
        <w:rPr>
          <w:rtl/>
        </w:rPr>
        <w:t xml:space="preserve"> لن </w:t>
      </w:r>
      <w:r w:rsidRPr="007A5201">
        <w:rPr>
          <w:rtl/>
        </w:rPr>
        <w:t>يواجه الاضطهاد</w:t>
      </w:r>
      <w:r w:rsidR="00074000">
        <w:rPr>
          <w:rtl/>
        </w:rPr>
        <w:t xml:space="preserve"> أو </w:t>
      </w:r>
      <w:r w:rsidRPr="007A5201">
        <w:rPr>
          <w:rtl/>
        </w:rPr>
        <w:t>ضرر</w:t>
      </w:r>
      <w:r w:rsidR="00F07E37" w:rsidRPr="007A5201">
        <w:rPr>
          <w:rtl/>
        </w:rPr>
        <w:t>اً</w:t>
      </w:r>
      <w:r w:rsidR="00074000">
        <w:rPr>
          <w:rtl/>
        </w:rPr>
        <w:t xml:space="preserve"> لا </w:t>
      </w:r>
      <w:r w:rsidRPr="007A5201">
        <w:rPr>
          <w:rtl/>
        </w:rPr>
        <w:t>يمكن إصلاحه بسبب انتمائه إلى إثنية التاميل،</w:t>
      </w:r>
      <w:r w:rsidR="00074000">
        <w:rPr>
          <w:rtl/>
        </w:rPr>
        <w:t xml:space="preserve"> أو </w:t>
      </w:r>
      <w:r w:rsidRPr="007A5201">
        <w:rPr>
          <w:rtl/>
        </w:rPr>
        <w:t>إلى فئة اجتماعية معينة من الشباب السريلانكي،</w:t>
      </w:r>
      <w:r w:rsidR="00074000">
        <w:rPr>
          <w:rtl/>
        </w:rPr>
        <w:t xml:space="preserve"> أو </w:t>
      </w:r>
      <w:r w:rsidRPr="007A5201">
        <w:rPr>
          <w:rtl/>
        </w:rPr>
        <w:t>بسبب آراء سياسية منسوبة إليه بوصفه مناصر</w:t>
      </w:r>
      <w:r w:rsidR="00F07E37" w:rsidRPr="007A5201">
        <w:rPr>
          <w:rtl/>
        </w:rPr>
        <w:t xml:space="preserve">اً </w:t>
      </w:r>
      <w:r w:rsidRPr="007A5201">
        <w:rPr>
          <w:rtl/>
        </w:rPr>
        <w:t>لحركة نمور تحرير تاميل إيلام.</w:t>
      </w:r>
      <w:r w:rsidR="00074000">
        <w:rPr>
          <w:rtl/>
        </w:rPr>
        <w:t xml:space="preserve"> ولم </w:t>
      </w:r>
      <w:r w:rsidRPr="007A5201">
        <w:rPr>
          <w:rtl/>
        </w:rPr>
        <w:t>يُقِم صاحب الشكوى الدليل على صحة القول بأنه سيتعرض للتهميش الاقتصادي</w:t>
      </w:r>
      <w:r w:rsidR="00074000">
        <w:rPr>
          <w:rtl/>
        </w:rPr>
        <w:t xml:space="preserve"> أو </w:t>
      </w:r>
      <w:r w:rsidRPr="007A5201">
        <w:rPr>
          <w:rtl/>
        </w:rPr>
        <w:t>بأن التهميش السياسي المزعوم سيشكل ضرر</w:t>
      </w:r>
      <w:r w:rsidR="00F07E37" w:rsidRPr="007A5201">
        <w:rPr>
          <w:rtl/>
        </w:rPr>
        <w:t xml:space="preserve">اً </w:t>
      </w:r>
      <w:r w:rsidRPr="007A5201">
        <w:rPr>
          <w:rtl/>
        </w:rPr>
        <w:t>جسيماً.</w:t>
      </w:r>
    </w:p>
    <w:p w:rsidR="007832A2" w:rsidRPr="007A5201" w:rsidRDefault="007832A2" w:rsidP="007832A2">
      <w:pPr>
        <w:pStyle w:val="SingleTxtGA"/>
        <w:rPr>
          <w:rtl/>
        </w:rPr>
      </w:pPr>
      <w:r w:rsidRPr="007A5201">
        <w:rPr>
          <w:rtl/>
        </w:rPr>
        <w:t>4-6</w:t>
      </w:r>
      <w:r w:rsidRPr="007A5201">
        <w:rPr>
          <w:rtl/>
        </w:rPr>
        <w:tab/>
        <w:t>وفي 20 شباط/فبراير 2013، التمس صاحب الشكوى من محكمة الدائرة الاتحادية إجراءَ مراجعة قضائية لقرار المكتب المستقل لتقييم طلبات الحماية، بدعوى حدوث خطأ قانوني.</w:t>
      </w:r>
      <w:r w:rsidR="00074000">
        <w:rPr>
          <w:rtl/>
        </w:rPr>
        <w:t xml:space="preserve"> وفي </w:t>
      </w:r>
      <w:r w:rsidRPr="007A5201">
        <w:rPr>
          <w:rtl/>
        </w:rPr>
        <w:t>23 نيسان/أبريل 2014، رفضت محكمة الدائرة الاتحادية طلب المراجعة القضائية لأنها</w:t>
      </w:r>
      <w:r w:rsidR="00074000">
        <w:rPr>
          <w:rtl/>
        </w:rPr>
        <w:t xml:space="preserve"> لم </w:t>
      </w:r>
      <w:r w:rsidRPr="007A5201">
        <w:rPr>
          <w:rtl/>
        </w:rPr>
        <w:t>تعثر على أي خطأ قانوني في قرار المكتب المستقل لتقييم طلبات الحماية ونال العدالة الإجرائية. وحضر صاحب الشكوى شخصياً جلسة الاستماع التي عقدتها محكمة الدائرة الاتحادية وأدلى بإفادات شفوية. وأبلغ المحكمة أنه</w:t>
      </w:r>
      <w:r w:rsidR="00074000">
        <w:rPr>
          <w:rtl/>
        </w:rPr>
        <w:t xml:space="preserve"> لم </w:t>
      </w:r>
      <w:r w:rsidRPr="007A5201">
        <w:rPr>
          <w:rtl/>
        </w:rPr>
        <w:t xml:space="preserve">يتمكن من تقديم أدلة على المشاكل العديدة التي عانى منها في </w:t>
      </w:r>
      <w:r w:rsidR="00074000">
        <w:rPr>
          <w:rtl/>
        </w:rPr>
        <w:t>سري لانكا</w:t>
      </w:r>
      <w:r w:rsidRPr="007A5201">
        <w:rPr>
          <w:rtl/>
        </w:rPr>
        <w:t xml:space="preserve"> لأن خاطفيه</w:t>
      </w:r>
      <w:r w:rsidR="00074000">
        <w:rPr>
          <w:rtl/>
        </w:rPr>
        <w:t xml:space="preserve"> لن </w:t>
      </w:r>
      <w:r w:rsidRPr="007A5201">
        <w:rPr>
          <w:rtl/>
        </w:rPr>
        <w:t>يُقرّوا بها. بيد أن محكمة الدائرة الاتحادية رأت أن المكتب المستقل لتقييم طلبات الحماية</w:t>
      </w:r>
      <w:r w:rsidR="00074000">
        <w:rPr>
          <w:rtl/>
        </w:rPr>
        <w:t xml:space="preserve"> لم </w:t>
      </w:r>
      <w:r w:rsidRPr="007A5201">
        <w:rPr>
          <w:rtl/>
        </w:rPr>
        <w:t>يستند في استنتاجاته، التي استبعد فيها حكاية اختطافه، إلى عدم تقديم الأدلة بل استند إلى مجمل الظروف،</w:t>
      </w:r>
      <w:r w:rsidR="00074000">
        <w:rPr>
          <w:rtl/>
        </w:rPr>
        <w:t xml:space="preserve"> بما </w:t>
      </w:r>
      <w:r w:rsidRPr="007A5201">
        <w:rPr>
          <w:rtl/>
        </w:rPr>
        <w:t xml:space="preserve">في ذلك تناقض أقوال صاحب الشكوى </w:t>
      </w:r>
      <w:r w:rsidR="00074000">
        <w:rPr>
          <w:rtl/>
        </w:rPr>
        <w:t>فيما يتعلق</w:t>
      </w:r>
      <w:r w:rsidRPr="007A5201">
        <w:rPr>
          <w:rtl/>
        </w:rPr>
        <w:t xml:space="preserve"> بتاريخ علمه بالمشاكل التي واجهها شقيقه، على وجه الدقة، وبالسبب الذي منعه من طرح هذه المسألة خلال المقابلات الأولى.</w:t>
      </w:r>
    </w:p>
    <w:p w:rsidR="007832A2" w:rsidRPr="007A5201" w:rsidRDefault="007832A2" w:rsidP="007832A2">
      <w:pPr>
        <w:pStyle w:val="SingleTxtGA"/>
        <w:rPr>
          <w:rtl/>
        </w:rPr>
      </w:pPr>
      <w:r w:rsidRPr="007A5201">
        <w:rPr>
          <w:rtl/>
        </w:rPr>
        <w:t>4-7</w:t>
      </w:r>
      <w:r w:rsidRPr="007A5201">
        <w:rPr>
          <w:rtl/>
        </w:rPr>
        <w:tab/>
        <w:t xml:space="preserve">وعقب صدور قرار محكمة الدائرة الاتحادية، أُبِلغ صاحب الشكوى بأن إبعاده إلى </w:t>
      </w:r>
      <w:r w:rsidR="00074000">
        <w:rPr>
          <w:rtl/>
        </w:rPr>
        <w:t>سري لانكا</w:t>
      </w:r>
      <w:r w:rsidRPr="007A5201">
        <w:rPr>
          <w:rtl/>
        </w:rPr>
        <w:t xml:space="preserve"> قد تقرر.</w:t>
      </w:r>
      <w:r w:rsidR="00074000">
        <w:rPr>
          <w:rtl/>
        </w:rPr>
        <w:t xml:space="preserve"> وفي </w:t>
      </w:r>
      <w:r w:rsidRPr="007A5201">
        <w:rPr>
          <w:rtl/>
        </w:rPr>
        <w:t>13 حزيران/</w:t>
      </w:r>
      <w:proofErr w:type="gramStart"/>
      <w:r w:rsidRPr="007A5201">
        <w:rPr>
          <w:rtl/>
        </w:rPr>
        <w:t>يونيه</w:t>
      </w:r>
      <w:proofErr w:type="gramEnd"/>
      <w:r w:rsidRPr="007A5201">
        <w:rPr>
          <w:rtl/>
        </w:rPr>
        <w:t xml:space="preserve"> 2014، أجرت إدارة الهجرة وحماية الحدود تقييم</w:t>
      </w:r>
      <w:r w:rsidR="00F07E37" w:rsidRPr="007A5201">
        <w:rPr>
          <w:rtl/>
        </w:rPr>
        <w:t xml:space="preserve">اً </w:t>
      </w:r>
      <w:r w:rsidRPr="007A5201">
        <w:rPr>
          <w:rtl/>
        </w:rPr>
        <w:t>نهائي</w:t>
      </w:r>
      <w:r w:rsidR="00F07E37" w:rsidRPr="007A5201">
        <w:rPr>
          <w:rtl/>
        </w:rPr>
        <w:t xml:space="preserve">اً </w:t>
      </w:r>
      <w:r w:rsidRPr="007A5201">
        <w:rPr>
          <w:rtl/>
        </w:rPr>
        <w:t>قبل إبعاد صاحب الشكوى، فتأكد أن إبعاده</w:t>
      </w:r>
      <w:r w:rsidR="00074000">
        <w:rPr>
          <w:rtl/>
        </w:rPr>
        <w:t xml:space="preserve"> لن </w:t>
      </w:r>
      <w:r w:rsidRPr="007A5201">
        <w:rPr>
          <w:rtl/>
        </w:rPr>
        <w:t>يُحمل أستراليا التزامات بعدم الإعادة القسرية. وتشير الدولة الطرف إلى الاجتهاد القضائي للجنة الذي يفيد بأن اللجنة ليست هيئة استئناف</w:t>
      </w:r>
      <w:r w:rsidR="00074000">
        <w:rPr>
          <w:rtl/>
        </w:rPr>
        <w:t xml:space="preserve"> أو </w:t>
      </w:r>
      <w:r w:rsidRPr="007A5201">
        <w:rPr>
          <w:rtl/>
        </w:rPr>
        <w:t>هيئة قضائية، وأنها لذلك تعطي وزناً كبيراً للاستنتاجات التي تخلص إليها أجهزة الدولة الطرف المعنية</w:t>
      </w:r>
      <w:r w:rsidRPr="007A5201">
        <w:rPr>
          <w:vertAlign w:val="superscript"/>
          <w:rtl/>
        </w:rPr>
        <w:t>(</w:t>
      </w:r>
      <w:r w:rsidRPr="007A5201">
        <w:rPr>
          <w:vertAlign w:val="superscript"/>
          <w:rtl/>
        </w:rPr>
        <w:footnoteReference w:id="17"/>
      </w:r>
      <w:r w:rsidRPr="007A5201">
        <w:rPr>
          <w:vertAlign w:val="superscript"/>
          <w:rtl/>
        </w:rPr>
        <w:t>)</w:t>
      </w:r>
      <w:r w:rsidRPr="007A5201">
        <w:rPr>
          <w:rtl/>
        </w:rPr>
        <w:t>. وقد خضعت جميع الأدلة ذات الصلة لتقييم شامل أثناء مراجعة صارمة للأسس الموضوعية والمراجعة القضائية.</w:t>
      </w:r>
    </w:p>
    <w:p w:rsidR="007832A2" w:rsidRPr="007A5201" w:rsidRDefault="007832A2" w:rsidP="00452996">
      <w:pPr>
        <w:pStyle w:val="SingleTxtGA"/>
        <w:rPr>
          <w:rtl/>
        </w:rPr>
      </w:pPr>
      <w:r w:rsidRPr="007A5201">
        <w:rPr>
          <w:rtl/>
        </w:rPr>
        <w:t>4-8</w:t>
      </w:r>
      <w:r w:rsidRPr="007A5201">
        <w:rPr>
          <w:rtl/>
        </w:rPr>
        <w:tab/>
        <w:t>وفي الوقت عينه، طلب صاحب الشكوى، في 3 حزيران/</w:t>
      </w:r>
      <w:proofErr w:type="gramStart"/>
      <w:r w:rsidRPr="007A5201">
        <w:rPr>
          <w:rtl/>
        </w:rPr>
        <w:t>يونيه</w:t>
      </w:r>
      <w:proofErr w:type="gramEnd"/>
      <w:r w:rsidRPr="007A5201">
        <w:rPr>
          <w:rtl/>
        </w:rPr>
        <w:t xml:space="preserve"> 2014، تمديد المهلة المحددة لكي يتسنى له إيداع إشعار الاستئناف لدى المحكمة الاتحادية الاسترالية بكامل هيئتها لمراجعة الحكم الصادر عن محكمة الدائرة الاتحادية. ومع ذلك،</w:t>
      </w:r>
      <w:r w:rsidR="00074000">
        <w:rPr>
          <w:rtl/>
        </w:rPr>
        <w:t xml:space="preserve"> لم </w:t>
      </w:r>
      <w:r w:rsidRPr="007A5201">
        <w:rPr>
          <w:rtl/>
        </w:rPr>
        <w:t>تأمر المحكمة الاتحادية الأسترالية بكامل هيئتها بعقد جلسة عاجلة للنظر في المسألة،</w:t>
      </w:r>
      <w:r w:rsidR="00074000">
        <w:rPr>
          <w:rtl/>
        </w:rPr>
        <w:t xml:space="preserve"> ولم </w:t>
      </w:r>
      <w:r w:rsidRPr="007A5201">
        <w:rPr>
          <w:rtl/>
        </w:rPr>
        <w:t>تصدر أمر</w:t>
      </w:r>
      <w:r w:rsidR="00F07E37" w:rsidRPr="007A5201">
        <w:rPr>
          <w:rtl/>
        </w:rPr>
        <w:t xml:space="preserve">اً </w:t>
      </w:r>
      <w:r w:rsidRPr="007A5201">
        <w:rPr>
          <w:rtl/>
        </w:rPr>
        <w:t>زجري</w:t>
      </w:r>
      <w:r w:rsidR="00F07E37" w:rsidRPr="007A5201">
        <w:rPr>
          <w:rtl/>
        </w:rPr>
        <w:t xml:space="preserve">اً </w:t>
      </w:r>
      <w:r w:rsidRPr="007A5201">
        <w:rPr>
          <w:rtl/>
        </w:rPr>
        <w:t>لمنع إبعاد صاحب الشكوى. ويمكن أن ينفَّذ إبعاد صاحب الشكوى في 25 حزيران/</w:t>
      </w:r>
      <w:proofErr w:type="gramStart"/>
      <w:r w:rsidRPr="007A5201">
        <w:rPr>
          <w:rtl/>
        </w:rPr>
        <w:t>يونيه</w:t>
      </w:r>
      <w:proofErr w:type="gramEnd"/>
      <w:r w:rsidRPr="007A5201">
        <w:rPr>
          <w:rtl/>
        </w:rPr>
        <w:t xml:space="preserve"> 2014 على الرغم من طلبه تمديدَ المهلة المحددة، لأن المحكمة الاتحادية بكامل هيئتها</w:t>
      </w:r>
      <w:r w:rsidR="00074000">
        <w:rPr>
          <w:rtl/>
        </w:rPr>
        <w:t xml:space="preserve"> لم </w:t>
      </w:r>
      <w:r w:rsidRPr="007A5201">
        <w:rPr>
          <w:rtl/>
        </w:rPr>
        <w:t>تأمر بعقد جلسة عاجلة للنظر في المسألة</w:t>
      </w:r>
      <w:r w:rsidR="00074000">
        <w:rPr>
          <w:rtl/>
        </w:rPr>
        <w:t xml:space="preserve"> ولم </w:t>
      </w:r>
      <w:r w:rsidRPr="007A5201">
        <w:rPr>
          <w:rtl/>
        </w:rPr>
        <w:t>تصدر أمر</w:t>
      </w:r>
      <w:r w:rsidR="00F07E37" w:rsidRPr="007A5201">
        <w:rPr>
          <w:rtl/>
        </w:rPr>
        <w:t xml:space="preserve">اً </w:t>
      </w:r>
      <w:r w:rsidRPr="007A5201">
        <w:rPr>
          <w:rtl/>
        </w:rPr>
        <w:t>زجري</w:t>
      </w:r>
      <w:r w:rsidR="00F07E37" w:rsidRPr="007A5201">
        <w:rPr>
          <w:rtl/>
        </w:rPr>
        <w:t xml:space="preserve">اً </w:t>
      </w:r>
      <w:r w:rsidRPr="007A5201">
        <w:rPr>
          <w:rtl/>
        </w:rPr>
        <w:t>يقضي بمنع إبعاده.</w:t>
      </w:r>
      <w:r w:rsidR="00074000">
        <w:rPr>
          <w:rtl/>
        </w:rPr>
        <w:t xml:space="preserve"> وفي </w:t>
      </w:r>
      <w:r w:rsidRPr="007A5201">
        <w:rPr>
          <w:rtl/>
        </w:rPr>
        <w:t>28 تشرين الأول/أكتوبر</w:t>
      </w:r>
      <w:r w:rsidR="00452996" w:rsidRPr="007A5201">
        <w:rPr>
          <w:rFonts w:hint="cs"/>
          <w:rtl/>
        </w:rPr>
        <w:t> </w:t>
      </w:r>
      <w:r w:rsidRPr="007A5201">
        <w:rPr>
          <w:rtl/>
        </w:rPr>
        <w:t>2014، أصدرت المحكمة الاتحادية بكامل هيئتها حكماً، في غياب صاحب الشكوى</w:t>
      </w:r>
      <w:r w:rsidR="00074000">
        <w:rPr>
          <w:rtl/>
        </w:rPr>
        <w:t xml:space="preserve"> وفي </w:t>
      </w:r>
      <w:r w:rsidRPr="007A5201">
        <w:rPr>
          <w:rtl/>
        </w:rPr>
        <w:t>ظل عدم ورود أي رد منه</w:t>
      </w:r>
      <w:r w:rsidR="00074000">
        <w:rPr>
          <w:rtl/>
        </w:rPr>
        <w:t xml:space="preserve"> أو </w:t>
      </w:r>
      <w:r w:rsidRPr="007A5201">
        <w:rPr>
          <w:rtl/>
        </w:rPr>
        <w:t>رد مقدم بالنيابة عنه، بحثت فيه</w:t>
      </w:r>
      <w:r w:rsidR="00074000">
        <w:rPr>
          <w:rtl/>
        </w:rPr>
        <w:t xml:space="preserve"> ما </w:t>
      </w:r>
      <w:r w:rsidRPr="007A5201">
        <w:rPr>
          <w:rtl/>
        </w:rPr>
        <w:t>إذا كان الإبعاد قد تم وفق</w:t>
      </w:r>
      <w:r w:rsidR="00F07E37" w:rsidRPr="007A5201">
        <w:rPr>
          <w:rtl/>
        </w:rPr>
        <w:t xml:space="preserve">اً </w:t>
      </w:r>
      <w:r w:rsidRPr="007A5201">
        <w:rPr>
          <w:rtl/>
        </w:rPr>
        <w:t>لقانون الهجرة</w:t>
      </w:r>
      <w:r w:rsidR="00074000">
        <w:rPr>
          <w:rtl/>
        </w:rPr>
        <w:t xml:space="preserve"> لعام </w:t>
      </w:r>
      <w:r w:rsidRPr="007A5201">
        <w:rPr>
          <w:rtl/>
        </w:rPr>
        <w:t>1958، وخاصة</w:t>
      </w:r>
      <w:r w:rsidR="00074000">
        <w:rPr>
          <w:rtl/>
        </w:rPr>
        <w:t xml:space="preserve"> ما </w:t>
      </w:r>
      <w:r w:rsidRPr="007A5201">
        <w:rPr>
          <w:rtl/>
        </w:rPr>
        <w:t xml:space="preserve">إذا كان قد منح مهلة زمنية وفرصة معقولتين </w:t>
      </w:r>
      <w:r w:rsidRPr="007A5201">
        <w:rPr>
          <w:rtl/>
        </w:rPr>
        <w:lastRenderedPageBreak/>
        <w:t>للحصول على المشورة القانونية بغرض إقامة دعوى لاستصدار أمر قضائي يمنع إبعاده، وفق</w:t>
      </w:r>
      <w:r w:rsidR="00074000">
        <w:rPr>
          <w:rtl/>
        </w:rPr>
        <w:t xml:space="preserve"> ما </w:t>
      </w:r>
      <w:proofErr w:type="spellStart"/>
      <w:r w:rsidRPr="007A5201">
        <w:rPr>
          <w:rtl/>
        </w:rPr>
        <w:t>تقتضيه</w:t>
      </w:r>
      <w:proofErr w:type="spellEnd"/>
      <w:r w:rsidRPr="007A5201">
        <w:rPr>
          <w:rtl/>
        </w:rPr>
        <w:t xml:space="preserve"> المادة 256 من هذا القانون. وشككت المحكمة الاتحادية بكامل هيئتها إلى حد</w:t>
      </w:r>
      <w:r w:rsidR="00074000">
        <w:rPr>
          <w:rtl/>
        </w:rPr>
        <w:t xml:space="preserve"> ما </w:t>
      </w:r>
      <w:r w:rsidRPr="007A5201">
        <w:rPr>
          <w:rtl/>
        </w:rPr>
        <w:t>في احتمال أن يكون صاحب الشكوى قد منح فرصة معقولة، بسبب ضيق الوقت، لإقامة دعوى لمنع إبعاده، لكنها رأت أنه</w:t>
      </w:r>
      <w:r w:rsidR="00074000">
        <w:rPr>
          <w:rtl/>
        </w:rPr>
        <w:t xml:space="preserve"> لا </w:t>
      </w:r>
      <w:r w:rsidRPr="007A5201">
        <w:rPr>
          <w:rtl/>
        </w:rPr>
        <w:t>يمكن الاستنتاج بأن صاحب الشكوى</w:t>
      </w:r>
      <w:r w:rsidR="00074000">
        <w:rPr>
          <w:rtl/>
        </w:rPr>
        <w:t xml:space="preserve"> لم </w:t>
      </w:r>
      <w:r w:rsidRPr="007A5201">
        <w:rPr>
          <w:rtl/>
        </w:rPr>
        <w:t>يُمنح فرصة معقولة للحصول على المشورة القانونية، في ضوء وجود موظف من إدارة الهجرة،</w:t>
      </w:r>
      <w:r w:rsidR="00074000">
        <w:rPr>
          <w:rtl/>
        </w:rPr>
        <w:t xml:space="preserve"> كما لا </w:t>
      </w:r>
      <w:r w:rsidRPr="007A5201">
        <w:rPr>
          <w:rtl/>
        </w:rPr>
        <w:t>يخفى. ولذلك، رفض الطلب من المحكمة الاتحادية بكامل هيئتها. وبناء على ذلك، تطلب الدولة الطرف إلى اللجنة الإقرار بأن أستراليا قد أجرت تقييماً شاملاً لادعاءات صاحب الشكوى في إطار إجراءاتها المحلية وتبيَّن لها</w:t>
      </w:r>
      <w:r w:rsidR="00074000">
        <w:rPr>
          <w:rtl/>
        </w:rPr>
        <w:t xml:space="preserve"> ألا </w:t>
      </w:r>
      <w:r w:rsidRPr="007A5201">
        <w:rPr>
          <w:rtl/>
        </w:rPr>
        <w:t>التزامات عليها تجاه صاحب الشكوى بتوفير الحماية المنصوص عليها في الاتفاقية.</w:t>
      </w:r>
    </w:p>
    <w:p w:rsidR="00AE43A7" w:rsidRPr="007A5201" w:rsidRDefault="007832A2" w:rsidP="007832A2">
      <w:pPr>
        <w:pStyle w:val="SingleTxtGA"/>
        <w:rPr>
          <w:rtl/>
        </w:rPr>
      </w:pPr>
      <w:r w:rsidRPr="007A5201">
        <w:rPr>
          <w:rtl/>
        </w:rPr>
        <w:t>4-9</w:t>
      </w:r>
      <w:r w:rsidRPr="007A5201">
        <w:rPr>
          <w:rtl/>
        </w:rPr>
        <w:tab/>
        <w:t>و</w:t>
      </w:r>
      <w:r w:rsidR="00074000">
        <w:rPr>
          <w:rtl/>
        </w:rPr>
        <w:t>فيما يتعلق</w:t>
      </w:r>
      <w:r w:rsidRPr="007A5201">
        <w:rPr>
          <w:rtl/>
        </w:rPr>
        <w:t xml:space="preserve"> بتقدير مدى وجود خطر شخصي من التعرض للتعذيب، تؤكد الدولة الطرف أن وجود خطر</w:t>
      </w:r>
      <w:r w:rsidR="00074000">
        <w:rPr>
          <w:rtl/>
        </w:rPr>
        <w:t xml:space="preserve"> عام </w:t>
      </w:r>
      <w:r w:rsidRPr="007A5201">
        <w:rPr>
          <w:rtl/>
        </w:rPr>
        <w:t>من التعرض للعنف</w:t>
      </w:r>
      <w:r w:rsidR="00074000">
        <w:rPr>
          <w:rtl/>
        </w:rPr>
        <w:t xml:space="preserve"> لا </w:t>
      </w:r>
      <w:r w:rsidRPr="007A5201">
        <w:rPr>
          <w:rtl/>
        </w:rPr>
        <w:t>يشكل سبب</w:t>
      </w:r>
      <w:r w:rsidR="00F07E37" w:rsidRPr="007A5201">
        <w:rPr>
          <w:rtl/>
        </w:rPr>
        <w:t xml:space="preserve">اً </w:t>
      </w:r>
      <w:r w:rsidRPr="007A5201">
        <w:rPr>
          <w:rtl/>
        </w:rPr>
        <w:t>يكفي للجزم بأن شخص</w:t>
      </w:r>
      <w:r w:rsidR="00F07E37" w:rsidRPr="007A5201">
        <w:rPr>
          <w:rtl/>
        </w:rPr>
        <w:t xml:space="preserve">اً </w:t>
      </w:r>
      <w:r w:rsidRPr="007A5201">
        <w:rPr>
          <w:rtl/>
        </w:rPr>
        <w:t>بعينه سيواجه خطر التعذيب عند عودته إلى ذلك البلد، وأن صاحب الشكوى</w:t>
      </w:r>
      <w:r w:rsidR="00074000">
        <w:rPr>
          <w:rtl/>
        </w:rPr>
        <w:t xml:space="preserve"> لم </w:t>
      </w:r>
      <w:r w:rsidRPr="007A5201">
        <w:rPr>
          <w:rtl/>
        </w:rPr>
        <w:t>يثبت وجود أسباب إضافية تبين أنه يواجه خطر</w:t>
      </w:r>
      <w:r w:rsidR="00F07E37" w:rsidRPr="007A5201">
        <w:rPr>
          <w:rtl/>
        </w:rPr>
        <w:t xml:space="preserve">اً </w:t>
      </w:r>
      <w:r w:rsidRPr="007A5201">
        <w:rPr>
          <w:rtl/>
        </w:rPr>
        <w:t>متوقع</w:t>
      </w:r>
      <w:r w:rsidR="00F07E37" w:rsidRPr="007A5201">
        <w:rPr>
          <w:rtl/>
        </w:rPr>
        <w:t xml:space="preserve">اً </w:t>
      </w:r>
      <w:r w:rsidRPr="007A5201">
        <w:rPr>
          <w:rtl/>
        </w:rPr>
        <w:t>وحقيقي</w:t>
      </w:r>
      <w:r w:rsidR="00F07E37" w:rsidRPr="007A5201">
        <w:rPr>
          <w:rtl/>
        </w:rPr>
        <w:t xml:space="preserve">اً </w:t>
      </w:r>
      <w:r w:rsidRPr="007A5201">
        <w:rPr>
          <w:rtl/>
        </w:rPr>
        <w:t>وشخصي</w:t>
      </w:r>
      <w:r w:rsidR="00F07E37" w:rsidRPr="007A5201">
        <w:rPr>
          <w:rtl/>
        </w:rPr>
        <w:t xml:space="preserve">اً </w:t>
      </w:r>
      <w:r w:rsidRPr="007A5201">
        <w:rPr>
          <w:rtl/>
        </w:rPr>
        <w:t>من التعرض للتعذيب إذا</w:t>
      </w:r>
      <w:r w:rsidR="00074000">
        <w:rPr>
          <w:rtl/>
        </w:rPr>
        <w:t xml:space="preserve"> ما </w:t>
      </w:r>
      <w:r w:rsidRPr="007A5201">
        <w:rPr>
          <w:rtl/>
        </w:rPr>
        <w:t xml:space="preserve">أُعيد إلى </w:t>
      </w:r>
      <w:r w:rsidR="00074000">
        <w:rPr>
          <w:rtl/>
        </w:rPr>
        <w:t>سري لانكا</w:t>
      </w:r>
      <w:r w:rsidRPr="007A5201">
        <w:rPr>
          <w:rtl/>
        </w:rPr>
        <w:t xml:space="preserve">. وتكرر الدولة الطرف القول إن المسائل التي أثارها صاحب الشكوى، في إطار الإجراءات المحلية، </w:t>
      </w:r>
      <w:r w:rsidR="00074000">
        <w:rPr>
          <w:rtl/>
        </w:rPr>
        <w:t>فيما يتعلق</w:t>
      </w:r>
      <w:r w:rsidRPr="007A5201">
        <w:rPr>
          <w:rtl/>
        </w:rPr>
        <w:t xml:space="preserve"> بانتهاكات حقوق الإنسان في </w:t>
      </w:r>
      <w:r w:rsidR="00074000">
        <w:rPr>
          <w:rtl/>
        </w:rPr>
        <w:t>سري لانكا</w:t>
      </w:r>
      <w:r w:rsidRPr="007A5201">
        <w:rPr>
          <w:rtl/>
        </w:rPr>
        <w:t xml:space="preserve"> وبعودة طالبي اللجوء إليها، قد دُرست بشكل محدد وبعناية في جميع الإجراءات المحلية،</w:t>
      </w:r>
      <w:r w:rsidR="00074000">
        <w:rPr>
          <w:rtl/>
        </w:rPr>
        <w:t xml:space="preserve"> بما </w:t>
      </w:r>
      <w:r w:rsidRPr="007A5201">
        <w:rPr>
          <w:rtl/>
        </w:rPr>
        <w:t>في ذلك في ضوء المعلومات المقدمة من مفوضية الأمم المتحدة السامية لشؤون اللاجئين، ومن منظمات غير حكومية ووزارات خارجية تابعة لحكومات أخرى</w:t>
      </w:r>
      <w:r w:rsidRPr="007A5201">
        <w:rPr>
          <w:vertAlign w:val="superscript"/>
          <w:rtl/>
        </w:rPr>
        <w:t>(</w:t>
      </w:r>
      <w:r w:rsidRPr="007A5201">
        <w:rPr>
          <w:vertAlign w:val="superscript"/>
          <w:rtl/>
        </w:rPr>
        <w:footnoteReference w:id="18"/>
      </w:r>
      <w:r w:rsidRPr="007A5201">
        <w:rPr>
          <w:vertAlign w:val="superscript"/>
          <w:rtl/>
        </w:rPr>
        <w:t>)</w:t>
      </w:r>
      <w:r w:rsidRPr="007A5201">
        <w:rPr>
          <w:rtl/>
        </w:rPr>
        <w:t>.</w:t>
      </w:r>
    </w:p>
    <w:p w:rsidR="007832A2" w:rsidRPr="007A5201" w:rsidRDefault="007832A2" w:rsidP="007832A2">
      <w:pPr>
        <w:pStyle w:val="SingleTxtGA"/>
        <w:rPr>
          <w:rtl/>
        </w:rPr>
      </w:pPr>
      <w:r w:rsidRPr="007A5201">
        <w:rPr>
          <w:rtl/>
        </w:rPr>
        <w:t>4-10</w:t>
      </w:r>
      <w:r w:rsidRPr="007A5201">
        <w:rPr>
          <w:rtl/>
        </w:rPr>
        <w:tab/>
        <w:t>وأخير</w:t>
      </w:r>
      <w:r w:rsidR="00F07E37" w:rsidRPr="007A5201">
        <w:rPr>
          <w:rtl/>
        </w:rPr>
        <w:t>اً،</w:t>
      </w:r>
      <w:r w:rsidRPr="007A5201">
        <w:rPr>
          <w:rtl/>
        </w:rPr>
        <w:t xml:space="preserve"> تزعم الدولة الطرف أن موظفيْن من إدارة الهجرة وحماية الحدود رافقا صاحب الشكوى أثناء إبعاده من أستراليا حتى لحظة خروجه من المطار متوجهاً إلى كولومبو. ولدى وصوله، استجوبته إدارة التحقيقات الجنائية التابعة لشرطة </w:t>
      </w:r>
      <w:r w:rsidR="00074000">
        <w:rPr>
          <w:rtl/>
        </w:rPr>
        <w:t>سري لانكا</w:t>
      </w:r>
      <w:r w:rsidRPr="007A5201">
        <w:rPr>
          <w:rtl/>
        </w:rPr>
        <w:t xml:space="preserve"> في المطار. لكن الشرطة</w:t>
      </w:r>
      <w:r w:rsidR="00074000">
        <w:rPr>
          <w:rtl/>
        </w:rPr>
        <w:t xml:space="preserve"> لم </w:t>
      </w:r>
      <w:r w:rsidRPr="007A5201">
        <w:rPr>
          <w:rtl/>
        </w:rPr>
        <w:t>تحتجزه</w:t>
      </w:r>
      <w:r w:rsidR="00074000">
        <w:rPr>
          <w:rtl/>
        </w:rPr>
        <w:t xml:space="preserve"> أو </w:t>
      </w:r>
      <w:r w:rsidRPr="007A5201">
        <w:rPr>
          <w:rtl/>
        </w:rPr>
        <w:t xml:space="preserve">توجه إليه الاتهام فور عودته إلى </w:t>
      </w:r>
      <w:r w:rsidR="00074000">
        <w:rPr>
          <w:rtl/>
        </w:rPr>
        <w:t>سري لانكا</w:t>
      </w:r>
      <w:r w:rsidRPr="007A5201">
        <w:rPr>
          <w:rtl/>
        </w:rPr>
        <w:t>، رغم كونه شخص</w:t>
      </w:r>
      <w:r w:rsidR="00F07E37" w:rsidRPr="007A5201">
        <w:rPr>
          <w:rtl/>
        </w:rPr>
        <w:t xml:space="preserve">اً </w:t>
      </w:r>
      <w:r w:rsidRPr="007A5201">
        <w:rPr>
          <w:rtl/>
        </w:rPr>
        <w:t>من التاميل</w:t>
      </w:r>
      <w:r w:rsidR="00074000">
        <w:rPr>
          <w:rtl/>
        </w:rPr>
        <w:t xml:space="preserve"> لم </w:t>
      </w:r>
      <w:r w:rsidRPr="007A5201">
        <w:rPr>
          <w:rtl/>
        </w:rPr>
        <w:t>يتمكن من الحصول على الحماية في أستراليا، وسمح له بحرية المغادرة. وغادر صاحب الشكوى المطار من إحدى بوابات الخروج العادية حيث لقي شقيقه.</w:t>
      </w:r>
    </w:p>
    <w:p w:rsidR="007832A2" w:rsidRPr="007A5201" w:rsidRDefault="007832A2" w:rsidP="007832A2">
      <w:pPr>
        <w:pStyle w:val="SingleTxtGA"/>
        <w:rPr>
          <w:rtl/>
        </w:rPr>
      </w:pPr>
      <w:r w:rsidRPr="007A5201">
        <w:rPr>
          <w:rtl/>
        </w:rPr>
        <w:t>4-11</w:t>
      </w:r>
      <w:r w:rsidRPr="007A5201">
        <w:rPr>
          <w:rtl/>
        </w:rPr>
        <w:tab/>
        <w:t>وتخلص الدولة الطرف إلى أن صاحب الشكوى</w:t>
      </w:r>
      <w:r w:rsidR="00074000">
        <w:rPr>
          <w:rtl/>
        </w:rPr>
        <w:t xml:space="preserve"> لم </w:t>
      </w:r>
      <w:r w:rsidRPr="007A5201">
        <w:rPr>
          <w:rtl/>
        </w:rPr>
        <w:t>يقدم أدلة كافية تثبت أنه سيواجه شخصياً خطر التعذيب،</w:t>
      </w:r>
      <w:r w:rsidR="00074000">
        <w:rPr>
          <w:rtl/>
        </w:rPr>
        <w:t xml:space="preserve"> أو </w:t>
      </w:r>
      <w:r w:rsidRPr="007A5201">
        <w:rPr>
          <w:rtl/>
        </w:rPr>
        <w:t>أن إبعاده يمكن أن يشكل معاملة قد تعتبر بمثابة تعذيب بالمعنى المنصوص عليه في المادة 1 من الاتفاقية.</w:t>
      </w:r>
    </w:p>
    <w:p w:rsidR="007832A2" w:rsidRPr="007A5201" w:rsidRDefault="007832A2" w:rsidP="007832A2">
      <w:pPr>
        <w:pStyle w:val="H23GA"/>
      </w:pPr>
      <w:r w:rsidRPr="007A5201">
        <w:rPr>
          <w:rtl/>
        </w:rPr>
        <w:tab/>
      </w:r>
      <w:r w:rsidRPr="007A5201">
        <w:rPr>
          <w:rtl/>
        </w:rPr>
        <w:tab/>
        <w:t>تعليقات صاحب الشكوى على ملاحظات الدولة الطرف</w:t>
      </w:r>
    </w:p>
    <w:p w:rsidR="00AE43A7" w:rsidRPr="007A5201" w:rsidRDefault="007832A2" w:rsidP="00452996">
      <w:pPr>
        <w:pStyle w:val="SingleTxtGA"/>
        <w:rPr>
          <w:spacing w:val="-2"/>
          <w:rtl/>
        </w:rPr>
      </w:pPr>
      <w:r w:rsidRPr="007A5201">
        <w:rPr>
          <w:spacing w:val="-2"/>
          <w:rtl/>
        </w:rPr>
        <w:t>5-</w:t>
      </w:r>
      <w:r w:rsidRPr="007A5201">
        <w:rPr>
          <w:spacing w:val="-2"/>
          <w:rtl/>
        </w:rPr>
        <w:tab/>
        <w:t>في 15 أيلول/سبتمبر 2014، طُلب من صاحب الشكوى أن يقدم تعليقات بحلول</w:t>
      </w:r>
      <w:r w:rsidR="00452996" w:rsidRPr="007A5201">
        <w:rPr>
          <w:rFonts w:hint="cs"/>
          <w:spacing w:val="-2"/>
          <w:rtl/>
        </w:rPr>
        <w:t> </w:t>
      </w:r>
      <w:r w:rsidRPr="007A5201">
        <w:rPr>
          <w:spacing w:val="-2"/>
          <w:rtl/>
        </w:rPr>
        <w:t>15 تشرين الأول/أكتوبر 2014.</w:t>
      </w:r>
      <w:r w:rsidR="00074000">
        <w:rPr>
          <w:spacing w:val="-2"/>
          <w:rtl/>
        </w:rPr>
        <w:t xml:space="preserve"> ولم </w:t>
      </w:r>
      <w:r w:rsidRPr="007A5201">
        <w:rPr>
          <w:spacing w:val="-2"/>
          <w:rtl/>
        </w:rPr>
        <w:t>يرد منه أي رد.</w:t>
      </w:r>
      <w:r w:rsidR="00074000">
        <w:rPr>
          <w:spacing w:val="-2"/>
          <w:rtl/>
        </w:rPr>
        <w:t xml:space="preserve"> وفي </w:t>
      </w:r>
      <w:r w:rsidRPr="007A5201">
        <w:rPr>
          <w:spacing w:val="-2"/>
          <w:rtl/>
        </w:rPr>
        <w:t>يوميْ 16 و21 حزيران/</w:t>
      </w:r>
      <w:r w:rsidR="00452996" w:rsidRPr="007A5201">
        <w:rPr>
          <w:rFonts w:hint="cs"/>
          <w:spacing w:val="-2"/>
          <w:rtl/>
        </w:rPr>
        <w:t xml:space="preserve"> </w:t>
      </w:r>
      <w:r w:rsidRPr="007A5201">
        <w:rPr>
          <w:spacing w:val="-2"/>
          <w:rtl/>
        </w:rPr>
        <w:t>يونيه</w:t>
      </w:r>
      <w:r w:rsidR="00452996" w:rsidRPr="007A5201">
        <w:rPr>
          <w:rFonts w:hint="cs"/>
          <w:spacing w:val="-2"/>
          <w:rtl/>
        </w:rPr>
        <w:t> </w:t>
      </w:r>
      <w:r w:rsidRPr="007A5201">
        <w:rPr>
          <w:spacing w:val="-2"/>
          <w:rtl/>
        </w:rPr>
        <w:t>2017، وجهت إلى محامي صاحب الشكوى رسالتيْ تذكير إضافيتيْن، ولكن من دون جدوى</w:t>
      </w:r>
      <w:r w:rsidRPr="007A5201">
        <w:rPr>
          <w:spacing w:val="-2"/>
          <w:vertAlign w:val="superscript"/>
          <w:rtl/>
        </w:rPr>
        <w:t>(</w:t>
      </w:r>
      <w:r w:rsidRPr="007A5201">
        <w:rPr>
          <w:spacing w:val="-2"/>
          <w:vertAlign w:val="superscript"/>
          <w:rtl/>
        </w:rPr>
        <w:footnoteReference w:id="19"/>
      </w:r>
      <w:r w:rsidRPr="007A5201">
        <w:rPr>
          <w:spacing w:val="-2"/>
          <w:vertAlign w:val="superscript"/>
          <w:rtl/>
        </w:rPr>
        <w:t>)</w:t>
      </w:r>
      <w:r w:rsidRPr="007A5201">
        <w:rPr>
          <w:spacing w:val="-2"/>
          <w:rtl/>
        </w:rPr>
        <w:t>.</w:t>
      </w:r>
    </w:p>
    <w:p w:rsidR="007832A2" w:rsidRPr="007A5201" w:rsidRDefault="007832A2" w:rsidP="007832A2">
      <w:pPr>
        <w:pStyle w:val="H23GA"/>
        <w:rPr>
          <w:rtl/>
        </w:rPr>
      </w:pPr>
      <w:r w:rsidRPr="007A5201">
        <w:rPr>
          <w:rtl/>
        </w:rPr>
        <w:lastRenderedPageBreak/>
        <w:tab/>
      </w:r>
      <w:r w:rsidRPr="007A5201">
        <w:rPr>
          <w:rtl/>
        </w:rPr>
        <w:tab/>
        <w:t>القضايا والإجراءات المعروضة على اللجنة</w:t>
      </w:r>
    </w:p>
    <w:p w:rsidR="007832A2" w:rsidRPr="007A5201" w:rsidRDefault="007832A2" w:rsidP="009E1A9E">
      <w:pPr>
        <w:pStyle w:val="H4GA"/>
        <w:rPr>
          <w:rtl/>
        </w:rPr>
      </w:pPr>
      <w:r w:rsidRPr="007A5201">
        <w:rPr>
          <w:rtl/>
        </w:rPr>
        <w:tab/>
      </w:r>
      <w:r w:rsidRPr="007A5201">
        <w:rPr>
          <w:rtl/>
        </w:rPr>
        <w:tab/>
        <w:t>عدم تعاون الدولة الطرف مع اللجنة وعدم احترام طلبها بشأن اتخاذ تدابير مؤقتة عملاً بالماد</w:t>
      </w:r>
      <w:r w:rsidR="009E1A9E">
        <w:rPr>
          <w:rFonts w:hint="cs"/>
          <w:rtl/>
        </w:rPr>
        <w:t>ة </w:t>
      </w:r>
      <w:r w:rsidRPr="007A5201">
        <w:rPr>
          <w:rtl/>
        </w:rPr>
        <w:t>114 من نظامها الداخلي</w:t>
      </w:r>
    </w:p>
    <w:p w:rsidR="00AE43A7" w:rsidRPr="007A5201" w:rsidRDefault="007832A2" w:rsidP="007832A2">
      <w:pPr>
        <w:pStyle w:val="SingleTxtGA"/>
        <w:rPr>
          <w:rtl/>
        </w:rPr>
      </w:pPr>
      <w:r w:rsidRPr="007A5201">
        <w:rPr>
          <w:rtl/>
        </w:rPr>
        <w:t>6-1</w:t>
      </w:r>
      <w:r w:rsidRPr="007A5201">
        <w:rPr>
          <w:rtl/>
        </w:rPr>
        <w:tab/>
        <w:t>تشير اللجنة إلى أن اعتماد تدابير مؤقتة، عملاً بالمادة 114 من نظامها الداخلي، ووفقاً للمادة 22 من الاتفاقية، هو أمر أساسي لاضطلاع اللجنة بالدور المنوط بها بموجب تلك المادة. وعدم احترام طلب اللجنة اعتمادَ تدابير مؤقتة، وخاصة بإقدامها على إبعاد شخص يدعي أنه ضحية، قسراً، هو أمر يقوّض حماية الحقوق المكرسة في الاتفاقية</w:t>
      </w:r>
      <w:r w:rsidRPr="007A5201">
        <w:rPr>
          <w:vertAlign w:val="superscript"/>
          <w:rtl/>
        </w:rPr>
        <w:t>(</w:t>
      </w:r>
      <w:r w:rsidRPr="007A5201">
        <w:rPr>
          <w:vertAlign w:val="superscript"/>
          <w:rtl/>
        </w:rPr>
        <w:footnoteReference w:id="20"/>
      </w:r>
      <w:r w:rsidRPr="007A5201">
        <w:rPr>
          <w:vertAlign w:val="superscript"/>
          <w:rtl/>
        </w:rPr>
        <w:t>)</w:t>
      </w:r>
      <w:r w:rsidRPr="007A5201">
        <w:rPr>
          <w:rtl/>
        </w:rPr>
        <w:t>.</w:t>
      </w:r>
    </w:p>
    <w:p w:rsidR="00AE43A7" w:rsidRPr="007A5201" w:rsidRDefault="007832A2" w:rsidP="007832A2">
      <w:pPr>
        <w:pStyle w:val="SingleTxtGA"/>
        <w:rPr>
          <w:rtl/>
        </w:rPr>
      </w:pPr>
      <w:r w:rsidRPr="007A5201">
        <w:rPr>
          <w:rtl/>
        </w:rPr>
        <w:t>6-2</w:t>
      </w:r>
      <w:r w:rsidRPr="007A5201">
        <w:rPr>
          <w:rtl/>
        </w:rPr>
        <w:tab/>
        <w:t>وتحيط اللجنة علم</w:t>
      </w:r>
      <w:r w:rsidR="00F07E37" w:rsidRPr="007A5201">
        <w:rPr>
          <w:rtl/>
        </w:rPr>
        <w:t xml:space="preserve">اً </w:t>
      </w:r>
      <w:r w:rsidRPr="007A5201">
        <w:rPr>
          <w:rtl/>
        </w:rPr>
        <w:t>بحجة الدولة الطرف بشأن تعذر إطلاع السلطات المختصة على طلب اللجنة اتخاذ تدابير مؤقتة في غضون فترة كافية لمنع مغادرة صاحب الشكوى التي كانت مقررة في 25 حزيران/</w:t>
      </w:r>
      <w:proofErr w:type="gramStart"/>
      <w:r w:rsidRPr="007A5201">
        <w:rPr>
          <w:rtl/>
        </w:rPr>
        <w:t>يونيه</w:t>
      </w:r>
      <w:proofErr w:type="gramEnd"/>
      <w:r w:rsidRPr="007A5201">
        <w:rPr>
          <w:rtl/>
        </w:rPr>
        <w:t xml:space="preserve"> 2014.</w:t>
      </w:r>
      <w:r w:rsidR="00074000">
        <w:rPr>
          <w:rtl/>
        </w:rPr>
        <w:t xml:space="preserve"> وفي </w:t>
      </w:r>
      <w:r w:rsidRPr="007A5201">
        <w:rPr>
          <w:rtl/>
        </w:rPr>
        <w:t>هذا الصدد، دفعت الدولة الطرف بأن البلاغ الذي قدمه صاحب الشكوى إلى اللجنة خضع للتقييم، أثناء وجوده في نقطة العبور، واستُنتج من هذا التقييم أن البلاغ يخلو من أي معلومات جديدة</w:t>
      </w:r>
      <w:r w:rsidR="00074000">
        <w:rPr>
          <w:rtl/>
        </w:rPr>
        <w:t xml:space="preserve"> لم </w:t>
      </w:r>
      <w:r w:rsidRPr="007A5201">
        <w:rPr>
          <w:rtl/>
        </w:rPr>
        <w:t xml:space="preserve">يُنظر فيها على نحو شامل في إطار الإجراءات المحلية. وتشير اللجنة إلى عدم وجود معلومات عن سلطات الدولة الطرف التي أجرت هذا التقييم السريع، وتفيد بأنها فقدت الاتصال بصاحب الشكوى بعد إبعاده إلى </w:t>
      </w:r>
      <w:r w:rsidR="00074000">
        <w:rPr>
          <w:rtl/>
        </w:rPr>
        <w:t>سري لانكا</w:t>
      </w:r>
      <w:r w:rsidRPr="007A5201">
        <w:rPr>
          <w:rtl/>
        </w:rPr>
        <w:t>،</w:t>
      </w:r>
      <w:r w:rsidR="00074000">
        <w:rPr>
          <w:rtl/>
        </w:rPr>
        <w:t xml:space="preserve"> ولم </w:t>
      </w:r>
      <w:r w:rsidRPr="007A5201">
        <w:rPr>
          <w:rtl/>
        </w:rPr>
        <w:t>تردْها منه أي معلومات إضافية. وتذكّر اللجنة بأن مبدأ عدم الإعادة القسرية المنصوص عليه في المادة 3 من الاتفاقية هو مبدأ مطلق</w:t>
      </w:r>
      <w:r w:rsidRPr="007A5201">
        <w:rPr>
          <w:vertAlign w:val="superscript"/>
          <w:rtl/>
        </w:rPr>
        <w:t>(</w:t>
      </w:r>
      <w:r w:rsidRPr="007A5201">
        <w:rPr>
          <w:vertAlign w:val="superscript"/>
          <w:rtl/>
        </w:rPr>
        <w:footnoteReference w:id="21"/>
      </w:r>
      <w:r w:rsidRPr="007A5201">
        <w:rPr>
          <w:vertAlign w:val="superscript"/>
          <w:rtl/>
        </w:rPr>
        <w:t>)</w:t>
      </w:r>
      <w:r w:rsidRPr="007A5201">
        <w:rPr>
          <w:rtl/>
        </w:rPr>
        <w:t>.</w:t>
      </w:r>
    </w:p>
    <w:p w:rsidR="007832A2" w:rsidRPr="007A5201" w:rsidRDefault="007832A2" w:rsidP="00EC4892">
      <w:pPr>
        <w:pStyle w:val="SingleTxtGA"/>
        <w:rPr>
          <w:rtl/>
        </w:rPr>
      </w:pPr>
      <w:r w:rsidRPr="007A5201">
        <w:rPr>
          <w:rtl/>
        </w:rPr>
        <w:t>6-3</w:t>
      </w:r>
      <w:r w:rsidRPr="007A5201">
        <w:rPr>
          <w:rtl/>
        </w:rPr>
        <w:tab/>
        <w:t>وترى اللجنة أن أي دولة طرف أصدرت إعلان</w:t>
      </w:r>
      <w:r w:rsidR="00F07E37" w:rsidRPr="007A5201">
        <w:rPr>
          <w:rtl/>
        </w:rPr>
        <w:t xml:space="preserve">اً </w:t>
      </w:r>
      <w:r w:rsidRPr="007A5201">
        <w:rPr>
          <w:rtl/>
        </w:rPr>
        <w:t>بموجب المادة 22(1) من الاتفاقية تعترف باختصاص اللجنة في تسلم ودراسة الشكاوى الواردة من أفراد يدعون أنهم ضحايا لانتهاك أحكام الاتفاقية. وبإصدار مثل هذا الإعلان تتعهد الدول الأطراف، ضمناً، بالتعاون مع اللجنة بحسن نية وذلك بمدِّها بالوسائل اللازمة لكي تدرس الشكاوى التي تُقدم إليها، وترسل تعليقاتها، بعد إجراء هذه الدراسة، إلى الدولة الطرف وصاحب الشكاوى. وعدم احترام الدولة الطرف لطلب اتخاذ تدابير مؤقتة، الذي أُحيل إليها في 24 حزيران/</w:t>
      </w:r>
      <w:proofErr w:type="gramStart"/>
      <w:r w:rsidRPr="007A5201">
        <w:rPr>
          <w:rtl/>
        </w:rPr>
        <w:t>يونيه</w:t>
      </w:r>
      <w:proofErr w:type="gramEnd"/>
      <w:r w:rsidRPr="007A5201">
        <w:rPr>
          <w:rtl/>
        </w:rPr>
        <w:t xml:space="preserve"> 2015، فيه إخلال خطير بالالتزامات الواقعة عليها بموجب المادة 22 من الاتفاقية، خاصة وأن إبعاد صاحب الشكوى إلى </w:t>
      </w:r>
      <w:r w:rsidR="00074000">
        <w:rPr>
          <w:rtl/>
        </w:rPr>
        <w:t>سري لانكا</w:t>
      </w:r>
      <w:r w:rsidRPr="007A5201">
        <w:rPr>
          <w:rtl/>
        </w:rPr>
        <w:t xml:space="preserve"> حال دون تمكن اللجنة من دراسة شكواه على نحو فعال.</w:t>
      </w:r>
    </w:p>
    <w:p w:rsidR="007832A2" w:rsidRPr="007A5201" w:rsidRDefault="007832A2" w:rsidP="007832A2">
      <w:pPr>
        <w:pStyle w:val="H4GA"/>
        <w:rPr>
          <w:rtl/>
        </w:rPr>
      </w:pPr>
      <w:r w:rsidRPr="007A5201">
        <w:rPr>
          <w:rtl/>
        </w:rPr>
        <w:tab/>
      </w:r>
      <w:r w:rsidRPr="007A5201">
        <w:rPr>
          <w:rtl/>
        </w:rPr>
        <w:tab/>
        <w:t>النظر في المقبولية</w:t>
      </w:r>
    </w:p>
    <w:p w:rsidR="007832A2" w:rsidRPr="007A5201" w:rsidRDefault="007832A2" w:rsidP="00452996">
      <w:pPr>
        <w:pStyle w:val="SingleTxtGA"/>
        <w:rPr>
          <w:rtl/>
        </w:rPr>
      </w:pPr>
      <w:r w:rsidRPr="007A5201">
        <w:rPr>
          <w:rtl/>
        </w:rPr>
        <w:t>7-1</w:t>
      </w:r>
      <w:r w:rsidRPr="007A5201">
        <w:rPr>
          <w:rtl/>
        </w:rPr>
        <w:tab/>
        <w:t>قبل النظر في أي شكوى ترد في بلاغ ما، يجب على اللجنة أن تقرر</w:t>
      </w:r>
      <w:r w:rsidR="00074000">
        <w:rPr>
          <w:rtl/>
        </w:rPr>
        <w:t xml:space="preserve"> ما </w:t>
      </w:r>
      <w:r w:rsidRPr="007A5201">
        <w:rPr>
          <w:rtl/>
        </w:rPr>
        <w:t>إذا كان البلاغ مقبولاً</w:t>
      </w:r>
      <w:r w:rsidR="00074000">
        <w:rPr>
          <w:rtl/>
        </w:rPr>
        <w:t xml:space="preserve"> أو </w:t>
      </w:r>
      <w:r w:rsidRPr="007A5201">
        <w:rPr>
          <w:rtl/>
        </w:rPr>
        <w:t>غير مقبول بموجب المادة 22 من الاتفاقية. وقد تحققت اللجنة، وفق</w:t>
      </w:r>
      <w:r w:rsidR="00074000">
        <w:rPr>
          <w:rtl/>
        </w:rPr>
        <w:t xml:space="preserve"> ما </w:t>
      </w:r>
      <w:proofErr w:type="spellStart"/>
      <w:r w:rsidRPr="007A5201">
        <w:rPr>
          <w:rtl/>
        </w:rPr>
        <w:t>تقتضيه</w:t>
      </w:r>
      <w:proofErr w:type="spellEnd"/>
      <w:r w:rsidRPr="007A5201">
        <w:rPr>
          <w:rtl/>
        </w:rPr>
        <w:t xml:space="preserve"> </w:t>
      </w:r>
      <w:r w:rsidRPr="007A5201">
        <w:rPr>
          <w:rtl/>
        </w:rPr>
        <w:lastRenderedPageBreak/>
        <w:t>الفقرة</w:t>
      </w:r>
      <w:r w:rsidR="00452996" w:rsidRPr="007A5201">
        <w:rPr>
          <w:rFonts w:hint="cs"/>
          <w:rtl/>
        </w:rPr>
        <w:t> </w:t>
      </w:r>
      <w:r w:rsidRPr="007A5201">
        <w:rPr>
          <w:rtl/>
        </w:rPr>
        <w:t>5(أ) من المادة 22 من الاتفاقية، من أن المسألة نفسها</w:t>
      </w:r>
      <w:r w:rsidR="00074000">
        <w:rPr>
          <w:rtl/>
        </w:rPr>
        <w:t xml:space="preserve"> لم </w:t>
      </w:r>
      <w:r w:rsidRPr="007A5201">
        <w:rPr>
          <w:rtl/>
        </w:rPr>
        <w:t>يجر بحثها،</w:t>
      </w:r>
      <w:r w:rsidR="00074000">
        <w:rPr>
          <w:rtl/>
        </w:rPr>
        <w:t xml:space="preserve"> ولا </w:t>
      </w:r>
      <w:r w:rsidRPr="007A5201">
        <w:rPr>
          <w:rtl/>
        </w:rPr>
        <w:t>يجري بحثها بموجب أي إجراء من إجراءات التحقيق</w:t>
      </w:r>
      <w:r w:rsidR="00074000">
        <w:rPr>
          <w:rtl/>
        </w:rPr>
        <w:t xml:space="preserve"> أو </w:t>
      </w:r>
      <w:r w:rsidRPr="007A5201">
        <w:rPr>
          <w:rtl/>
        </w:rPr>
        <w:t>التسوية الدولية.</w:t>
      </w:r>
    </w:p>
    <w:p w:rsidR="007832A2" w:rsidRPr="007A5201" w:rsidRDefault="007832A2" w:rsidP="00EC4892">
      <w:pPr>
        <w:pStyle w:val="SingleTxtGA"/>
        <w:rPr>
          <w:rtl/>
        </w:rPr>
      </w:pPr>
      <w:r w:rsidRPr="007A5201">
        <w:rPr>
          <w:rtl/>
        </w:rPr>
        <w:t>7-2</w:t>
      </w:r>
      <w:r w:rsidRPr="007A5201">
        <w:rPr>
          <w:rtl/>
        </w:rPr>
        <w:tab/>
        <w:t>وتذكِّر اللجنة بأنها</w:t>
      </w:r>
      <w:r w:rsidR="00074000">
        <w:rPr>
          <w:rtl/>
        </w:rPr>
        <w:t xml:space="preserve"> لا </w:t>
      </w:r>
      <w:r w:rsidRPr="007A5201">
        <w:rPr>
          <w:rtl/>
        </w:rPr>
        <w:t>تنظر، عملاً بالفقرة 5(ب) من المادة 22 من الاتفاقية، في أي شكوى</w:t>
      </w:r>
      <w:r w:rsidR="00074000">
        <w:rPr>
          <w:rtl/>
        </w:rPr>
        <w:t xml:space="preserve"> ما لم </w:t>
      </w:r>
      <w:r w:rsidRPr="007A5201">
        <w:rPr>
          <w:rtl/>
        </w:rPr>
        <w:t>تتحقق من أن جميع سُبُل الانتصاف المحلية المتاحة قد استنفدت. وتلاحظ اللجنة أن الدولة الطرف، في هذه القضية،</w:t>
      </w:r>
      <w:r w:rsidR="00074000">
        <w:rPr>
          <w:rtl/>
        </w:rPr>
        <w:t xml:space="preserve"> لم </w:t>
      </w:r>
      <w:r w:rsidRPr="007A5201">
        <w:rPr>
          <w:rtl/>
        </w:rPr>
        <w:t>تطعن في مقبولية الشكوى على هذا الأساس.</w:t>
      </w:r>
    </w:p>
    <w:p w:rsidR="007832A2" w:rsidRPr="007A5201" w:rsidRDefault="007832A2" w:rsidP="007832A2">
      <w:pPr>
        <w:pStyle w:val="SingleTxtGA"/>
        <w:rPr>
          <w:rtl/>
        </w:rPr>
      </w:pPr>
      <w:r w:rsidRPr="007A5201">
        <w:rPr>
          <w:rtl/>
        </w:rPr>
        <w:t>7-3</w:t>
      </w:r>
      <w:r w:rsidRPr="007A5201">
        <w:rPr>
          <w:rtl/>
        </w:rPr>
        <w:tab/>
        <w:t>وتحيط اللجنة علم</w:t>
      </w:r>
      <w:r w:rsidR="00F07E37" w:rsidRPr="007A5201">
        <w:rPr>
          <w:rtl/>
        </w:rPr>
        <w:t xml:space="preserve">اً </w:t>
      </w:r>
      <w:r w:rsidRPr="007A5201">
        <w:rPr>
          <w:rtl/>
        </w:rPr>
        <w:t>بحجة الدولة الطرف التي ترى أن البلاغ يستند إلى أسس واهية بشكل ظاهر، وأن صاحب الشكوى</w:t>
      </w:r>
      <w:r w:rsidR="00074000">
        <w:rPr>
          <w:rtl/>
        </w:rPr>
        <w:t xml:space="preserve"> لم </w:t>
      </w:r>
      <w:r w:rsidRPr="007A5201">
        <w:rPr>
          <w:rtl/>
        </w:rPr>
        <w:t xml:space="preserve">يثبت وجود خطر شخصي عليه من التعرض للتعذيب إذا أعيد إلى </w:t>
      </w:r>
      <w:r w:rsidR="00074000">
        <w:rPr>
          <w:rtl/>
        </w:rPr>
        <w:t>سري لانكا</w:t>
      </w:r>
      <w:r w:rsidRPr="007A5201">
        <w:rPr>
          <w:rtl/>
        </w:rPr>
        <w:t>، ولذلك، ينبغي اعتبار البلاغ غير مقبول وفقاً للمادة 113(ب) من نظام اللجنة الداخلي. وتُذكِّر اللجنة بأن اعتبار بلاغ</w:t>
      </w:r>
      <w:r w:rsidR="00074000">
        <w:rPr>
          <w:rtl/>
        </w:rPr>
        <w:t xml:space="preserve"> ما </w:t>
      </w:r>
      <w:r w:rsidRPr="007A5201">
        <w:rPr>
          <w:rtl/>
        </w:rPr>
        <w:t>مقبول</w:t>
      </w:r>
      <w:r w:rsidR="00F07E37" w:rsidRPr="007A5201">
        <w:rPr>
          <w:rtl/>
        </w:rPr>
        <w:t xml:space="preserve">اً </w:t>
      </w:r>
      <w:r w:rsidRPr="007A5201">
        <w:rPr>
          <w:rtl/>
        </w:rPr>
        <w:t>بموجب المادة 22 من الاتفاقية والمادة 113(ب) من نظامها الداخلي يقتضي استيفاءه الحد الأدنى من الإثبات المطلوب لأغراض المقبولية</w:t>
      </w:r>
      <w:r w:rsidRPr="007A5201">
        <w:rPr>
          <w:vertAlign w:val="superscript"/>
          <w:rtl/>
        </w:rPr>
        <w:t>(</w:t>
      </w:r>
      <w:r w:rsidRPr="007A5201">
        <w:rPr>
          <w:vertAlign w:val="superscript"/>
          <w:rtl/>
        </w:rPr>
        <w:footnoteReference w:id="22"/>
      </w:r>
      <w:r w:rsidRPr="007A5201">
        <w:rPr>
          <w:vertAlign w:val="superscript"/>
          <w:rtl/>
        </w:rPr>
        <w:t>)</w:t>
      </w:r>
      <w:r w:rsidRPr="007A5201">
        <w:rPr>
          <w:rtl/>
        </w:rPr>
        <w:t>. وترى اللجنة أن صاحب الشكوى فصَّل على نحو يفي بالغرض الوقائع والأساس الذي تستند إليه ادعاءاته بموجب المادة 3 من الاتفاقية لكي تتمكن اللجنة من اتخاذ قرار، ولذلك ترى أن ادعاءاته قد دعمت بأدلة كافية لأغراض المقبولية.</w:t>
      </w:r>
    </w:p>
    <w:p w:rsidR="007832A2" w:rsidRPr="007A5201" w:rsidRDefault="007832A2" w:rsidP="007832A2">
      <w:pPr>
        <w:pStyle w:val="SingleTxtGA"/>
        <w:rPr>
          <w:rtl/>
        </w:rPr>
      </w:pPr>
      <w:r w:rsidRPr="007A5201">
        <w:rPr>
          <w:rtl/>
        </w:rPr>
        <w:t>7-4</w:t>
      </w:r>
      <w:r w:rsidRPr="007A5201">
        <w:rPr>
          <w:rtl/>
        </w:rPr>
        <w:tab/>
        <w:t>وفي ضوء عدم وجود أي حائل آخر يحول دون قبول البلاغ، فإن اللجنة تعتبره مقبولاً وتشرع في النظر في أسسه الموضوعية.</w:t>
      </w:r>
    </w:p>
    <w:p w:rsidR="007832A2" w:rsidRPr="007A5201" w:rsidRDefault="007832A2" w:rsidP="007832A2">
      <w:pPr>
        <w:pStyle w:val="H4GA"/>
        <w:rPr>
          <w:rtl/>
        </w:rPr>
      </w:pPr>
      <w:r w:rsidRPr="007A5201">
        <w:rPr>
          <w:rtl/>
        </w:rPr>
        <w:tab/>
      </w:r>
      <w:r w:rsidRPr="007A5201">
        <w:rPr>
          <w:rtl/>
        </w:rPr>
        <w:tab/>
        <w:t>النظر في الأسس الموضوعية</w:t>
      </w:r>
    </w:p>
    <w:p w:rsidR="007832A2" w:rsidRPr="007A5201" w:rsidRDefault="007832A2" w:rsidP="007832A2">
      <w:pPr>
        <w:pStyle w:val="SingleTxtGA"/>
        <w:rPr>
          <w:rtl/>
        </w:rPr>
      </w:pPr>
      <w:r w:rsidRPr="007A5201">
        <w:rPr>
          <w:rtl/>
        </w:rPr>
        <w:t>8-1</w:t>
      </w:r>
      <w:r w:rsidRPr="007A5201">
        <w:rPr>
          <w:rtl/>
        </w:rPr>
        <w:tab/>
        <w:t>نظرت اللجنة في هذا البلاغ في ضوء جميع المعلومات التي أتاحها لها الطرفان، وفقاً للفقرة 4 من المادة 22 من الاتفاقية.</w:t>
      </w:r>
    </w:p>
    <w:p w:rsidR="007832A2" w:rsidRPr="007A5201" w:rsidRDefault="007832A2" w:rsidP="007832A2">
      <w:pPr>
        <w:pStyle w:val="SingleTxtGA"/>
        <w:rPr>
          <w:rtl/>
        </w:rPr>
      </w:pPr>
      <w:r w:rsidRPr="007A5201">
        <w:rPr>
          <w:rtl/>
        </w:rPr>
        <w:t>8-2</w:t>
      </w:r>
      <w:r w:rsidRPr="007A5201">
        <w:rPr>
          <w:rtl/>
        </w:rPr>
        <w:tab/>
        <w:t xml:space="preserve">وفي هذه القضية، تتمثل المسألة المعروضة على اللجنة في البت فيما إذا كان إبعاد صاحب الشكوى قسراً إلى </w:t>
      </w:r>
      <w:r w:rsidR="00074000">
        <w:rPr>
          <w:rtl/>
        </w:rPr>
        <w:t>سري لانكا</w:t>
      </w:r>
      <w:r w:rsidRPr="007A5201">
        <w:rPr>
          <w:rtl/>
        </w:rPr>
        <w:t xml:space="preserve"> سيشكّل انتهاكاً لالتزام الدولة الطرف، بموجب المادة 3 من الاتفاقية، بعدم طرد</w:t>
      </w:r>
      <w:r w:rsidR="00074000">
        <w:rPr>
          <w:rtl/>
        </w:rPr>
        <w:t xml:space="preserve"> أو </w:t>
      </w:r>
      <w:r w:rsidRPr="007A5201">
        <w:rPr>
          <w:rtl/>
        </w:rPr>
        <w:t>إعادة ("ردّ") شخص إلى دولة أخرى في حال توافرت أسباب جوهرية تدعو إلى الاعتقاد أنه سيكون معرضاً لخطر التعذيب.</w:t>
      </w:r>
    </w:p>
    <w:p w:rsidR="00AE43A7" w:rsidRPr="007A5201" w:rsidRDefault="007832A2" w:rsidP="00EC4892">
      <w:pPr>
        <w:pStyle w:val="SingleTxtGA"/>
        <w:rPr>
          <w:rtl/>
        </w:rPr>
      </w:pPr>
      <w:r w:rsidRPr="007A5201">
        <w:rPr>
          <w:rtl/>
        </w:rPr>
        <w:t>8-3</w:t>
      </w:r>
      <w:r w:rsidRPr="007A5201">
        <w:rPr>
          <w:rtl/>
        </w:rPr>
        <w:tab/>
        <w:t>ويجب على اللجنة تقدير</w:t>
      </w:r>
      <w:r w:rsidR="00074000">
        <w:rPr>
          <w:rtl/>
        </w:rPr>
        <w:t xml:space="preserve"> ما </w:t>
      </w:r>
      <w:r w:rsidRPr="007A5201">
        <w:rPr>
          <w:rtl/>
        </w:rPr>
        <w:t xml:space="preserve">إذا كانت هناك أسباب جوهرية تدعو إلى اعتقاد أن صاحب الشكوى معرضٌ شخصياً لخطر التعذيب عند إعادته إلى </w:t>
      </w:r>
      <w:r w:rsidR="00074000">
        <w:rPr>
          <w:rtl/>
        </w:rPr>
        <w:t>سري لانكا</w:t>
      </w:r>
      <w:r w:rsidRPr="007A5201">
        <w:rPr>
          <w:rtl/>
        </w:rPr>
        <w:t>. ويجب عليها، عند تقدير هذا الخطر، مراعاة جميع الاعتبارات ذات الصلة، وفقاً للمادة 3(2) من الاتفاقية،</w:t>
      </w:r>
      <w:r w:rsidR="00074000">
        <w:rPr>
          <w:rtl/>
        </w:rPr>
        <w:t xml:space="preserve"> بما </w:t>
      </w:r>
      <w:r w:rsidRPr="007A5201">
        <w:rPr>
          <w:rtl/>
        </w:rPr>
        <w:t>في ذلك وجود نمط ثابت من الانتهاكات الجسيمة</w:t>
      </w:r>
      <w:r w:rsidR="00074000">
        <w:rPr>
          <w:rtl/>
        </w:rPr>
        <w:t xml:space="preserve"> أو </w:t>
      </w:r>
      <w:r w:rsidRPr="007A5201">
        <w:rPr>
          <w:rtl/>
        </w:rPr>
        <w:t>الصارخة</w:t>
      </w:r>
      <w:r w:rsidR="00074000">
        <w:rPr>
          <w:rtl/>
        </w:rPr>
        <w:t xml:space="preserve"> أو </w:t>
      </w:r>
      <w:r w:rsidRPr="007A5201">
        <w:rPr>
          <w:rtl/>
        </w:rPr>
        <w:t>الجماعية لحقوق الإنسان. وتشير اللجنة في هذا السياق إلى الملاحظات التي أبدتها بشأن التقرير الدوري الخامس ل</w:t>
      </w:r>
      <w:r w:rsidR="00074000">
        <w:rPr>
          <w:rtl/>
        </w:rPr>
        <w:t>سري لانكا</w:t>
      </w:r>
      <w:r w:rsidRPr="007A5201">
        <w:rPr>
          <w:vertAlign w:val="superscript"/>
          <w:rtl/>
        </w:rPr>
        <w:t>(</w:t>
      </w:r>
      <w:r w:rsidRPr="007A5201">
        <w:rPr>
          <w:vertAlign w:val="superscript"/>
          <w:rtl/>
        </w:rPr>
        <w:footnoteReference w:id="23"/>
      </w:r>
      <w:r w:rsidRPr="007A5201">
        <w:rPr>
          <w:vertAlign w:val="superscript"/>
          <w:rtl/>
        </w:rPr>
        <w:t>)</w:t>
      </w:r>
      <w:r w:rsidRPr="007A5201">
        <w:rPr>
          <w:rtl/>
        </w:rPr>
        <w:t xml:space="preserve"> والتي أعربت فيها عن قلقها الشديد لورود تقارير تشير إلى أن أعمال الخطف والتعذيب وسوء المعاملة المرتكبة على أيدي قوات الأمن الحكومية في </w:t>
      </w:r>
      <w:r w:rsidR="00074000">
        <w:rPr>
          <w:rtl/>
        </w:rPr>
        <w:t>سري لانكا</w:t>
      </w:r>
      <w:r w:rsidRPr="007A5201">
        <w:rPr>
          <w:rtl/>
        </w:rPr>
        <w:t>،</w:t>
      </w:r>
      <w:r w:rsidR="00074000">
        <w:rPr>
          <w:rtl/>
        </w:rPr>
        <w:t xml:space="preserve"> بما </w:t>
      </w:r>
      <w:r w:rsidRPr="007A5201">
        <w:rPr>
          <w:rtl/>
        </w:rPr>
        <w:t>فيها قوات الشرطة، استمرت في أنحاء عدة من البلد بعد انتهاء النزاع مع حركة نمور تحرير تاميل إيلام في أيار/مايو 2009</w:t>
      </w:r>
      <w:r w:rsidRPr="007A5201">
        <w:rPr>
          <w:vertAlign w:val="superscript"/>
          <w:rtl/>
        </w:rPr>
        <w:t>(</w:t>
      </w:r>
      <w:r w:rsidRPr="007A5201">
        <w:rPr>
          <w:vertAlign w:val="superscript"/>
          <w:rtl/>
        </w:rPr>
        <w:footnoteReference w:id="24"/>
      </w:r>
      <w:r w:rsidRPr="007A5201">
        <w:rPr>
          <w:vertAlign w:val="superscript"/>
          <w:rtl/>
        </w:rPr>
        <w:t>)</w:t>
      </w:r>
      <w:r w:rsidRPr="007A5201">
        <w:rPr>
          <w:rtl/>
        </w:rPr>
        <w:t xml:space="preserve">. وأعربت اللجنة أيضاً عن القلق بشأن ارتكاب أفعال انتقامية ضد </w:t>
      </w:r>
      <w:r w:rsidRPr="007A5201">
        <w:rPr>
          <w:rtl/>
        </w:rPr>
        <w:lastRenderedPageBreak/>
        <w:t>ضحايا أفعال التعذيب والشهود عليها، وبشأن حالات الاختطاف والتعذيب في مرافق احتجاز غير معترف بها، واستفسرت عما إذا كان أي فعل من تلك الأفعال قد خضع لتحقيق سريع ونزيه وفعال</w:t>
      </w:r>
      <w:r w:rsidRPr="007A5201">
        <w:rPr>
          <w:vertAlign w:val="superscript"/>
          <w:rtl/>
        </w:rPr>
        <w:t>(</w:t>
      </w:r>
      <w:r w:rsidRPr="007A5201">
        <w:rPr>
          <w:vertAlign w:val="superscript"/>
          <w:rtl/>
        </w:rPr>
        <w:footnoteReference w:id="25"/>
      </w:r>
      <w:r w:rsidRPr="007A5201">
        <w:rPr>
          <w:vertAlign w:val="superscript"/>
          <w:rtl/>
        </w:rPr>
        <w:t>)</w:t>
      </w:r>
      <w:r w:rsidRPr="007A5201">
        <w:rPr>
          <w:rtl/>
        </w:rPr>
        <w:t>. وتذكّر اللجنة بأن الهدف من التقييم الذي يجري في سياق الشكاوى الفردية هو تحديد</w:t>
      </w:r>
      <w:r w:rsidR="00074000">
        <w:rPr>
          <w:rtl/>
        </w:rPr>
        <w:t xml:space="preserve"> ما </w:t>
      </w:r>
      <w:r w:rsidRPr="007A5201">
        <w:rPr>
          <w:rtl/>
        </w:rPr>
        <w:t>إذا كان الفرد المعني يواجه شخصياً خطر</w:t>
      </w:r>
      <w:r w:rsidR="00F07E37" w:rsidRPr="007A5201">
        <w:rPr>
          <w:rtl/>
        </w:rPr>
        <w:t xml:space="preserve">اً </w:t>
      </w:r>
      <w:r w:rsidRPr="007A5201">
        <w:rPr>
          <w:rtl/>
        </w:rPr>
        <w:t>متوقع</w:t>
      </w:r>
      <w:r w:rsidR="00F07E37" w:rsidRPr="007A5201">
        <w:rPr>
          <w:rtl/>
        </w:rPr>
        <w:t xml:space="preserve">اً </w:t>
      </w:r>
      <w:r w:rsidRPr="007A5201">
        <w:rPr>
          <w:rtl/>
        </w:rPr>
        <w:t>وحقيقي</w:t>
      </w:r>
      <w:r w:rsidR="00F07E37" w:rsidRPr="007A5201">
        <w:rPr>
          <w:rtl/>
        </w:rPr>
        <w:t xml:space="preserve">اً </w:t>
      </w:r>
      <w:r w:rsidRPr="007A5201">
        <w:rPr>
          <w:rtl/>
        </w:rPr>
        <w:t>من التعرض للتعذيب في البلد الذي يعاد إليه. ويستتبع ذلك أن وجود نمط ثابت من الانتهاكات الجسيمة</w:t>
      </w:r>
      <w:r w:rsidR="00074000">
        <w:rPr>
          <w:rtl/>
        </w:rPr>
        <w:t xml:space="preserve"> أو </w:t>
      </w:r>
      <w:r w:rsidRPr="007A5201">
        <w:rPr>
          <w:rtl/>
        </w:rPr>
        <w:t>الصارخة</w:t>
      </w:r>
      <w:r w:rsidR="00074000">
        <w:rPr>
          <w:rtl/>
        </w:rPr>
        <w:t xml:space="preserve"> أو </w:t>
      </w:r>
      <w:r w:rsidRPr="007A5201">
        <w:rPr>
          <w:rtl/>
        </w:rPr>
        <w:t>الجماعية لحقوق الإنسان في بلد</w:t>
      </w:r>
      <w:r w:rsidR="00074000">
        <w:rPr>
          <w:rtl/>
        </w:rPr>
        <w:t xml:space="preserve"> ما لا </w:t>
      </w:r>
      <w:r w:rsidRPr="007A5201">
        <w:rPr>
          <w:rtl/>
        </w:rPr>
        <w:t>يعدُّ في حدّ ذاته سبباً كافياً يُستنتج منه أن شخصاً بعينه سيتعرض للتعذيب عند عودته إلى ذلك البلد؛</w:t>
      </w:r>
      <w:r w:rsidR="00074000">
        <w:rPr>
          <w:rtl/>
        </w:rPr>
        <w:t xml:space="preserve"> فلا </w:t>
      </w:r>
      <w:r w:rsidRPr="007A5201">
        <w:rPr>
          <w:rtl/>
        </w:rPr>
        <w:t>بد من تقديم أسباب إضافية تبين أن الشخص المعني سيكون شخصياً في خطر</w:t>
      </w:r>
      <w:r w:rsidRPr="007A5201">
        <w:rPr>
          <w:vertAlign w:val="superscript"/>
          <w:rtl/>
        </w:rPr>
        <w:t>(</w:t>
      </w:r>
      <w:r w:rsidRPr="007A5201">
        <w:rPr>
          <w:vertAlign w:val="superscript"/>
          <w:rtl/>
        </w:rPr>
        <w:footnoteReference w:id="26"/>
      </w:r>
      <w:r w:rsidRPr="007A5201">
        <w:rPr>
          <w:vertAlign w:val="superscript"/>
          <w:rtl/>
        </w:rPr>
        <w:t>)</w:t>
      </w:r>
      <w:r w:rsidRPr="007A5201">
        <w:rPr>
          <w:rtl/>
        </w:rPr>
        <w:t>.</w:t>
      </w:r>
    </w:p>
    <w:p w:rsidR="00AE43A7" w:rsidRPr="007A5201" w:rsidRDefault="007832A2" w:rsidP="007832A2">
      <w:pPr>
        <w:pStyle w:val="SingleTxtGA"/>
        <w:rPr>
          <w:rtl/>
        </w:rPr>
      </w:pPr>
      <w:r w:rsidRPr="007A5201">
        <w:rPr>
          <w:rtl/>
        </w:rPr>
        <w:t>8-4</w:t>
      </w:r>
      <w:r w:rsidRPr="007A5201">
        <w:rPr>
          <w:rtl/>
        </w:rPr>
        <w:tab/>
        <w:t xml:space="preserve">وتشير اللجنة إلى تعليقها العام </w:t>
      </w:r>
      <w:r w:rsidR="00074000">
        <w:rPr>
          <w:rtl/>
        </w:rPr>
        <w:t>رقم </w:t>
      </w:r>
      <w:r w:rsidRPr="007A5201">
        <w:rPr>
          <w:rtl/>
        </w:rPr>
        <w:t>1(1997) بشأن تنفيذ المادة 3 من الاتفاقية، الذي يفيد بأن خطر التعذيب يجب أن يُقدَّر على أسس تتجاوز مجرد الافتراض</w:t>
      </w:r>
      <w:r w:rsidR="00074000">
        <w:rPr>
          <w:rtl/>
        </w:rPr>
        <w:t xml:space="preserve"> أو </w:t>
      </w:r>
      <w:r w:rsidRPr="007A5201">
        <w:rPr>
          <w:rtl/>
        </w:rPr>
        <w:t>الشك.</w:t>
      </w:r>
      <w:r w:rsidR="00074000">
        <w:rPr>
          <w:rtl/>
        </w:rPr>
        <w:t xml:space="preserve"> ولا </w:t>
      </w:r>
      <w:r w:rsidRPr="007A5201">
        <w:rPr>
          <w:rtl/>
        </w:rPr>
        <w:t>يتحتم أن يكون هذا الخطر موافقاً لاختبار مدى احتمال وقوعه (الفقرة 6) ولكن يجب أن يكون خطر</w:t>
      </w:r>
      <w:r w:rsidR="00F07E37" w:rsidRPr="007A5201">
        <w:rPr>
          <w:rtl/>
        </w:rPr>
        <w:t xml:space="preserve">اً </w:t>
      </w:r>
      <w:r w:rsidRPr="007A5201">
        <w:rPr>
          <w:rtl/>
        </w:rPr>
        <w:t>شخصي</w:t>
      </w:r>
      <w:r w:rsidR="00F07E37" w:rsidRPr="007A5201">
        <w:rPr>
          <w:rtl/>
        </w:rPr>
        <w:t xml:space="preserve">اً </w:t>
      </w:r>
      <w:r w:rsidRPr="007A5201">
        <w:rPr>
          <w:rtl/>
        </w:rPr>
        <w:t>ومحدق</w:t>
      </w:r>
      <w:r w:rsidR="00F07E37" w:rsidRPr="007A5201">
        <w:rPr>
          <w:rtl/>
        </w:rPr>
        <w:t>اً.</w:t>
      </w:r>
      <w:r w:rsidRPr="007A5201">
        <w:rPr>
          <w:rtl/>
        </w:rPr>
        <w:t xml:space="preserve"> وتُذكّر اللجنة بأن عبء الإثبات يقع عموماً على صاحب الشكوى الذي يتعين عليه عرض قضية قابلة للمناقشة مفادها أنه يواجه خطراً متوقعاً وحقيقياً وشخصياً</w:t>
      </w:r>
      <w:r w:rsidRPr="007A5201">
        <w:rPr>
          <w:vertAlign w:val="superscript"/>
          <w:rtl/>
        </w:rPr>
        <w:t>(</w:t>
      </w:r>
      <w:r w:rsidRPr="007A5201">
        <w:rPr>
          <w:vertAlign w:val="superscript"/>
          <w:rtl/>
        </w:rPr>
        <w:footnoteReference w:id="27"/>
      </w:r>
      <w:r w:rsidRPr="007A5201">
        <w:rPr>
          <w:vertAlign w:val="superscript"/>
          <w:rtl/>
        </w:rPr>
        <w:t>)</w:t>
      </w:r>
      <w:r w:rsidRPr="007A5201">
        <w:rPr>
          <w:rtl/>
        </w:rPr>
        <w:t>. وتذكر اللجنة أيضاً بأنها تعطي وزن</w:t>
      </w:r>
      <w:r w:rsidR="00F07E37" w:rsidRPr="007A5201">
        <w:rPr>
          <w:rtl/>
        </w:rPr>
        <w:t xml:space="preserve">اً </w:t>
      </w:r>
      <w:r w:rsidRPr="007A5201">
        <w:rPr>
          <w:rtl/>
        </w:rPr>
        <w:t>كبيراً، وفقاً</w:t>
      </w:r>
      <w:r w:rsidR="00074000">
        <w:rPr>
          <w:rtl/>
        </w:rPr>
        <w:t xml:space="preserve"> لما </w:t>
      </w:r>
      <w:r w:rsidRPr="007A5201">
        <w:rPr>
          <w:rtl/>
        </w:rPr>
        <w:t xml:space="preserve">ورد في تعليقها العام </w:t>
      </w:r>
      <w:r w:rsidR="00074000">
        <w:rPr>
          <w:rtl/>
        </w:rPr>
        <w:t>رقم </w:t>
      </w:r>
      <w:r w:rsidRPr="007A5201">
        <w:rPr>
          <w:rtl/>
        </w:rPr>
        <w:t xml:space="preserve">1، للحيثيات </w:t>
      </w:r>
      <w:proofErr w:type="spellStart"/>
      <w:r w:rsidRPr="007A5201">
        <w:rPr>
          <w:rtl/>
        </w:rPr>
        <w:t>الوقائعية</w:t>
      </w:r>
      <w:proofErr w:type="spellEnd"/>
      <w:r w:rsidRPr="007A5201">
        <w:rPr>
          <w:rtl/>
        </w:rPr>
        <w:t xml:space="preserve"> التي توفرها أجهزة الدولة الطرف المعنية (9)، ولكنها في الوقت ذاته</w:t>
      </w:r>
      <w:r w:rsidR="00074000">
        <w:rPr>
          <w:rtl/>
        </w:rPr>
        <w:t xml:space="preserve"> لا </w:t>
      </w:r>
      <w:r w:rsidRPr="007A5201">
        <w:rPr>
          <w:rtl/>
        </w:rPr>
        <w:t>تتقيد بهذه الحيثيات ولها، بدلاً من ذلك، حقٌّ تنص عليه الفقرة 4 من المادة 22 من الاتفاقية، في حرية تقدير الوقائع بناء على مجمل ملابسات كل قضية</w:t>
      </w:r>
      <w:r w:rsidRPr="007A5201">
        <w:rPr>
          <w:vertAlign w:val="superscript"/>
          <w:rtl/>
        </w:rPr>
        <w:t>(</w:t>
      </w:r>
      <w:r w:rsidRPr="007A5201">
        <w:rPr>
          <w:vertAlign w:val="superscript"/>
          <w:rtl/>
        </w:rPr>
        <w:footnoteReference w:id="28"/>
      </w:r>
      <w:r w:rsidRPr="007A5201">
        <w:rPr>
          <w:vertAlign w:val="superscript"/>
          <w:rtl/>
        </w:rPr>
        <w:t>)</w:t>
      </w:r>
      <w:r w:rsidRPr="007A5201">
        <w:rPr>
          <w:rtl/>
        </w:rPr>
        <w:t>.</w:t>
      </w:r>
    </w:p>
    <w:p w:rsidR="007832A2" w:rsidRPr="007A5201" w:rsidRDefault="007832A2" w:rsidP="007832A2">
      <w:pPr>
        <w:pStyle w:val="SingleTxtGA"/>
        <w:rPr>
          <w:spacing w:val="-4"/>
          <w:rtl/>
        </w:rPr>
      </w:pPr>
      <w:r w:rsidRPr="007A5201">
        <w:rPr>
          <w:spacing w:val="-4"/>
          <w:rtl/>
        </w:rPr>
        <w:t>8-5</w:t>
      </w:r>
      <w:r w:rsidRPr="007A5201">
        <w:rPr>
          <w:spacing w:val="-4"/>
          <w:rtl/>
        </w:rPr>
        <w:tab/>
        <w:t xml:space="preserve">وفي هذه القضية، يدعي صاحب الشكوى أنه سيتعرض للاحتجاز والتعذيب وربما القتل عند عودته إلى </w:t>
      </w:r>
      <w:r w:rsidR="00074000">
        <w:rPr>
          <w:spacing w:val="-4"/>
          <w:rtl/>
        </w:rPr>
        <w:t>سري لانكا</w:t>
      </w:r>
      <w:r w:rsidRPr="007A5201">
        <w:rPr>
          <w:spacing w:val="-4"/>
          <w:rtl/>
        </w:rPr>
        <w:t xml:space="preserve"> على أيدي الجيش السريلانكي</w:t>
      </w:r>
      <w:r w:rsidR="00074000">
        <w:rPr>
          <w:spacing w:val="-4"/>
          <w:rtl/>
        </w:rPr>
        <w:t xml:space="preserve"> أو </w:t>
      </w:r>
      <w:r w:rsidRPr="007A5201">
        <w:rPr>
          <w:spacing w:val="-4"/>
          <w:rtl/>
        </w:rPr>
        <w:t>الجماعات شبه العسكرية التابعة له بسبب مشاركته في</w:t>
      </w:r>
      <w:r w:rsidR="00074000">
        <w:rPr>
          <w:spacing w:val="-4"/>
          <w:rtl/>
        </w:rPr>
        <w:t xml:space="preserve"> عام </w:t>
      </w:r>
      <w:r w:rsidRPr="007A5201">
        <w:rPr>
          <w:spacing w:val="-4"/>
          <w:rtl/>
        </w:rPr>
        <w:t>2005 في العرض المسرحي الذي نظمته حركة نمور تحرير تاميل إيلام في مدرسة، وهو</w:t>
      </w:r>
      <w:r w:rsidR="00074000">
        <w:rPr>
          <w:spacing w:val="-4"/>
          <w:rtl/>
        </w:rPr>
        <w:t xml:space="preserve"> ما </w:t>
      </w:r>
      <w:r w:rsidRPr="007A5201">
        <w:rPr>
          <w:spacing w:val="-4"/>
          <w:rtl/>
        </w:rPr>
        <w:t>أدى إلى الاشتباه في كونه من مناصري حركة نمور تحرير تاميل إيلام. وتحيط اللجنة علم</w:t>
      </w:r>
      <w:r w:rsidR="00F07E37" w:rsidRPr="007A5201">
        <w:rPr>
          <w:spacing w:val="-4"/>
          <w:rtl/>
        </w:rPr>
        <w:t xml:space="preserve">اً </w:t>
      </w:r>
      <w:r w:rsidRPr="007A5201">
        <w:rPr>
          <w:spacing w:val="-4"/>
          <w:rtl/>
        </w:rPr>
        <w:t>بادعاءات صاحب الشكوى بشأن حضور عصابة مسلحة مجهولة الهوية إلى منزله، في</w:t>
      </w:r>
      <w:r w:rsidR="00074000">
        <w:rPr>
          <w:spacing w:val="-4"/>
          <w:rtl/>
        </w:rPr>
        <w:t xml:space="preserve"> عام </w:t>
      </w:r>
      <w:r w:rsidRPr="007A5201">
        <w:rPr>
          <w:spacing w:val="-4"/>
          <w:rtl/>
        </w:rPr>
        <w:t>2008، وسؤاله عن الحركة؛ وبأن رجلين حاولا اختطافه من المدرسة في حزيران/</w:t>
      </w:r>
      <w:proofErr w:type="gramStart"/>
      <w:r w:rsidRPr="007A5201">
        <w:rPr>
          <w:spacing w:val="-4"/>
          <w:rtl/>
        </w:rPr>
        <w:t>يونيه</w:t>
      </w:r>
      <w:proofErr w:type="gramEnd"/>
      <w:r w:rsidRPr="007A5201">
        <w:rPr>
          <w:spacing w:val="-4"/>
          <w:rtl/>
        </w:rPr>
        <w:t xml:space="preserve"> 2008؛ واختبائه، في الفترة بين تشرين الأول/أكتوبر 2009 وكانون الثاني/يناير 2011، في كاتدرائية سانت ماري في جفنا، لأن العصابات المسلحة كانت تزور أسرته بانتظام بحث</w:t>
      </w:r>
      <w:r w:rsidR="00F07E37" w:rsidRPr="007A5201">
        <w:rPr>
          <w:spacing w:val="-4"/>
          <w:rtl/>
        </w:rPr>
        <w:t xml:space="preserve">اً </w:t>
      </w:r>
      <w:r w:rsidRPr="007A5201">
        <w:rPr>
          <w:spacing w:val="-4"/>
          <w:rtl/>
        </w:rPr>
        <w:t xml:space="preserve">عنه؛ وبشأن إقدام الجيش </w:t>
      </w:r>
      <w:r w:rsidRPr="007A5201">
        <w:rPr>
          <w:spacing w:val="-4"/>
          <w:rtl/>
        </w:rPr>
        <w:lastRenderedPageBreak/>
        <w:t>السريلانكي، في أيار/مايو 2011، على تنفيذ عملية تفتيش للمنزل تعرض خلالها صاحب الشكوى للاعتداء والضرب. وتحيط اللجنة علم</w:t>
      </w:r>
      <w:r w:rsidR="00F07E37" w:rsidRPr="007A5201">
        <w:rPr>
          <w:spacing w:val="-4"/>
          <w:rtl/>
        </w:rPr>
        <w:t xml:space="preserve">اً </w:t>
      </w:r>
      <w:r w:rsidRPr="007A5201">
        <w:rPr>
          <w:spacing w:val="-4"/>
          <w:rtl/>
        </w:rPr>
        <w:t>أيض</w:t>
      </w:r>
      <w:r w:rsidR="00F07E37" w:rsidRPr="007A5201">
        <w:rPr>
          <w:spacing w:val="-4"/>
          <w:rtl/>
        </w:rPr>
        <w:t xml:space="preserve">اً </w:t>
      </w:r>
      <w:r w:rsidRPr="007A5201">
        <w:rPr>
          <w:spacing w:val="-4"/>
          <w:rtl/>
        </w:rPr>
        <w:t>بادعاءات صاحب الشكوى بشأن اختطافه، في حزيران/</w:t>
      </w:r>
      <w:proofErr w:type="gramStart"/>
      <w:r w:rsidRPr="007A5201">
        <w:rPr>
          <w:spacing w:val="-4"/>
          <w:rtl/>
        </w:rPr>
        <w:t>يونيه</w:t>
      </w:r>
      <w:proofErr w:type="gramEnd"/>
      <w:r w:rsidRPr="007A5201">
        <w:rPr>
          <w:spacing w:val="-4"/>
          <w:rtl/>
        </w:rPr>
        <w:t xml:space="preserve"> 2011، على أيدي مجموعة كبيرة من الرجال في شاحنة صغيرة بيضاء اللون وتعرضه للضرب والاعتداء الجنسي؛ وتمكين أحد أفراد العصابة له من الهرب بعد أن دفع والده رشوة. وتحيط اللجنة علم</w:t>
      </w:r>
      <w:r w:rsidR="00F07E37" w:rsidRPr="007A5201">
        <w:rPr>
          <w:spacing w:val="-4"/>
          <w:rtl/>
        </w:rPr>
        <w:t xml:space="preserve">اً </w:t>
      </w:r>
      <w:r w:rsidRPr="007A5201">
        <w:rPr>
          <w:spacing w:val="-4"/>
          <w:rtl/>
        </w:rPr>
        <w:t>كذلك بادعاءات صاحب الشكوى بشأن حضور أفراد من الجيش السريلانكي والعصابات المسلحة إلى منزله، عندما فر إلى ماليزيا تجنب</w:t>
      </w:r>
      <w:r w:rsidR="00F07E37" w:rsidRPr="007A5201">
        <w:rPr>
          <w:spacing w:val="-4"/>
          <w:rtl/>
        </w:rPr>
        <w:t xml:space="preserve">اً </w:t>
      </w:r>
      <w:r w:rsidRPr="007A5201">
        <w:rPr>
          <w:spacing w:val="-4"/>
          <w:rtl/>
        </w:rPr>
        <w:t>لمزيد من الاضطهاد، واستجوابهم لشقيقه، وبشأن احتمال تعرضه للاضطهاد مرة أخرى على أيدي الجماعات شبه العسكرية التابعة للجيش السريلانكي عند عودته إلى بلده.</w:t>
      </w:r>
    </w:p>
    <w:p w:rsidR="007832A2" w:rsidRPr="007A5201" w:rsidRDefault="007832A2" w:rsidP="00AE43A7">
      <w:pPr>
        <w:pStyle w:val="SingleTxtGA"/>
        <w:rPr>
          <w:rtl/>
        </w:rPr>
      </w:pPr>
      <w:r w:rsidRPr="007A5201">
        <w:rPr>
          <w:rtl/>
        </w:rPr>
        <w:t>8-6</w:t>
      </w:r>
      <w:r w:rsidRPr="007A5201">
        <w:rPr>
          <w:rtl/>
        </w:rPr>
        <w:tab/>
        <w:t>وتحيط اللجنة علم</w:t>
      </w:r>
      <w:r w:rsidR="00F07E37" w:rsidRPr="007A5201">
        <w:rPr>
          <w:rtl/>
        </w:rPr>
        <w:t xml:space="preserve">اً </w:t>
      </w:r>
      <w:r w:rsidRPr="007A5201">
        <w:rPr>
          <w:rtl/>
        </w:rPr>
        <w:t>أيضاً بتأكيد الدولة الطرف عدم تمكن صاحب الشكوى من تقديم أدلة موثوقة ومن إثبات ادعاءاته بوجود خطر متوقع وحقيقي وشخصي من تعرضه للتعذيب على أيدي السلطات إذا</w:t>
      </w:r>
      <w:r w:rsidR="00074000">
        <w:rPr>
          <w:rtl/>
        </w:rPr>
        <w:t xml:space="preserve"> ما </w:t>
      </w:r>
      <w:r w:rsidRPr="007A5201">
        <w:rPr>
          <w:rtl/>
        </w:rPr>
        <w:t xml:space="preserve">أعيد إلى </w:t>
      </w:r>
      <w:r w:rsidR="00074000">
        <w:rPr>
          <w:rtl/>
        </w:rPr>
        <w:t>سري لانكا</w:t>
      </w:r>
      <w:r w:rsidRPr="007A5201">
        <w:rPr>
          <w:rtl/>
        </w:rPr>
        <w:t xml:space="preserve">، وبتأكيدها خضوع ادعاءاته لاستعراض شامل في إطار إجراءات تحديد صفة اللاجئ وإجراءات الحماية التكميلية، وفقاً للتشريعات المحلية مع مراعاة حالة حقوق الإنسان الراهنة في </w:t>
      </w:r>
      <w:r w:rsidR="00074000">
        <w:rPr>
          <w:rtl/>
        </w:rPr>
        <w:t>سري لانكا</w:t>
      </w:r>
      <w:r w:rsidRPr="007A5201">
        <w:rPr>
          <w:rtl/>
        </w:rPr>
        <w:t>. وتلاحظ اللجنة أن سلطات الدولة الطرف خلصت إلى أن ادعاءاته بشأن التعرض للمضايقات خلال عامي 2008 و2011 واختطافه المزعوم في حزيران/</w:t>
      </w:r>
      <w:proofErr w:type="gramStart"/>
      <w:r w:rsidRPr="007A5201">
        <w:rPr>
          <w:rtl/>
        </w:rPr>
        <w:t>يونيه</w:t>
      </w:r>
      <w:proofErr w:type="gramEnd"/>
      <w:r w:rsidRPr="007A5201">
        <w:rPr>
          <w:rtl/>
        </w:rPr>
        <w:t xml:space="preserve"> 2011 ليست لها مصداقية. وتلاحظ اللجنة أيض</w:t>
      </w:r>
      <w:r w:rsidR="00F07E37" w:rsidRPr="007A5201">
        <w:rPr>
          <w:rtl/>
        </w:rPr>
        <w:t xml:space="preserve">اً </w:t>
      </w:r>
      <w:r w:rsidRPr="007A5201">
        <w:rPr>
          <w:rtl/>
        </w:rPr>
        <w:t>أن الدولة الطرف</w:t>
      </w:r>
      <w:r w:rsidR="00074000">
        <w:rPr>
          <w:rtl/>
        </w:rPr>
        <w:t xml:space="preserve"> لم </w:t>
      </w:r>
      <w:r w:rsidRPr="007A5201">
        <w:rPr>
          <w:rtl/>
        </w:rPr>
        <w:t>تأخذ</w:t>
      </w:r>
      <w:r w:rsidR="00074000">
        <w:rPr>
          <w:rtl/>
        </w:rPr>
        <w:t xml:space="preserve"> بما </w:t>
      </w:r>
      <w:r w:rsidRPr="007A5201">
        <w:rPr>
          <w:rtl/>
        </w:rPr>
        <w:t>قاله صاحب الشكوى عن الاشتباه في كونه من مناصري حركة نمور تحرير تاميل إيلام وعن لفته اهتمام الجماعات شبه العسكرية في الجيش السريلانكي بسبب مشاركته في العرض المسرحي في المدرسة</w:t>
      </w:r>
      <w:r w:rsidR="00074000">
        <w:rPr>
          <w:rtl/>
        </w:rPr>
        <w:t xml:space="preserve"> عام </w:t>
      </w:r>
      <w:r w:rsidRPr="007A5201">
        <w:rPr>
          <w:rtl/>
        </w:rPr>
        <w:t xml:space="preserve">2005. بل رأت أن تمكن صاحب الشكوى من مغادرة </w:t>
      </w:r>
      <w:r w:rsidR="00074000">
        <w:rPr>
          <w:rtl/>
        </w:rPr>
        <w:t>سري لانكا</w:t>
      </w:r>
      <w:r w:rsidRPr="007A5201">
        <w:rPr>
          <w:rtl/>
        </w:rPr>
        <w:t xml:space="preserve"> بجواز سفره من دون عقبات، يبرهن على خلاف ذلك. واستندت الهيئة المصدرة للقرار إلى المعلومات القطرية التي تشير إلى تحسن الحالة الأمنية في </w:t>
      </w:r>
      <w:r w:rsidR="00074000">
        <w:rPr>
          <w:rtl/>
        </w:rPr>
        <w:t>سري لانكا</w:t>
      </w:r>
      <w:r w:rsidRPr="007A5201">
        <w:rPr>
          <w:rtl/>
        </w:rPr>
        <w:t xml:space="preserve"> منذ توقف الأعمال القتالية في 2009 وإلى استبعاد استهداف صاحب الشكوى بسبب انتمائه إلى إثنية التاميل</w:t>
      </w:r>
      <w:r w:rsidR="00074000">
        <w:rPr>
          <w:rtl/>
        </w:rPr>
        <w:t xml:space="preserve"> أو </w:t>
      </w:r>
      <w:r w:rsidRPr="007A5201">
        <w:rPr>
          <w:rtl/>
        </w:rPr>
        <w:t>إلى فئة اجتماعية معينة من الشباب</w:t>
      </w:r>
      <w:r w:rsidR="00074000">
        <w:rPr>
          <w:rtl/>
        </w:rPr>
        <w:t xml:space="preserve"> أو </w:t>
      </w:r>
      <w:r w:rsidRPr="007A5201">
        <w:rPr>
          <w:rtl/>
        </w:rPr>
        <w:t>بسبب آراء سياسية منسوبة إليه بصفته مناصر</w:t>
      </w:r>
      <w:r w:rsidR="00F07E37" w:rsidRPr="007A5201">
        <w:rPr>
          <w:rtl/>
        </w:rPr>
        <w:t xml:space="preserve">اً </w:t>
      </w:r>
      <w:r w:rsidRPr="007A5201">
        <w:rPr>
          <w:rtl/>
        </w:rPr>
        <w:t>للحركة. و</w:t>
      </w:r>
      <w:r w:rsidR="00074000">
        <w:rPr>
          <w:rtl/>
        </w:rPr>
        <w:t>فيما يتعلق</w:t>
      </w:r>
      <w:r w:rsidRPr="007A5201">
        <w:rPr>
          <w:rtl/>
        </w:rPr>
        <w:t xml:space="preserve"> بالاستهداف المزعوم لبقية المشاركين في العرض المسرحي الذي قدمته المدرسة في</w:t>
      </w:r>
      <w:r w:rsidR="00074000">
        <w:rPr>
          <w:rtl/>
        </w:rPr>
        <w:t xml:space="preserve"> عام </w:t>
      </w:r>
      <w:r w:rsidRPr="007A5201">
        <w:rPr>
          <w:rtl/>
        </w:rPr>
        <w:t>2005، والاستجواب الذي يزعم أن شقيقه خضع له من الجيش السريلانكي والعصابات المسلحة عندما كان هو في ماليزيا</w:t>
      </w:r>
      <w:r w:rsidR="00074000">
        <w:rPr>
          <w:rtl/>
        </w:rPr>
        <w:t xml:space="preserve"> عام </w:t>
      </w:r>
      <w:r w:rsidRPr="007A5201">
        <w:rPr>
          <w:rtl/>
        </w:rPr>
        <w:t xml:space="preserve">2011، رأت سلطات الدولة الطرف أن شهادة صاحب الشكوى غير جديرة بالثقة </w:t>
      </w:r>
      <w:r w:rsidR="00074000">
        <w:rPr>
          <w:rtl/>
        </w:rPr>
        <w:t>فيما يتعلق</w:t>
      </w:r>
      <w:r w:rsidRPr="007A5201">
        <w:rPr>
          <w:rtl/>
        </w:rPr>
        <w:t xml:space="preserve"> بكثير من ادعاءاته. وعلاوة على ذلك، رأت الدولة الطرف أنه</w:t>
      </w:r>
      <w:r w:rsidR="00074000">
        <w:rPr>
          <w:rtl/>
        </w:rPr>
        <w:t xml:space="preserve"> لم </w:t>
      </w:r>
      <w:r w:rsidRPr="007A5201">
        <w:rPr>
          <w:rtl/>
        </w:rPr>
        <w:t>يقدم أدلة دامغة تدعم ادعاءاته</w:t>
      </w:r>
      <w:r w:rsidR="00074000">
        <w:rPr>
          <w:rtl/>
        </w:rPr>
        <w:t xml:space="preserve"> أو </w:t>
      </w:r>
      <w:r w:rsidRPr="007A5201">
        <w:rPr>
          <w:rtl/>
        </w:rPr>
        <w:t xml:space="preserve">تبرهن على أن السلطات في </w:t>
      </w:r>
      <w:r w:rsidR="00074000">
        <w:rPr>
          <w:rtl/>
        </w:rPr>
        <w:t>سري لانكا</w:t>
      </w:r>
      <w:r w:rsidRPr="007A5201">
        <w:rPr>
          <w:rtl/>
        </w:rPr>
        <w:t xml:space="preserve"> كانت تبحث عنه منذ عهد قريب</w:t>
      </w:r>
      <w:r w:rsidR="00074000">
        <w:rPr>
          <w:rtl/>
        </w:rPr>
        <w:t xml:space="preserve"> أو </w:t>
      </w:r>
      <w:r w:rsidRPr="007A5201">
        <w:rPr>
          <w:rtl/>
        </w:rPr>
        <w:t>اهتمت لأمره بشكل من الأشكال. وأخير</w:t>
      </w:r>
      <w:r w:rsidR="00F07E37" w:rsidRPr="007A5201">
        <w:rPr>
          <w:rtl/>
        </w:rPr>
        <w:t>اً،</w:t>
      </w:r>
      <w:r w:rsidRPr="007A5201">
        <w:rPr>
          <w:rtl/>
        </w:rPr>
        <w:t xml:space="preserve"> تحيط اللجنة علم</w:t>
      </w:r>
      <w:r w:rsidR="00F07E37" w:rsidRPr="007A5201">
        <w:rPr>
          <w:rtl/>
        </w:rPr>
        <w:t xml:space="preserve">اً </w:t>
      </w:r>
      <w:r w:rsidRPr="007A5201">
        <w:rPr>
          <w:rtl/>
        </w:rPr>
        <w:t>بالمعلومات المقدمة من الدولة الطرف التي تفيد بأن الشرطة السريلانكية</w:t>
      </w:r>
      <w:r w:rsidR="00074000">
        <w:rPr>
          <w:rtl/>
        </w:rPr>
        <w:t xml:space="preserve"> لم </w:t>
      </w:r>
      <w:r w:rsidRPr="007A5201">
        <w:rPr>
          <w:rtl/>
        </w:rPr>
        <w:t>تحتجز صاحب الشكوى</w:t>
      </w:r>
      <w:r w:rsidR="00074000">
        <w:rPr>
          <w:rtl/>
        </w:rPr>
        <w:t xml:space="preserve"> أو </w:t>
      </w:r>
      <w:r w:rsidRPr="007A5201">
        <w:rPr>
          <w:rtl/>
        </w:rPr>
        <w:t xml:space="preserve">توجه إليه الاتهام لدى عودته إلى </w:t>
      </w:r>
      <w:r w:rsidR="00074000">
        <w:rPr>
          <w:rtl/>
        </w:rPr>
        <w:t>سري لانكا</w:t>
      </w:r>
      <w:r w:rsidRPr="007A5201">
        <w:rPr>
          <w:rtl/>
        </w:rPr>
        <w:t xml:space="preserve"> وسُمح له بمغادرة المطار بحرية.</w:t>
      </w:r>
    </w:p>
    <w:p w:rsidR="007832A2" w:rsidRPr="007A5201" w:rsidRDefault="007832A2" w:rsidP="007832A2">
      <w:pPr>
        <w:pStyle w:val="SingleTxtGA"/>
        <w:rPr>
          <w:rtl/>
        </w:rPr>
      </w:pPr>
      <w:r w:rsidRPr="007A5201">
        <w:rPr>
          <w:rtl/>
        </w:rPr>
        <w:t>8-7</w:t>
      </w:r>
      <w:r w:rsidRPr="007A5201">
        <w:rPr>
          <w:rtl/>
        </w:rPr>
        <w:tab/>
        <w:t>وتلاحظ اللجنة أن صاحب الشكوى</w:t>
      </w:r>
      <w:r w:rsidR="00074000">
        <w:rPr>
          <w:rtl/>
        </w:rPr>
        <w:t xml:space="preserve"> لم </w:t>
      </w:r>
      <w:r w:rsidRPr="007A5201">
        <w:rPr>
          <w:rtl/>
        </w:rPr>
        <w:t>يقدم تعليقاته رد</w:t>
      </w:r>
      <w:r w:rsidR="00F07E37" w:rsidRPr="007A5201">
        <w:rPr>
          <w:rtl/>
        </w:rPr>
        <w:t xml:space="preserve">اً </w:t>
      </w:r>
      <w:r w:rsidRPr="007A5201">
        <w:rPr>
          <w:rtl/>
        </w:rPr>
        <w:t>على ملاحظات الدولة الطرف،</w:t>
      </w:r>
      <w:r w:rsidR="00074000">
        <w:rPr>
          <w:rtl/>
        </w:rPr>
        <w:t xml:space="preserve"> ولم </w:t>
      </w:r>
      <w:r w:rsidRPr="007A5201">
        <w:rPr>
          <w:rtl/>
        </w:rPr>
        <w:t>يرُد على أي من الرسالتين التذكيريتين للجنة، وهو</w:t>
      </w:r>
      <w:r w:rsidR="00074000">
        <w:rPr>
          <w:rtl/>
        </w:rPr>
        <w:t xml:space="preserve"> ما </w:t>
      </w:r>
      <w:r w:rsidRPr="007A5201">
        <w:rPr>
          <w:rtl/>
        </w:rPr>
        <w:t xml:space="preserve">قد يعزى إلى إبعاده إلى </w:t>
      </w:r>
      <w:r w:rsidR="00074000">
        <w:rPr>
          <w:rtl/>
        </w:rPr>
        <w:t>سري لانكا</w:t>
      </w:r>
      <w:r w:rsidRPr="007A5201">
        <w:rPr>
          <w:rtl/>
        </w:rPr>
        <w:t>. و</w:t>
      </w:r>
      <w:r w:rsidR="00074000">
        <w:rPr>
          <w:rtl/>
        </w:rPr>
        <w:t>فيما يتعلق</w:t>
      </w:r>
      <w:r w:rsidRPr="007A5201">
        <w:rPr>
          <w:rtl/>
        </w:rPr>
        <w:t xml:space="preserve"> بادعاء صاحب الشكوى بشأن وجود خطر عليه من التعرض للتعذيب عند عودته إلى </w:t>
      </w:r>
      <w:r w:rsidR="00074000">
        <w:rPr>
          <w:rtl/>
        </w:rPr>
        <w:t>سري لانكا</w:t>
      </w:r>
      <w:r w:rsidRPr="007A5201">
        <w:rPr>
          <w:rtl/>
        </w:rPr>
        <w:t xml:space="preserve"> بسبب وضعه كشاب من التاميل تربطه، صلات حقيقية</w:t>
      </w:r>
      <w:r w:rsidR="00074000">
        <w:rPr>
          <w:rtl/>
        </w:rPr>
        <w:t xml:space="preserve"> أو </w:t>
      </w:r>
      <w:r w:rsidRPr="007A5201">
        <w:rPr>
          <w:rtl/>
        </w:rPr>
        <w:t>متصورة، بحركة نمور تحرير تاميل إيلام، وطالب لجوء رُفض طلبه، تقر اللجنة بأن السريلانكيين التاميل الذين سبق أن ربطتهم علاقة شخصية</w:t>
      </w:r>
      <w:r w:rsidR="00074000">
        <w:rPr>
          <w:rtl/>
        </w:rPr>
        <w:t xml:space="preserve"> أو </w:t>
      </w:r>
      <w:r w:rsidRPr="007A5201">
        <w:rPr>
          <w:rtl/>
        </w:rPr>
        <w:t>عائلية، حقيقية</w:t>
      </w:r>
      <w:r w:rsidR="00074000">
        <w:rPr>
          <w:rtl/>
        </w:rPr>
        <w:t xml:space="preserve"> أو </w:t>
      </w:r>
      <w:r w:rsidRPr="007A5201">
        <w:rPr>
          <w:rtl/>
        </w:rPr>
        <w:t xml:space="preserve">متصورة، بالحركة والمعرضين </w:t>
      </w:r>
      <w:r w:rsidRPr="007A5201">
        <w:rPr>
          <w:rtl/>
        </w:rPr>
        <w:lastRenderedPageBreak/>
        <w:t xml:space="preserve">للإعادة القسرية إلى </w:t>
      </w:r>
      <w:r w:rsidR="00074000">
        <w:rPr>
          <w:rtl/>
        </w:rPr>
        <w:t>سري لانكا</w:t>
      </w:r>
      <w:r w:rsidRPr="007A5201">
        <w:rPr>
          <w:rtl/>
        </w:rPr>
        <w:t xml:space="preserve"> قد يواجهون خطر التعذيب.</w:t>
      </w:r>
      <w:r w:rsidR="00074000">
        <w:rPr>
          <w:rtl/>
        </w:rPr>
        <w:t xml:space="preserve"> وفي </w:t>
      </w:r>
      <w:r w:rsidRPr="007A5201">
        <w:rPr>
          <w:rtl/>
        </w:rPr>
        <w:t xml:space="preserve">هذا الصدد، تشير اللجنة إلى الحالة الراهنة لحقوق الإنسان في </w:t>
      </w:r>
      <w:r w:rsidR="00074000">
        <w:rPr>
          <w:rtl/>
        </w:rPr>
        <w:t>سري لانكا</w:t>
      </w:r>
      <w:r w:rsidRPr="007A5201">
        <w:rPr>
          <w:rtl/>
        </w:rPr>
        <w:t>، وتحيل إلى ملاحظاتها الختامية بشأن التقرير الدوري الخامس ل</w:t>
      </w:r>
      <w:r w:rsidR="00074000">
        <w:rPr>
          <w:rtl/>
        </w:rPr>
        <w:t>سري لانكا</w:t>
      </w:r>
      <w:r w:rsidRPr="007A5201">
        <w:rPr>
          <w:rtl/>
        </w:rPr>
        <w:t xml:space="preserve">، الذي أعربت فيه عن القلق بشأن أمور من جملتها ورود تقارير عن استمرار قوات الأمن الحكومية في </w:t>
      </w:r>
      <w:r w:rsidR="00074000">
        <w:rPr>
          <w:rtl/>
        </w:rPr>
        <w:t>سري لانكا</w:t>
      </w:r>
      <w:r w:rsidRPr="007A5201">
        <w:rPr>
          <w:rtl/>
        </w:rPr>
        <w:t>،</w:t>
      </w:r>
      <w:r w:rsidR="00074000">
        <w:rPr>
          <w:rtl/>
        </w:rPr>
        <w:t xml:space="preserve"> بما </w:t>
      </w:r>
      <w:r w:rsidRPr="007A5201">
        <w:rPr>
          <w:rtl/>
        </w:rPr>
        <w:t>في ذلك الجيش والشرطة، في ارتكاب أعمال الاختطاف والتعذيب وسوء المعاملة التي ظلت تمارس في أنحاء كثيرة من البلد بعد انتهاء النزاع مع حركة نمور تحرير تاميل إيلام في أيار/مايو 2009</w:t>
      </w:r>
      <w:r w:rsidRPr="007A5201">
        <w:rPr>
          <w:vertAlign w:val="superscript"/>
          <w:rtl/>
        </w:rPr>
        <w:t>(</w:t>
      </w:r>
      <w:r w:rsidRPr="007A5201">
        <w:rPr>
          <w:vertAlign w:val="superscript"/>
          <w:rtl/>
        </w:rPr>
        <w:footnoteReference w:id="29"/>
      </w:r>
      <w:r w:rsidRPr="007A5201">
        <w:rPr>
          <w:vertAlign w:val="superscript"/>
          <w:rtl/>
        </w:rPr>
        <w:t>)</w:t>
      </w:r>
      <w:r w:rsidRPr="007A5201">
        <w:rPr>
          <w:rtl/>
        </w:rPr>
        <w:t>، وتحيل إلى تقارير موثوقة أعدتها منظمات غير حكومية</w:t>
      </w:r>
      <w:r w:rsidRPr="007A5201">
        <w:rPr>
          <w:vertAlign w:val="superscript"/>
          <w:rtl/>
        </w:rPr>
        <w:t>(</w:t>
      </w:r>
      <w:r w:rsidRPr="007A5201">
        <w:rPr>
          <w:vertAlign w:val="superscript"/>
          <w:rtl/>
        </w:rPr>
        <w:footnoteReference w:id="30"/>
      </w:r>
      <w:r w:rsidRPr="007A5201">
        <w:rPr>
          <w:vertAlign w:val="superscript"/>
          <w:rtl/>
        </w:rPr>
        <w:t>)</w:t>
      </w:r>
      <w:r w:rsidRPr="007A5201">
        <w:rPr>
          <w:rtl/>
        </w:rPr>
        <w:t xml:space="preserve"> عن معاملة السلطات السريلانكية للأشخاص العائدين إلى </w:t>
      </w:r>
      <w:r w:rsidR="00074000">
        <w:rPr>
          <w:rtl/>
        </w:rPr>
        <w:t>سري لانكا</w:t>
      </w:r>
      <w:r w:rsidRPr="007A5201">
        <w:rPr>
          <w:vertAlign w:val="superscript"/>
          <w:rtl/>
        </w:rPr>
        <w:t>(</w:t>
      </w:r>
      <w:r w:rsidRPr="007A5201">
        <w:rPr>
          <w:vertAlign w:val="superscript"/>
          <w:rtl/>
        </w:rPr>
        <w:footnoteReference w:id="31"/>
      </w:r>
      <w:r w:rsidRPr="007A5201">
        <w:rPr>
          <w:vertAlign w:val="superscript"/>
          <w:rtl/>
        </w:rPr>
        <w:t>)</w:t>
      </w:r>
      <w:r w:rsidRPr="007A5201">
        <w:rPr>
          <w:rtl/>
        </w:rPr>
        <w:t>. بيد أن اللجنة تذكِّر بأن وقوع انتهاكات لحقوق الإنسان في البلد الأصلي لصاحب الشكوى</w:t>
      </w:r>
      <w:r w:rsidR="00074000">
        <w:rPr>
          <w:rtl/>
        </w:rPr>
        <w:t xml:space="preserve"> لا </w:t>
      </w:r>
      <w:r w:rsidRPr="007A5201">
        <w:rPr>
          <w:rtl/>
        </w:rPr>
        <w:t>يكفي في حد ذاته لكي يُستنتج وجود خطر شخصي عليه من التعرض للتعذيب</w:t>
      </w:r>
      <w:r w:rsidRPr="007A5201">
        <w:rPr>
          <w:vertAlign w:val="superscript"/>
          <w:rtl/>
        </w:rPr>
        <w:t>(</w:t>
      </w:r>
      <w:r w:rsidRPr="007A5201">
        <w:rPr>
          <w:vertAlign w:val="superscript"/>
          <w:rtl/>
        </w:rPr>
        <w:footnoteReference w:id="32"/>
      </w:r>
      <w:r w:rsidRPr="007A5201">
        <w:rPr>
          <w:vertAlign w:val="superscript"/>
          <w:rtl/>
        </w:rPr>
        <w:t>)</w:t>
      </w:r>
      <w:r w:rsidRPr="007A5201">
        <w:rPr>
          <w:rtl/>
        </w:rPr>
        <w:t>. وتذكّر اللجنة أيضاً بأن الأحداث السابقة قد تكون ذات أهمية، ومع ذلك، فإن القضية المبدئية المطروحة عليها هي معرفة</w:t>
      </w:r>
      <w:r w:rsidR="00074000">
        <w:rPr>
          <w:rtl/>
        </w:rPr>
        <w:t xml:space="preserve"> ما </w:t>
      </w:r>
      <w:r w:rsidRPr="007A5201">
        <w:rPr>
          <w:rtl/>
        </w:rPr>
        <w:t xml:space="preserve">إذا كان صاحب الشكوى يواجه حالياً خطر التعذيب إذا أعيد إلى </w:t>
      </w:r>
      <w:r w:rsidR="00074000">
        <w:rPr>
          <w:rtl/>
        </w:rPr>
        <w:t>سري لانكا</w:t>
      </w:r>
      <w:r w:rsidRPr="007A5201">
        <w:rPr>
          <w:vertAlign w:val="superscript"/>
          <w:rtl/>
        </w:rPr>
        <w:t>(</w:t>
      </w:r>
      <w:r w:rsidRPr="007A5201">
        <w:rPr>
          <w:vertAlign w:val="superscript"/>
          <w:rtl/>
        </w:rPr>
        <w:footnoteReference w:id="33"/>
      </w:r>
      <w:r w:rsidRPr="007A5201">
        <w:rPr>
          <w:vertAlign w:val="superscript"/>
          <w:rtl/>
        </w:rPr>
        <w:t>)</w:t>
      </w:r>
      <w:r w:rsidRPr="007A5201">
        <w:rPr>
          <w:rtl/>
        </w:rPr>
        <w:t xml:space="preserve">. وعلاوة على ذلك، تلاحظ اللجنة أن سلطات الدولة الطرف قد وضعت في اعتبارها أيضاً، لدى تقييم طلب اللجوء المقدم من صاحب الشكوى، وجود خطر محتمل على طالبي اللجوء المرفوضة طلباتهم من التعرض لسوء المعاملة لدى عودتهم إلى </w:t>
      </w:r>
      <w:r w:rsidR="00074000">
        <w:rPr>
          <w:rtl/>
        </w:rPr>
        <w:t>سري لانكا</w:t>
      </w:r>
      <w:r w:rsidRPr="007A5201">
        <w:rPr>
          <w:rtl/>
        </w:rPr>
        <w:t>، ولكنها</w:t>
      </w:r>
      <w:r w:rsidR="00074000">
        <w:rPr>
          <w:rtl/>
        </w:rPr>
        <w:t xml:space="preserve"> لم </w:t>
      </w:r>
      <w:r w:rsidRPr="007A5201">
        <w:rPr>
          <w:rtl/>
        </w:rPr>
        <w:t xml:space="preserve">تأخذ بادعاء صاحب الشكوى أن السلطات في </w:t>
      </w:r>
      <w:r w:rsidR="00074000">
        <w:rPr>
          <w:rtl/>
        </w:rPr>
        <w:t>سري لانكا</w:t>
      </w:r>
      <w:r w:rsidRPr="007A5201">
        <w:rPr>
          <w:rtl/>
        </w:rPr>
        <w:t xml:space="preserve"> كانت تبحث عنه منذ عهد قريب</w:t>
      </w:r>
      <w:r w:rsidR="00074000">
        <w:rPr>
          <w:rtl/>
        </w:rPr>
        <w:t xml:space="preserve"> أو </w:t>
      </w:r>
      <w:r w:rsidRPr="007A5201">
        <w:rPr>
          <w:rtl/>
        </w:rPr>
        <w:t>تهتم لأمره بشكل من الأشكال. وترى اللجنة أن سلطات الدولة الطرف قد أولت، في هذه القضية، الاعتبار المناسب لادعاء صاحب الشكوى.</w:t>
      </w:r>
    </w:p>
    <w:p w:rsidR="007832A2" w:rsidRPr="007A5201" w:rsidRDefault="007832A2" w:rsidP="007832A2">
      <w:pPr>
        <w:pStyle w:val="SingleTxtGA"/>
        <w:rPr>
          <w:rtl/>
        </w:rPr>
      </w:pPr>
      <w:r w:rsidRPr="007A5201">
        <w:rPr>
          <w:rtl/>
        </w:rPr>
        <w:t>8-8</w:t>
      </w:r>
      <w:r w:rsidRPr="007A5201">
        <w:rPr>
          <w:rtl/>
        </w:rPr>
        <w:tab/>
        <w:t>وفي ضوء الاعتبارات التي تقدم ذكرها، واستناداً إلى جميع المعلومات التي قدمها صاحب الشكوى والدولة الطرف،</w:t>
      </w:r>
      <w:r w:rsidR="00074000">
        <w:rPr>
          <w:rtl/>
        </w:rPr>
        <w:t xml:space="preserve"> بما </w:t>
      </w:r>
      <w:r w:rsidRPr="007A5201">
        <w:rPr>
          <w:rtl/>
        </w:rPr>
        <w:t xml:space="preserve">فيها المعلومات المتعلقة بالحالة العامة لحقوق الإنسان في </w:t>
      </w:r>
      <w:r w:rsidR="00074000">
        <w:rPr>
          <w:rtl/>
        </w:rPr>
        <w:t>سري لانكا</w:t>
      </w:r>
      <w:r w:rsidRPr="007A5201">
        <w:rPr>
          <w:rtl/>
        </w:rPr>
        <w:t>، ترى اللجنة أن صاحب الشكوى، في هذه القضية،</w:t>
      </w:r>
      <w:r w:rsidR="00074000">
        <w:rPr>
          <w:rtl/>
        </w:rPr>
        <w:t xml:space="preserve"> لم </w:t>
      </w:r>
      <w:r w:rsidRPr="007A5201">
        <w:rPr>
          <w:rtl/>
        </w:rPr>
        <w:t>يتحمل عبء الإثبات الذي يقع عليه</w:t>
      </w:r>
      <w:r w:rsidRPr="007A5201">
        <w:rPr>
          <w:vertAlign w:val="superscript"/>
          <w:rtl/>
        </w:rPr>
        <w:t>(</w:t>
      </w:r>
      <w:r w:rsidRPr="007A5201">
        <w:rPr>
          <w:vertAlign w:val="superscript"/>
          <w:rtl/>
        </w:rPr>
        <w:footnoteReference w:id="34"/>
      </w:r>
      <w:r w:rsidRPr="007A5201">
        <w:rPr>
          <w:vertAlign w:val="superscript"/>
          <w:rtl/>
        </w:rPr>
        <w:t>)</w:t>
      </w:r>
      <w:r w:rsidRPr="007A5201">
        <w:rPr>
          <w:rtl/>
        </w:rPr>
        <w:t>، لأنه</w:t>
      </w:r>
      <w:r w:rsidR="00074000">
        <w:rPr>
          <w:rtl/>
        </w:rPr>
        <w:t xml:space="preserve"> لم </w:t>
      </w:r>
      <w:r w:rsidRPr="007A5201">
        <w:rPr>
          <w:rtl/>
        </w:rPr>
        <w:t>يبرهن</w:t>
      </w:r>
      <w:r w:rsidR="00074000">
        <w:rPr>
          <w:rtl/>
        </w:rPr>
        <w:t xml:space="preserve"> بما </w:t>
      </w:r>
      <w:r w:rsidRPr="007A5201">
        <w:rPr>
          <w:rtl/>
        </w:rPr>
        <w:t>فيه الكفاية على وجود أسباب جوهرية تدعو إلى الاعتقاد أن إبعاده قسر</w:t>
      </w:r>
      <w:r w:rsidR="00F07E37" w:rsidRPr="007A5201">
        <w:rPr>
          <w:rtl/>
        </w:rPr>
        <w:t xml:space="preserve">اً </w:t>
      </w:r>
      <w:r w:rsidRPr="007A5201">
        <w:rPr>
          <w:rtl/>
        </w:rPr>
        <w:t>إلى بلده الأصلي من شأنه أن يجعله في خطر متوقع وحقيقي وشخصي من التعرض للتعذيب بالمعنى المنصوص عليه في المادة 3 من الاتفاقية. ومع أن صاحب الشكوى</w:t>
      </w:r>
      <w:r w:rsidR="00074000">
        <w:rPr>
          <w:rtl/>
        </w:rPr>
        <w:t xml:space="preserve"> لا </w:t>
      </w:r>
      <w:r w:rsidRPr="007A5201">
        <w:rPr>
          <w:rtl/>
        </w:rPr>
        <w:t>يوافق على تقييم سلطات الدولة الطرف لروايته، فإنه</w:t>
      </w:r>
      <w:r w:rsidR="00074000">
        <w:rPr>
          <w:rtl/>
        </w:rPr>
        <w:t xml:space="preserve"> لم </w:t>
      </w:r>
      <w:r w:rsidRPr="007A5201">
        <w:rPr>
          <w:rtl/>
        </w:rPr>
        <w:t>يبرهن على أن قرار رفض منحه تأشيرة الحماية ينطوي على تعسف واضح</w:t>
      </w:r>
      <w:r w:rsidR="00074000">
        <w:rPr>
          <w:rtl/>
        </w:rPr>
        <w:t xml:space="preserve"> أو </w:t>
      </w:r>
      <w:r w:rsidRPr="007A5201">
        <w:rPr>
          <w:rtl/>
        </w:rPr>
        <w:t>يصل إلى حد إنكار العدالة.</w:t>
      </w:r>
    </w:p>
    <w:p w:rsidR="00AE43A7" w:rsidRPr="007A5201" w:rsidRDefault="007832A2" w:rsidP="00EC4892">
      <w:pPr>
        <w:pStyle w:val="SingleTxtGA"/>
        <w:rPr>
          <w:spacing w:val="-2"/>
          <w:rtl/>
        </w:rPr>
      </w:pPr>
      <w:r w:rsidRPr="007A5201">
        <w:rPr>
          <w:spacing w:val="-2"/>
          <w:rtl/>
        </w:rPr>
        <w:lastRenderedPageBreak/>
        <w:t>9-</w:t>
      </w:r>
      <w:r w:rsidRPr="007A5201">
        <w:rPr>
          <w:spacing w:val="-2"/>
          <w:rtl/>
        </w:rPr>
        <w:tab/>
        <w:t xml:space="preserve">وتخلص اللجنة، عملاً بالفقرة 7 من المادة 22 من الاتفاقية، إلى أن إبعاد الدولة الطرف صاحبَ الشكوى إلى </w:t>
      </w:r>
      <w:r w:rsidR="00074000">
        <w:rPr>
          <w:spacing w:val="-2"/>
          <w:rtl/>
        </w:rPr>
        <w:t>سري لانكا لا </w:t>
      </w:r>
      <w:r w:rsidRPr="007A5201">
        <w:rPr>
          <w:spacing w:val="-2"/>
          <w:rtl/>
        </w:rPr>
        <w:t>يشكل انتهاكاً للمادة 3 من الاتفاقية. وبالنظر إلى أن الدولة الطرف</w:t>
      </w:r>
      <w:r w:rsidR="00074000">
        <w:rPr>
          <w:spacing w:val="-2"/>
          <w:rtl/>
        </w:rPr>
        <w:t xml:space="preserve"> لم </w:t>
      </w:r>
      <w:r w:rsidRPr="007A5201">
        <w:rPr>
          <w:spacing w:val="-2"/>
          <w:rtl/>
        </w:rPr>
        <w:t>تمتثل للطلب المقدم من اللجنة، في 24 حزيران/يونيه 2014، لاتخاذ تدابير مؤقتة تمنع ترحيل صاحب الشكوى، وأبعدته قسر</w:t>
      </w:r>
      <w:r w:rsidR="00F07E37" w:rsidRPr="007A5201">
        <w:rPr>
          <w:spacing w:val="-2"/>
          <w:rtl/>
        </w:rPr>
        <w:t xml:space="preserve">اً </w:t>
      </w:r>
      <w:r w:rsidRPr="007A5201">
        <w:rPr>
          <w:spacing w:val="-2"/>
          <w:rtl/>
        </w:rPr>
        <w:t xml:space="preserve">إلى </w:t>
      </w:r>
      <w:r w:rsidR="00074000">
        <w:rPr>
          <w:spacing w:val="-2"/>
          <w:rtl/>
        </w:rPr>
        <w:t>سري لانكا</w:t>
      </w:r>
      <w:r w:rsidRPr="007A5201">
        <w:rPr>
          <w:spacing w:val="-2"/>
          <w:rtl/>
        </w:rPr>
        <w:t xml:space="preserve"> في 25 حزيران/يونيه 2014، ترى اللجنة، عملاً بالمادة 22(7) من الاتفاقية، أن الوقائع المعروضة عليها تشكل انتهاك</w:t>
      </w:r>
      <w:r w:rsidR="00F07E37" w:rsidRPr="007A5201">
        <w:rPr>
          <w:spacing w:val="-2"/>
          <w:rtl/>
        </w:rPr>
        <w:t xml:space="preserve">اً </w:t>
      </w:r>
      <w:r w:rsidRPr="007A5201">
        <w:rPr>
          <w:spacing w:val="-2"/>
          <w:rtl/>
        </w:rPr>
        <w:t>من الدولة الطرف للمادة 22 من الاتفاقية بسبب عدم تعاونها مع اللجنة بحسن نية، الأمر الذي منع اللجنة من دراسة هذا البلاغ على نحو فعال</w:t>
      </w:r>
      <w:r w:rsidRPr="007A5201">
        <w:rPr>
          <w:spacing w:val="-2"/>
          <w:vertAlign w:val="superscript"/>
          <w:rtl/>
        </w:rPr>
        <w:t>(</w:t>
      </w:r>
      <w:r w:rsidRPr="007A5201">
        <w:rPr>
          <w:spacing w:val="-2"/>
          <w:vertAlign w:val="superscript"/>
          <w:rtl/>
        </w:rPr>
        <w:footnoteReference w:id="35"/>
      </w:r>
      <w:r w:rsidRPr="007A5201">
        <w:rPr>
          <w:spacing w:val="-2"/>
          <w:vertAlign w:val="superscript"/>
          <w:rtl/>
        </w:rPr>
        <w:t>)</w:t>
      </w:r>
      <w:r w:rsidRPr="007A5201">
        <w:rPr>
          <w:spacing w:val="-2"/>
          <w:rtl/>
        </w:rPr>
        <w:t>.</w:t>
      </w:r>
    </w:p>
    <w:p w:rsidR="007832A2" w:rsidRPr="007A5201" w:rsidRDefault="007832A2" w:rsidP="007832A2">
      <w:pPr>
        <w:pStyle w:val="SingleTxtGA"/>
        <w:rPr>
          <w:rtl/>
        </w:rPr>
      </w:pPr>
      <w:r w:rsidRPr="007A5201">
        <w:rPr>
          <w:rtl/>
        </w:rPr>
        <w:t>10-</w:t>
      </w:r>
      <w:r w:rsidRPr="007A5201">
        <w:rPr>
          <w:rtl/>
        </w:rPr>
        <w:tab/>
        <w:t>وتحث اللجنة الدولة الطرف، عملاً بالفقرة 5 من المادة 118 من نظامها الداخلي، على اتخاذ خطوات تمنع وقوع انتهاكات مماثلة للمادة 22 في المستقبل وتضمن، في الحالات التي تطلب فيها اللجنة اتخاذ تدابير مؤقتة، عدم ترحيل أصحاب الشكاوى إلى أن تبت اللجنة في الأسس الموضوعية.</w:t>
      </w:r>
    </w:p>
    <w:p w:rsidR="007832A2" w:rsidRPr="007A5201" w:rsidRDefault="007832A2" w:rsidP="00B52B3A">
      <w:pPr>
        <w:pStyle w:val="HChGA"/>
        <w:spacing w:before="120"/>
        <w:rPr>
          <w:rtl/>
        </w:rPr>
      </w:pPr>
      <w:r w:rsidRPr="007A5201">
        <w:rPr>
          <w:rtl/>
        </w:rPr>
        <w:br w:type="page"/>
      </w:r>
      <w:r w:rsidRPr="007A5201">
        <w:rPr>
          <w:rtl/>
        </w:rPr>
        <w:lastRenderedPageBreak/>
        <w:tab/>
      </w:r>
      <w:r w:rsidRPr="007A5201">
        <w:rPr>
          <w:rtl/>
        </w:rPr>
        <w:tab/>
        <w:t>المرفق</w:t>
      </w:r>
    </w:p>
    <w:p w:rsidR="007832A2" w:rsidRPr="007A5201" w:rsidRDefault="007832A2" w:rsidP="007832A2">
      <w:pPr>
        <w:pStyle w:val="HChGA"/>
        <w:rPr>
          <w:rtl/>
        </w:rPr>
      </w:pPr>
      <w:r w:rsidRPr="007A5201">
        <w:rPr>
          <w:rtl/>
        </w:rPr>
        <w:tab/>
      </w:r>
      <w:r w:rsidRPr="007A5201">
        <w:rPr>
          <w:rtl/>
        </w:rPr>
        <w:tab/>
        <w:t xml:space="preserve">رأي فردي (مخالف) لعضو اللجنة السيد </w:t>
      </w:r>
      <w:proofErr w:type="spellStart"/>
      <w:r w:rsidRPr="007A5201">
        <w:rPr>
          <w:rtl/>
        </w:rPr>
        <w:t>أليسيو</w:t>
      </w:r>
      <w:proofErr w:type="spellEnd"/>
      <w:r w:rsidRPr="007A5201">
        <w:rPr>
          <w:rtl/>
        </w:rPr>
        <w:t xml:space="preserve"> بروني</w:t>
      </w:r>
    </w:p>
    <w:p w:rsidR="007832A2" w:rsidRPr="007A5201" w:rsidRDefault="007832A2" w:rsidP="006E3362">
      <w:pPr>
        <w:pStyle w:val="SingleTxtGA"/>
        <w:rPr>
          <w:rtl/>
        </w:rPr>
      </w:pPr>
      <w:r w:rsidRPr="007A5201">
        <w:rPr>
          <w:rtl/>
        </w:rPr>
        <w:t>1-</w:t>
      </w:r>
      <w:r w:rsidRPr="007A5201">
        <w:rPr>
          <w:rtl/>
        </w:rPr>
        <w:tab/>
        <w:t xml:space="preserve">أرى أن من غير </w:t>
      </w:r>
      <w:proofErr w:type="spellStart"/>
      <w:r w:rsidRPr="007A5201">
        <w:rPr>
          <w:rtl/>
        </w:rPr>
        <w:t>المستصوب</w:t>
      </w:r>
      <w:proofErr w:type="spellEnd"/>
      <w:r w:rsidRPr="007A5201">
        <w:rPr>
          <w:rtl/>
        </w:rPr>
        <w:t xml:space="preserve"> أن تُدرج أي</w:t>
      </w:r>
      <w:bookmarkStart w:id="0" w:name="_GoBack"/>
      <w:bookmarkEnd w:id="0"/>
      <w:r w:rsidRPr="007A5201">
        <w:rPr>
          <w:rtl/>
        </w:rPr>
        <w:t xml:space="preserve"> إشارة، في قرار اللجنة بشأن البلاغ</w:t>
      </w:r>
      <w:r w:rsidR="006E3362" w:rsidRPr="007A5201">
        <w:rPr>
          <w:rFonts w:hint="cs"/>
          <w:rtl/>
        </w:rPr>
        <w:t> </w:t>
      </w:r>
      <w:r w:rsidRPr="007A5201">
        <w:rPr>
          <w:rtl/>
        </w:rPr>
        <w:t>614/</w:t>
      </w:r>
      <w:r w:rsidR="006E3362" w:rsidRPr="007A5201">
        <w:rPr>
          <w:rFonts w:hint="cs"/>
          <w:rtl/>
        </w:rPr>
        <w:t>2014</w:t>
      </w:r>
      <w:r w:rsidRPr="007A5201">
        <w:rPr>
          <w:rtl/>
        </w:rPr>
        <w:t>، تفيد بأن الدولة الطرف انتهكت المادة 22 من اتفاقية مناهضة التعذيب بسبب عدم امتثالها لطلب اللجنة اتخاذ تدابير مؤقتة لحماية صاحب الشكوى.</w:t>
      </w:r>
    </w:p>
    <w:p w:rsidR="007832A2" w:rsidRPr="007A5201" w:rsidRDefault="007832A2" w:rsidP="007832A2">
      <w:pPr>
        <w:pStyle w:val="SingleTxtGA"/>
        <w:rPr>
          <w:rtl/>
        </w:rPr>
      </w:pPr>
      <w:r w:rsidRPr="007A5201">
        <w:rPr>
          <w:rtl/>
        </w:rPr>
        <w:t>2-</w:t>
      </w:r>
      <w:r w:rsidRPr="007A5201">
        <w:rPr>
          <w:rtl/>
        </w:rPr>
        <w:tab/>
        <w:t>فالتدابير المؤقتة ترد في المادة 114 من النظام الداخلي للجنة الذي</w:t>
      </w:r>
      <w:r w:rsidR="00074000">
        <w:rPr>
          <w:rtl/>
        </w:rPr>
        <w:t xml:space="preserve"> لم </w:t>
      </w:r>
      <w:r w:rsidRPr="007A5201">
        <w:rPr>
          <w:rtl/>
        </w:rPr>
        <w:t>توافق عليه الدولة الطرف،</w:t>
      </w:r>
      <w:r w:rsidR="00074000">
        <w:rPr>
          <w:rtl/>
        </w:rPr>
        <w:t xml:space="preserve"> ولم </w:t>
      </w:r>
      <w:r w:rsidRPr="007A5201">
        <w:rPr>
          <w:rtl/>
        </w:rPr>
        <w:t>ترد في المادة 22 من الاتفاقية، التي حظيت، على العكس من ذلك، بموافقة طوعية من الدولة الطرف. ولذلك، فإن الخرق المرتكب هو خرق لتلك القاعدة التي</w:t>
      </w:r>
      <w:r w:rsidR="00074000">
        <w:rPr>
          <w:rtl/>
        </w:rPr>
        <w:t xml:space="preserve"> لا </w:t>
      </w:r>
      <w:r w:rsidRPr="007A5201">
        <w:rPr>
          <w:rtl/>
        </w:rPr>
        <w:t>تعتبر ملزمة قانون</w:t>
      </w:r>
      <w:r w:rsidR="00F07E37" w:rsidRPr="007A5201">
        <w:rPr>
          <w:rtl/>
        </w:rPr>
        <w:t>اً،</w:t>
      </w:r>
      <w:r w:rsidRPr="007A5201">
        <w:rPr>
          <w:rtl/>
        </w:rPr>
        <w:t xml:space="preserve"> وليس خرق</w:t>
      </w:r>
      <w:r w:rsidR="00F07E37" w:rsidRPr="007A5201">
        <w:rPr>
          <w:rtl/>
        </w:rPr>
        <w:t xml:space="preserve">اً </w:t>
      </w:r>
      <w:r w:rsidRPr="007A5201">
        <w:rPr>
          <w:rtl/>
        </w:rPr>
        <w:t>للمادة 22 من الاتفاقية.</w:t>
      </w:r>
    </w:p>
    <w:p w:rsidR="007832A2" w:rsidRPr="007A5201" w:rsidRDefault="007832A2" w:rsidP="00AE43A7">
      <w:pPr>
        <w:pStyle w:val="SingleTxtGA"/>
        <w:rPr>
          <w:rtl/>
        </w:rPr>
      </w:pPr>
      <w:r w:rsidRPr="007A5201">
        <w:rPr>
          <w:rtl/>
        </w:rPr>
        <w:t>3-</w:t>
      </w:r>
      <w:r w:rsidRPr="007A5201">
        <w:rPr>
          <w:rtl/>
        </w:rPr>
        <w:tab/>
        <w:t xml:space="preserve">وقد ذكر في الفقرة </w:t>
      </w:r>
      <w:r w:rsidR="006E3362" w:rsidRPr="007A5201">
        <w:rPr>
          <w:rFonts w:hint="cs"/>
          <w:rtl/>
        </w:rPr>
        <w:t>6.3</w:t>
      </w:r>
      <w:r w:rsidRPr="007A5201">
        <w:rPr>
          <w:rtl/>
        </w:rPr>
        <w:t xml:space="preserve"> من قرار اللجنة أنه "بإصدار هذا الإعلان" بموجب المادة 22 من الاتفاقية، "تتعهد الدول الأطراف، ضمناً، بالتعاون مع اللجنة بحسن نية وذلك بمدِّها بالوسائل اللازمة لكي تدرس الشكاوى التي تُقدم إليها</w:t>
      </w:r>
      <w:r w:rsidR="00AE43A7" w:rsidRPr="007A5201">
        <w:rPr>
          <w:rFonts w:hint="cs"/>
          <w:rtl/>
        </w:rPr>
        <w:t> </w:t>
      </w:r>
      <w:r w:rsidRPr="007A5201">
        <w:rPr>
          <w:rtl/>
        </w:rPr>
        <w:t>..."</w:t>
      </w:r>
      <w:r w:rsidR="00074000">
        <w:rPr>
          <w:rtl/>
        </w:rPr>
        <w:t xml:space="preserve"> وما </w:t>
      </w:r>
      <w:r w:rsidRPr="007A5201">
        <w:rPr>
          <w:rtl/>
        </w:rPr>
        <w:t>إلى ذلك.</w:t>
      </w:r>
    </w:p>
    <w:p w:rsidR="007832A2" w:rsidRPr="007A5201" w:rsidRDefault="007832A2" w:rsidP="007832A2">
      <w:pPr>
        <w:pStyle w:val="SingleTxtGA"/>
        <w:rPr>
          <w:rtl/>
        </w:rPr>
      </w:pPr>
      <w:r w:rsidRPr="007A5201">
        <w:rPr>
          <w:rtl/>
        </w:rPr>
        <w:t>4-</w:t>
      </w:r>
      <w:r w:rsidRPr="007A5201">
        <w:rPr>
          <w:rtl/>
        </w:rPr>
        <w:tab/>
        <w:t>وأنا أتفق مع الرأي القائل إن الدولة الطرف ينبغي أن تتعاون مع اللجنة بحسن نية، ولكن الاتفاقية</w:t>
      </w:r>
      <w:r w:rsidR="00074000">
        <w:rPr>
          <w:rtl/>
        </w:rPr>
        <w:t xml:space="preserve"> لا </w:t>
      </w:r>
      <w:r w:rsidRPr="007A5201">
        <w:rPr>
          <w:rtl/>
        </w:rPr>
        <w:t>تتضمن أي شرط ضمني</w:t>
      </w:r>
      <w:r w:rsidR="00074000">
        <w:rPr>
          <w:rtl/>
        </w:rPr>
        <w:t xml:space="preserve"> أو </w:t>
      </w:r>
      <w:r w:rsidRPr="007A5201">
        <w:rPr>
          <w:rtl/>
        </w:rPr>
        <w:t>سري</w:t>
      </w:r>
      <w:r w:rsidR="00074000">
        <w:rPr>
          <w:rtl/>
        </w:rPr>
        <w:t xml:space="preserve"> أو </w:t>
      </w:r>
      <w:r w:rsidRPr="007A5201">
        <w:rPr>
          <w:rtl/>
        </w:rPr>
        <w:t xml:space="preserve">أحادي الجانب </w:t>
      </w:r>
      <w:r w:rsidR="00074000">
        <w:rPr>
          <w:rtl/>
        </w:rPr>
        <w:t>فيما يتعلق</w:t>
      </w:r>
      <w:r w:rsidRPr="007A5201">
        <w:rPr>
          <w:rtl/>
        </w:rPr>
        <w:t xml:space="preserve"> بالتدابير المؤقتة. وكل حكم يرد في معاهدة</w:t>
      </w:r>
      <w:r w:rsidR="00074000">
        <w:rPr>
          <w:rtl/>
        </w:rPr>
        <w:t xml:space="preserve"> ما </w:t>
      </w:r>
      <w:r w:rsidRPr="007A5201">
        <w:rPr>
          <w:rtl/>
        </w:rPr>
        <w:t>ينبغي أن يكون صريح</w:t>
      </w:r>
      <w:r w:rsidR="00F07E37" w:rsidRPr="007A5201">
        <w:rPr>
          <w:rtl/>
        </w:rPr>
        <w:t xml:space="preserve">اً </w:t>
      </w:r>
      <w:r w:rsidRPr="007A5201">
        <w:rPr>
          <w:rtl/>
        </w:rPr>
        <w:t>ويتسم بالشفافية وأن يحظى بقبول الدول الأطراف لكي تتمكن اللجنة من تقييم أي انتهاك للمعاهدة.</w:t>
      </w:r>
    </w:p>
    <w:p w:rsidR="007832A2" w:rsidRPr="007A5201" w:rsidRDefault="007832A2" w:rsidP="006E3362">
      <w:pPr>
        <w:pStyle w:val="SingleTxtGA"/>
        <w:rPr>
          <w:rtl/>
        </w:rPr>
      </w:pPr>
      <w:r w:rsidRPr="007A5201">
        <w:rPr>
          <w:rtl/>
        </w:rPr>
        <w:t>5-</w:t>
      </w:r>
      <w:r w:rsidRPr="007A5201">
        <w:rPr>
          <w:rtl/>
        </w:rPr>
        <w:tab/>
        <w:t>ولهذ</w:t>
      </w:r>
      <w:r w:rsidR="00AE43A7" w:rsidRPr="007A5201">
        <w:rPr>
          <w:rtl/>
        </w:rPr>
        <w:t xml:space="preserve">اً </w:t>
      </w:r>
      <w:r w:rsidRPr="007A5201">
        <w:rPr>
          <w:rtl/>
        </w:rPr>
        <w:t>السبب تعتبر تدابير الحماية المؤقتة ملزمة قانون</w:t>
      </w:r>
      <w:r w:rsidR="00F07E37" w:rsidRPr="007A5201">
        <w:rPr>
          <w:rtl/>
        </w:rPr>
        <w:t xml:space="preserve">اً </w:t>
      </w:r>
      <w:r w:rsidRPr="007A5201">
        <w:rPr>
          <w:rtl/>
        </w:rPr>
        <w:t>في المعاهدات والبروتوكولات التي تنص عليها، وتتقيد بها اختياراً، الدول الأطراف في تلك المعاهدات</w:t>
      </w:r>
      <w:r w:rsidR="00074000">
        <w:rPr>
          <w:rtl/>
        </w:rPr>
        <w:t xml:space="preserve"> أو </w:t>
      </w:r>
      <w:r w:rsidRPr="007A5201">
        <w:rPr>
          <w:rtl/>
        </w:rPr>
        <w:t>البروتوكولات. وهذا ينطبق على البروتوكول الاختياري لاتفاقية القضاء على جميع أشكال التمييز ضد المرأة (المادة</w:t>
      </w:r>
      <w:r w:rsidR="006E3362" w:rsidRPr="007A5201">
        <w:rPr>
          <w:rFonts w:hint="cs"/>
          <w:rtl/>
        </w:rPr>
        <w:t> </w:t>
      </w:r>
      <w:r w:rsidRPr="007A5201">
        <w:rPr>
          <w:rtl/>
        </w:rPr>
        <w:t>5)، والبروتوكول الاختياري لاتفاقية حقوق الأشخاص ذوي الإعاقة (المادة 4)، والاتفاقية الدولية لحماية جميع الأشخاص من الاختفاء القسري (المادة 31)، والبروتوكول الاختياري الملحق بالعهد الدولي الخاص بالحقوق الاقتصادية والاجتماعية والثقافية (المادة 5).</w:t>
      </w:r>
    </w:p>
    <w:p w:rsidR="007832A2" w:rsidRPr="00974C76" w:rsidRDefault="007832A2" w:rsidP="007832A2">
      <w:pPr>
        <w:pStyle w:val="SingleTxtGA"/>
        <w:rPr>
          <w:rtl/>
        </w:rPr>
      </w:pPr>
      <w:r w:rsidRPr="007A5201">
        <w:rPr>
          <w:rtl/>
        </w:rPr>
        <w:t>6-</w:t>
      </w:r>
      <w:r w:rsidRPr="007A5201">
        <w:rPr>
          <w:rtl/>
        </w:rPr>
        <w:tab/>
        <w:t>والمعاهدات التي</w:t>
      </w:r>
      <w:r w:rsidR="00074000">
        <w:rPr>
          <w:rtl/>
        </w:rPr>
        <w:t xml:space="preserve"> لا </w:t>
      </w:r>
      <w:r w:rsidRPr="007A5201">
        <w:rPr>
          <w:rtl/>
        </w:rPr>
        <w:t>تتضمن مثل هذا الحكم، مثل اتفاقية مناهضة التعذيب، ينبغي إما أن تُعدَّل وفق</w:t>
      </w:r>
      <w:r w:rsidR="00F07E37" w:rsidRPr="007A5201">
        <w:rPr>
          <w:rtl/>
        </w:rPr>
        <w:t xml:space="preserve">اً </w:t>
      </w:r>
      <w:r w:rsidRPr="007A5201">
        <w:rPr>
          <w:rtl/>
        </w:rPr>
        <w:t>لآليات تعديلها</w:t>
      </w:r>
      <w:r w:rsidR="00074000">
        <w:rPr>
          <w:rtl/>
        </w:rPr>
        <w:t xml:space="preserve"> أو </w:t>
      </w:r>
      <w:r w:rsidRPr="007A5201">
        <w:rPr>
          <w:rtl/>
        </w:rPr>
        <w:t>يُوضع لها بروتوكول اختياري إضافي يتضمن صراحة مفهوم تدابير الحماية المؤقتة الملزمة قانوناً.</w:t>
      </w:r>
    </w:p>
    <w:p w:rsidR="00761849" w:rsidRPr="007832A2" w:rsidRDefault="007832A2" w:rsidP="004664D7">
      <w:pPr>
        <w:pStyle w:val="SingleTxtGA"/>
        <w:jc w:val="center"/>
        <w:rPr>
          <w:szCs w:val="20"/>
          <w:rtl/>
          <w:lang w:bidi="ar-DZ"/>
        </w:rPr>
      </w:pPr>
      <w:r w:rsidRPr="00974C76">
        <w:rPr>
          <w:u w:val="single"/>
          <w:rtl/>
        </w:rPr>
        <w:tab/>
      </w:r>
      <w:r w:rsidRPr="00974C76">
        <w:rPr>
          <w:u w:val="single"/>
          <w:rtl/>
        </w:rPr>
        <w:tab/>
      </w:r>
      <w:r w:rsidRPr="00974C76">
        <w:rPr>
          <w:u w:val="single"/>
          <w:rtl/>
        </w:rPr>
        <w:tab/>
      </w:r>
    </w:p>
    <w:sectPr w:rsidR="00761849" w:rsidRPr="007832A2" w:rsidSect="00C653FA">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361"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2996" w:rsidRPr="002901D9" w:rsidRDefault="00452996" w:rsidP="002901D9">
      <w:pPr>
        <w:spacing w:after="60" w:line="240" w:lineRule="auto"/>
        <w:rPr>
          <w:i/>
          <w:iCs/>
        </w:rPr>
      </w:pPr>
      <w:r>
        <w:rPr>
          <w:rFonts w:hint="cs"/>
          <w:i/>
          <w:iCs/>
          <w:rtl/>
        </w:rPr>
        <w:t>الحواشي</w:t>
      </w:r>
    </w:p>
  </w:endnote>
  <w:endnote w:type="continuationSeparator" w:id="0">
    <w:p w:rsidR="00452996" w:rsidRDefault="00452996"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996" w:rsidRPr="007832A2" w:rsidRDefault="00452996" w:rsidP="007832A2">
    <w:pPr>
      <w:pStyle w:val="Footer"/>
      <w:tabs>
        <w:tab w:val="right" w:pos="9598"/>
      </w:tabs>
      <w:rPr>
        <w:sz w:val="17"/>
      </w:rPr>
    </w:pPr>
    <w:r>
      <w:rPr>
        <w:sz w:val="17"/>
      </w:rPr>
      <w:t>GE.17-16783</w:t>
    </w:r>
    <w:r>
      <w:rPr>
        <w:sz w:val="17"/>
      </w:rPr>
      <w:tab/>
    </w:r>
    <w:r w:rsidRPr="007832A2">
      <w:rPr>
        <w:b/>
        <w:sz w:val="18"/>
      </w:rPr>
      <w:fldChar w:fldCharType="begin"/>
    </w:r>
    <w:r w:rsidRPr="007832A2">
      <w:rPr>
        <w:b/>
        <w:sz w:val="18"/>
      </w:rPr>
      <w:instrText xml:space="preserve"> PAGE  \* MERGEFORMAT </w:instrText>
    </w:r>
    <w:r w:rsidRPr="007832A2">
      <w:rPr>
        <w:b/>
        <w:sz w:val="18"/>
      </w:rPr>
      <w:fldChar w:fldCharType="separate"/>
    </w:r>
    <w:r w:rsidR="00B264EA">
      <w:rPr>
        <w:b/>
        <w:noProof/>
        <w:sz w:val="18"/>
      </w:rPr>
      <w:t>14</w:t>
    </w:r>
    <w:r w:rsidRPr="007832A2">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996" w:rsidRPr="007832A2" w:rsidRDefault="00452996" w:rsidP="006959B0">
    <w:pPr>
      <w:pStyle w:val="Footer"/>
      <w:tabs>
        <w:tab w:val="right" w:pos="9599"/>
      </w:tabs>
      <w:jc w:val="left"/>
      <w:rPr>
        <w:b/>
        <w:sz w:val="18"/>
        <w:lang w:val="en-US"/>
      </w:rPr>
    </w:pPr>
    <w:r w:rsidRPr="007832A2">
      <w:rPr>
        <w:b/>
        <w:sz w:val="18"/>
        <w:lang w:val="en-US"/>
      </w:rPr>
      <w:fldChar w:fldCharType="begin"/>
    </w:r>
    <w:r w:rsidRPr="007832A2">
      <w:rPr>
        <w:b/>
        <w:sz w:val="18"/>
        <w:lang w:val="en-US"/>
      </w:rPr>
      <w:instrText xml:space="preserve"> PAGE  \* MERGEFORMAT </w:instrText>
    </w:r>
    <w:r w:rsidRPr="007832A2">
      <w:rPr>
        <w:b/>
        <w:sz w:val="18"/>
        <w:lang w:val="en-US"/>
      </w:rPr>
      <w:fldChar w:fldCharType="separate"/>
    </w:r>
    <w:r w:rsidR="00B264EA">
      <w:rPr>
        <w:b/>
        <w:noProof/>
        <w:sz w:val="18"/>
        <w:lang w:val="en-US"/>
      </w:rPr>
      <w:t>15</w:t>
    </w:r>
    <w:r w:rsidRPr="007832A2">
      <w:rPr>
        <w:b/>
        <w:sz w:val="18"/>
        <w:lang w:val="en-US"/>
      </w:rPr>
      <w:fldChar w:fldCharType="end"/>
    </w:r>
    <w:r>
      <w:rPr>
        <w:b/>
        <w:sz w:val="18"/>
        <w:lang w:val="en-US"/>
      </w:rPr>
      <w:tab/>
    </w:r>
    <w:r>
      <w:rPr>
        <w:sz w:val="17"/>
        <w:lang w:val="en-US"/>
      </w:rPr>
      <w:t>GE.17-16783</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996" w:rsidRDefault="00452996" w:rsidP="005A3015">
    <w:pPr>
      <w:pStyle w:val="Footer"/>
      <w:spacing w:before="360"/>
      <w:jc w:val="right"/>
      <w:rPr>
        <w:sz w:val="20"/>
        <w:szCs w:val="20"/>
      </w:rPr>
    </w:pPr>
    <w:r>
      <w:rPr>
        <w:sz w:val="20"/>
        <w:szCs w:val="20"/>
      </w:rPr>
      <w:t>GE.17-16783</w:t>
    </w:r>
    <w:r>
      <w:rPr>
        <w:noProof/>
        <w:lang w:val="en-US" w:eastAsia="zh-CN"/>
      </w:rPr>
      <w:drawing>
        <wp:anchor distT="0" distB="0" distL="114300" distR="114300" simplePos="0" relativeHeight="251665408" behindDoc="1" locked="1" layoutInCell="0" allowOverlap="1" wp14:anchorId="7DE3C30D" wp14:editId="25BEBE76">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0286">
      <w:rPr>
        <w:sz w:val="20"/>
        <w:szCs w:val="20"/>
      </w:rPr>
      <w:t>(A)</w:t>
    </w:r>
  </w:p>
  <w:p w:rsidR="00452996" w:rsidRPr="00C653FA" w:rsidRDefault="00452996" w:rsidP="00C653FA">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lang w:val="en-US" w:eastAsia="zh-CN"/>
      </w:rPr>
      <w:drawing>
        <wp:anchor distT="0" distB="0" distL="114300" distR="114300" simplePos="0" relativeHeight="251657728" behindDoc="0" locked="0" layoutInCell="1" allowOverlap="1">
          <wp:simplePos x="0" y="0"/>
          <wp:positionH relativeFrom="page">
            <wp:posOffset>719455</wp:posOffset>
          </wp:positionH>
          <wp:positionV relativeFrom="page">
            <wp:posOffset>9611995</wp:posOffset>
          </wp:positionV>
          <wp:extent cx="638175" cy="6381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
                    <a:extLst>
                      <a:ext uri="{28A0092B-C50C-407E-A947-70E740481C1C}">
                        <a14:useLocalDpi xmlns:a14="http://schemas.microsoft.com/office/drawing/2010/main" val="0"/>
                      </a:ext>
                    </a:extLst>
                  </a:blip>
                  <a:stretch>
                    <a:fillRect/>
                  </a:stretch>
                </pic:blipFill>
                <pic:spPr>
                  <a:xfrm>
                    <a:off x="0" y="0"/>
                    <a:ext cx="638175" cy="6381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2996" w:rsidRPr="004956DC" w:rsidRDefault="00452996" w:rsidP="00761849">
      <w:pPr>
        <w:pStyle w:val="Footer"/>
        <w:bidi/>
        <w:spacing w:after="80" w:line="200" w:lineRule="exact"/>
        <w:ind w:left="680"/>
      </w:pPr>
      <w:r>
        <w:rPr>
          <w:rtl/>
        </w:rPr>
        <w:t>__________</w:t>
      </w:r>
    </w:p>
  </w:footnote>
  <w:footnote w:type="continuationSeparator" w:id="0">
    <w:p w:rsidR="00452996" w:rsidRDefault="00452996" w:rsidP="00656392">
      <w:pPr>
        <w:spacing w:line="240" w:lineRule="auto"/>
      </w:pPr>
      <w:r>
        <w:continuationSeparator/>
      </w:r>
    </w:p>
  </w:footnote>
  <w:footnote w:id="1">
    <w:p w:rsidR="00452996" w:rsidRPr="007A5201" w:rsidRDefault="00452996" w:rsidP="007832A2">
      <w:pPr>
        <w:pStyle w:val="FootnoteText1"/>
      </w:pPr>
      <w:r w:rsidRPr="007A5201">
        <w:rPr>
          <w:rtl/>
        </w:rPr>
        <w:t>*</w:t>
      </w:r>
      <w:r w:rsidRPr="007A5201">
        <w:rPr>
          <w:rtl/>
        </w:rPr>
        <w:tab/>
        <w:t>اعتمدته اللجنة في دورتها الحادية والستين (24 تموز/يوليه - 11 آب/أغسطس 2017).</w:t>
      </w:r>
    </w:p>
  </w:footnote>
  <w:footnote w:id="2">
    <w:p w:rsidR="00452996" w:rsidRPr="007A5201" w:rsidRDefault="00452996" w:rsidP="00AE43A7">
      <w:pPr>
        <w:pStyle w:val="FootnoteText1"/>
      </w:pPr>
      <w:r w:rsidRPr="007A5201">
        <w:rPr>
          <w:rtl/>
        </w:rPr>
        <w:t>**</w:t>
      </w:r>
      <w:r w:rsidRPr="007A5201">
        <w:rPr>
          <w:rtl/>
        </w:rPr>
        <w:tab/>
        <w:t xml:space="preserve">شارك في دراسة هذا البلاغ أعضاء اللجنة التالية أسماؤهم: السعدية </w:t>
      </w:r>
      <w:proofErr w:type="spellStart"/>
      <w:r w:rsidRPr="007A5201">
        <w:rPr>
          <w:rtl/>
        </w:rPr>
        <w:t>بلمير</w:t>
      </w:r>
      <w:proofErr w:type="spellEnd"/>
      <w:r w:rsidRPr="007A5201">
        <w:rPr>
          <w:rtl/>
        </w:rPr>
        <w:t xml:space="preserve">، </w:t>
      </w:r>
      <w:proofErr w:type="spellStart"/>
      <w:r w:rsidRPr="007A5201">
        <w:rPr>
          <w:rtl/>
        </w:rPr>
        <w:t>أليسيو</w:t>
      </w:r>
      <w:proofErr w:type="spellEnd"/>
      <w:r w:rsidRPr="007A5201">
        <w:rPr>
          <w:rtl/>
        </w:rPr>
        <w:t xml:space="preserve"> بروني، فيليس </w:t>
      </w:r>
      <w:proofErr w:type="spellStart"/>
      <w:r w:rsidRPr="007A5201">
        <w:rPr>
          <w:rtl/>
        </w:rPr>
        <w:t>غايير</w:t>
      </w:r>
      <w:proofErr w:type="spellEnd"/>
      <w:r w:rsidRPr="007A5201">
        <w:rPr>
          <w:rtl/>
        </w:rPr>
        <w:t xml:space="preserve">، عبد الوهاب هاني، كلود هيلر </w:t>
      </w:r>
      <w:proofErr w:type="spellStart"/>
      <w:r w:rsidRPr="007A5201">
        <w:rPr>
          <w:rtl/>
        </w:rPr>
        <w:t>رواسان</w:t>
      </w:r>
      <w:proofErr w:type="spellEnd"/>
      <w:r w:rsidRPr="007A5201">
        <w:rPr>
          <w:rtl/>
        </w:rPr>
        <w:t xml:space="preserve">، ينيس </w:t>
      </w:r>
      <w:proofErr w:type="spellStart"/>
      <w:r w:rsidRPr="007A5201">
        <w:rPr>
          <w:rtl/>
        </w:rPr>
        <w:t>مودفيغ</w:t>
      </w:r>
      <w:proofErr w:type="spellEnd"/>
      <w:r w:rsidRPr="007A5201">
        <w:rPr>
          <w:rtl/>
        </w:rPr>
        <w:t xml:space="preserve">، آنا </w:t>
      </w:r>
      <w:proofErr w:type="spellStart"/>
      <w:r w:rsidRPr="007A5201">
        <w:rPr>
          <w:rtl/>
        </w:rPr>
        <w:t>راغو</w:t>
      </w:r>
      <w:proofErr w:type="spellEnd"/>
      <w:r w:rsidRPr="007A5201">
        <w:rPr>
          <w:rtl/>
        </w:rPr>
        <w:t xml:space="preserve">، سيباستيان توزيه، </w:t>
      </w:r>
      <w:proofErr w:type="spellStart"/>
      <w:r w:rsidRPr="007A5201">
        <w:rPr>
          <w:rtl/>
        </w:rPr>
        <w:t>كينينغ</w:t>
      </w:r>
      <w:proofErr w:type="spellEnd"/>
      <w:r w:rsidRPr="007A5201">
        <w:rPr>
          <w:rtl/>
        </w:rPr>
        <w:t xml:space="preserve"> - </w:t>
      </w:r>
      <w:proofErr w:type="spellStart"/>
      <w:r w:rsidRPr="007A5201">
        <w:rPr>
          <w:rtl/>
        </w:rPr>
        <w:t>زانغ</w:t>
      </w:r>
      <w:proofErr w:type="spellEnd"/>
      <w:r w:rsidRPr="007A5201">
        <w:rPr>
          <w:rtl/>
        </w:rPr>
        <w:t>.</w:t>
      </w:r>
    </w:p>
  </w:footnote>
  <w:footnote w:id="3">
    <w:p w:rsidR="00452996" w:rsidRPr="007A5201" w:rsidRDefault="00AE43A7" w:rsidP="007832A2">
      <w:pPr>
        <w:pStyle w:val="FootnoteText1"/>
      </w:pPr>
      <w:r w:rsidRPr="007A5201">
        <w:rPr>
          <w:rtl/>
        </w:rPr>
        <w:t>***</w:t>
      </w:r>
      <w:r w:rsidRPr="007A5201">
        <w:rPr>
          <w:rtl/>
        </w:rPr>
        <w:tab/>
        <w:t xml:space="preserve">يرد في مرفق هذا القرار رأيٌ فردي (مخالف) لعضو اللجنة </w:t>
      </w:r>
      <w:proofErr w:type="spellStart"/>
      <w:r w:rsidRPr="007A5201">
        <w:rPr>
          <w:rtl/>
        </w:rPr>
        <w:t>أليسيو</w:t>
      </w:r>
      <w:proofErr w:type="spellEnd"/>
      <w:r w:rsidRPr="007A5201">
        <w:rPr>
          <w:rtl/>
        </w:rPr>
        <w:t xml:space="preserve"> بروني.</w:t>
      </w:r>
    </w:p>
  </w:footnote>
  <w:footnote w:id="4">
    <w:p w:rsidR="00452996" w:rsidRPr="007A5201" w:rsidRDefault="00452996" w:rsidP="00AE43A7">
      <w:pPr>
        <w:pStyle w:val="FootnoteText"/>
        <w:spacing w:after="60" w:line="300" w:lineRule="exact"/>
        <w:ind w:left="1247" w:right="1247" w:hanging="567"/>
        <w:textDirection w:val="tbRlV"/>
        <w:rPr>
          <w:sz w:val="18"/>
          <w:szCs w:val="26"/>
          <w:rtl/>
        </w:rPr>
      </w:pPr>
      <w:r w:rsidRPr="007A5201">
        <w:rPr>
          <w:sz w:val="18"/>
          <w:szCs w:val="26"/>
          <w:rtl/>
        </w:rPr>
        <w:t>(</w:t>
      </w:r>
      <w:r w:rsidRPr="007A5201">
        <w:rPr>
          <w:sz w:val="18"/>
          <w:szCs w:val="26"/>
          <w:rtl/>
        </w:rPr>
        <w:footnoteRef/>
      </w:r>
      <w:r w:rsidRPr="007A5201">
        <w:rPr>
          <w:sz w:val="18"/>
          <w:szCs w:val="26"/>
          <w:rtl/>
        </w:rPr>
        <w:t>)</w:t>
      </w:r>
      <w:r w:rsidRPr="007A5201">
        <w:rPr>
          <w:sz w:val="18"/>
          <w:szCs w:val="26"/>
          <w:rtl/>
        </w:rPr>
        <w:tab/>
        <w:t>لم تقدم معلومات أخرى بشأن سلطات الدولة الطرف التي أجرت التقييم.</w:t>
      </w:r>
    </w:p>
  </w:footnote>
  <w:footnote w:id="5">
    <w:p w:rsidR="00452996" w:rsidRPr="007A5201" w:rsidRDefault="00452996" w:rsidP="007832A2">
      <w:pPr>
        <w:pStyle w:val="FootnoteText"/>
        <w:spacing w:after="60" w:line="300" w:lineRule="exact"/>
        <w:ind w:left="1247" w:right="1247" w:hanging="567"/>
        <w:textDirection w:val="tbRlV"/>
        <w:rPr>
          <w:sz w:val="18"/>
          <w:szCs w:val="26"/>
          <w:rtl/>
        </w:rPr>
      </w:pPr>
      <w:r w:rsidRPr="007A5201">
        <w:rPr>
          <w:sz w:val="18"/>
          <w:szCs w:val="26"/>
          <w:rtl/>
        </w:rPr>
        <w:t>(</w:t>
      </w:r>
      <w:r w:rsidRPr="007A5201">
        <w:rPr>
          <w:sz w:val="18"/>
          <w:szCs w:val="26"/>
          <w:rtl/>
        </w:rPr>
        <w:footnoteRef/>
      </w:r>
      <w:r w:rsidRPr="007A5201">
        <w:rPr>
          <w:sz w:val="18"/>
          <w:szCs w:val="26"/>
          <w:rtl/>
        </w:rPr>
        <w:t>)</w:t>
      </w:r>
      <w:r w:rsidRPr="007A5201">
        <w:rPr>
          <w:sz w:val="18"/>
          <w:szCs w:val="26"/>
          <w:rtl/>
        </w:rPr>
        <w:tab/>
        <w:t>تمسكت سلطات الدولة الطرف بالقول الجازم بأن التزامات أستراليا بشأن عدم الإعادة القسرية، بما في ذلك بموجب المادة 3 من الاتفاقية، لا تنطبق في حالة صاحب الشكوى.</w:t>
      </w:r>
    </w:p>
  </w:footnote>
  <w:footnote w:id="6">
    <w:p w:rsidR="00452996" w:rsidRPr="007A5201" w:rsidRDefault="00452996" w:rsidP="00AE43A7">
      <w:pPr>
        <w:pStyle w:val="FootnoteText"/>
        <w:spacing w:after="60" w:line="300" w:lineRule="exact"/>
        <w:ind w:left="1247" w:right="1247" w:hanging="567"/>
        <w:textDirection w:val="tbRlV"/>
        <w:rPr>
          <w:sz w:val="18"/>
          <w:szCs w:val="26"/>
          <w:rtl/>
        </w:rPr>
      </w:pPr>
      <w:r w:rsidRPr="007A5201">
        <w:rPr>
          <w:sz w:val="18"/>
          <w:szCs w:val="26"/>
          <w:rtl/>
        </w:rPr>
        <w:t>(</w:t>
      </w:r>
      <w:r w:rsidRPr="007A5201">
        <w:rPr>
          <w:sz w:val="18"/>
          <w:szCs w:val="26"/>
          <w:rtl/>
        </w:rPr>
        <w:footnoteRef/>
      </w:r>
      <w:r w:rsidRPr="007A5201">
        <w:rPr>
          <w:sz w:val="18"/>
          <w:szCs w:val="26"/>
          <w:rtl/>
        </w:rPr>
        <w:t>)</w:t>
      </w:r>
      <w:r w:rsidRPr="007A5201">
        <w:rPr>
          <w:sz w:val="18"/>
          <w:szCs w:val="26"/>
          <w:rtl/>
        </w:rPr>
        <w:tab/>
        <w:t xml:space="preserve">تفيد الوثائق الواردة في الملف بأن صاحب الشكوى كان يعيش في منزل عمته/خالته في </w:t>
      </w:r>
      <w:proofErr w:type="spellStart"/>
      <w:r w:rsidRPr="007A5201">
        <w:rPr>
          <w:sz w:val="18"/>
          <w:szCs w:val="26"/>
          <w:rtl/>
        </w:rPr>
        <w:t>ثيفادي</w:t>
      </w:r>
      <w:proofErr w:type="spellEnd"/>
      <w:r w:rsidRPr="007A5201">
        <w:rPr>
          <w:sz w:val="18"/>
          <w:szCs w:val="26"/>
          <w:rtl/>
        </w:rPr>
        <w:t xml:space="preserve">، ولم يأت أحد إلى </w:t>
      </w:r>
      <w:proofErr w:type="spellStart"/>
      <w:r w:rsidRPr="007A5201">
        <w:rPr>
          <w:sz w:val="18"/>
          <w:szCs w:val="26"/>
          <w:rtl/>
        </w:rPr>
        <w:t>ثيفادي</w:t>
      </w:r>
      <w:proofErr w:type="spellEnd"/>
      <w:r w:rsidRPr="007A5201">
        <w:rPr>
          <w:sz w:val="18"/>
          <w:szCs w:val="26"/>
          <w:rtl/>
        </w:rPr>
        <w:t xml:space="preserve"> بحث</w:t>
      </w:r>
      <w:r w:rsidR="00AE43A7" w:rsidRPr="007A5201">
        <w:rPr>
          <w:sz w:val="18"/>
          <w:szCs w:val="26"/>
          <w:rtl/>
        </w:rPr>
        <w:t xml:space="preserve">اً </w:t>
      </w:r>
      <w:r w:rsidRPr="007A5201">
        <w:rPr>
          <w:sz w:val="18"/>
          <w:szCs w:val="26"/>
          <w:rtl/>
        </w:rPr>
        <w:t>عنه، وفق</w:t>
      </w:r>
      <w:r w:rsidR="00AE43A7" w:rsidRPr="007A5201">
        <w:rPr>
          <w:sz w:val="18"/>
          <w:szCs w:val="26"/>
          <w:rtl/>
        </w:rPr>
        <w:t xml:space="preserve">اً </w:t>
      </w:r>
      <w:r w:rsidRPr="007A5201">
        <w:rPr>
          <w:sz w:val="18"/>
          <w:szCs w:val="26"/>
          <w:rtl/>
        </w:rPr>
        <w:t>لروايته.</w:t>
      </w:r>
    </w:p>
  </w:footnote>
  <w:footnote w:id="7">
    <w:p w:rsidR="00452996" w:rsidRPr="007A5201" w:rsidRDefault="00452996" w:rsidP="00AE43A7">
      <w:pPr>
        <w:pStyle w:val="FootnoteText"/>
        <w:spacing w:after="60" w:line="300" w:lineRule="exact"/>
        <w:ind w:left="1247" w:right="1247" w:hanging="567"/>
        <w:textDirection w:val="tbRlV"/>
        <w:rPr>
          <w:sz w:val="18"/>
          <w:szCs w:val="26"/>
          <w:rtl/>
        </w:rPr>
      </w:pPr>
      <w:r w:rsidRPr="007A5201">
        <w:rPr>
          <w:sz w:val="18"/>
          <w:szCs w:val="26"/>
          <w:rtl/>
        </w:rPr>
        <w:t>(</w:t>
      </w:r>
      <w:r w:rsidRPr="007A5201">
        <w:rPr>
          <w:sz w:val="18"/>
          <w:szCs w:val="26"/>
          <w:rtl/>
        </w:rPr>
        <w:footnoteRef/>
      </w:r>
      <w:r w:rsidRPr="007A5201">
        <w:rPr>
          <w:sz w:val="18"/>
          <w:szCs w:val="26"/>
          <w:rtl/>
        </w:rPr>
        <w:t>)</w:t>
      </w:r>
      <w:r w:rsidRPr="007A5201">
        <w:rPr>
          <w:sz w:val="18"/>
          <w:szCs w:val="26"/>
          <w:rtl/>
        </w:rPr>
        <w:tab/>
        <w:t>المعدلة بموجب البروتوكول الخاص بوضع اللاجئين لعام 1967.</w:t>
      </w:r>
    </w:p>
  </w:footnote>
  <w:footnote w:id="8">
    <w:p w:rsidR="00452996" w:rsidRPr="007A5201" w:rsidRDefault="00452996" w:rsidP="00AE43A7">
      <w:pPr>
        <w:pStyle w:val="FootnoteText"/>
        <w:spacing w:after="60" w:line="300" w:lineRule="exact"/>
        <w:ind w:left="1247" w:right="1247" w:hanging="567"/>
        <w:textDirection w:val="tbRlV"/>
        <w:rPr>
          <w:sz w:val="18"/>
          <w:szCs w:val="26"/>
          <w:rtl/>
        </w:rPr>
      </w:pPr>
      <w:r w:rsidRPr="007A5201">
        <w:rPr>
          <w:sz w:val="18"/>
          <w:szCs w:val="26"/>
          <w:rtl/>
        </w:rPr>
        <w:t>(</w:t>
      </w:r>
      <w:r w:rsidRPr="007A5201">
        <w:rPr>
          <w:sz w:val="18"/>
          <w:szCs w:val="26"/>
          <w:rtl/>
        </w:rPr>
        <w:footnoteRef/>
      </w:r>
      <w:r w:rsidRPr="007A5201">
        <w:rPr>
          <w:sz w:val="18"/>
          <w:szCs w:val="26"/>
          <w:rtl/>
        </w:rPr>
        <w:t>)</w:t>
      </w:r>
      <w:r w:rsidRPr="007A5201">
        <w:rPr>
          <w:sz w:val="18"/>
          <w:szCs w:val="26"/>
          <w:rtl/>
        </w:rPr>
        <w:tab/>
        <w:t>أرفق صاحب الشكوى بشكواه الأولى إشعار الاستئناف المرفوع أمام المحكمة الاتحادية الأسترالية، ورسالة المحكمة الاتحادية الأسترالية المؤرخة 10 حزيران/يونيه 2014، التي تشير إلى الفترة التي سيُبت فيها في استئنافه.</w:t>
      </w:r>
    </w:p>
  </w:footnote>
  <w:footnote w:id="9">
    <w:p w:rsidR="00452996" w:rsidRPr="007A5201" w:rsidRDefault="00452996" w:rsidP="00AE43A7">
      <w:pPr>
        <w:pStyle w:val="FootnoteText"/>
        <w:spacing w:after="60" w:line="300" w:lineRule="exact"/>
        <w:ind w:left="1247" w:right="1247" w:hanging="567"/>
        <w:textDirection w:val="tbRlV"/>
        <w:rPr>
          <w:sz w:val="18"/>
          <w:szCs w:val="26"/>
          <w:rtl/>
        </w:rPr>
      </w:pPr>
      <w:r w:rsidRPr="007A5201">
        <w:rPr>
          <w:sz w:val="18"/>
          <w:szCs w:val="26"/>
          <w:rtl/>
        </w:rPr>
        <w:t>(</w:t>
      </w:r>
      <w:r w:rsidRPr="007A5201">
        <w:rPr>
          <w:sz w:val="18"/>
          <w:szCs w:val="26"/>
          <w:rtl/>
        </w:rPr>
        <w:footnoteRef/>
      </w:r>
      <w:r w:rsidRPr="007A5201">
        <w:rPr>
          <w:sz w:val="18"/>
          <w:szCs w:val="26"/>
          <w:rtl/>
        </w:rPr>
        <w:t>)</w:t>
      </w:r>
      <w:r w:rsidRPr="007A5201">
        <w:rPr>
          <w:sz w:val="18"/>
          <w:szCs w:val="26"/>
          <w:rtl/>
        </w:rPr>
        <w:tab/>
        <w:t>فيما يتعلق باستنفاد سبل الانتصاف المحلية، يُعتبر صاحب الشكوى، وفق الاجتهاد القضائي للجنة، ملزَماً بموجب مبدأ استنفاد سبل الانتصاف المحلية، باللجوء إلى سبل الانتصاف التي لها صلة مباشرة بخطر التعرض للتعذيب في البلد الذي يُبعد إليه. وبالتالي فإن صاحب الشكوى قد استنفد جميع سبل الانتصاف المحلية المتاحة والفعالة اللازمة لاستيفاء معايير المقبولية في هذه القضية.</w:t>
      </w:r>
    </w:p>
  </w:footnote>
  <w:footnote w:id="10">
    <w:p w:rsidR="00452996" w:rsidRPr="007A5201" w:rsidRDefault="00452996" w:rsidP="00AE43A7">
      <w:pPr>
        <w:pStyle w:val="FootnoteText"/>
        <w:spacing w:after="60" w:line="300" w:lineRule="exact"/>
        <w:ind w:left="1247" w:right="1247" w:hanging="567"/>
        <w:textDirection w:val="tbRlV"/>
        <w:rPr>
          <w:sz w:val="18"/>
          <w:szCs w:val="26"/>
          <w:rtl/>
        </w:rPr>
      </w:pPr>
      <w:r w:rsidRPr="007A5201">
        <w:rPr>
          <w:sz w:val="18"/>
          <w:szCs w:val="26"/>
          <w:rtl/>
        </w:rPr>
        <w:t>(</w:t>
      </w:r>
      <w:r w:rsidRPr="007A5201">
        <w:rPr>
          <w:sz w:val="18"/>
          <w:szCs w:val="26"/>
          <w:rtl/>
        </w:rPr>
        <w:footnoteRef/>
      </w:r>
      <w:r w:rsidRPr="007A5201">
        <w:rPr>
          <w:sz w:val="18"/>
          <w:szCs w:val="26"/>
          <w:rtl/>
        </w:rPr>
        <w:t>)</w:t>
      </w:r>
      <w:r w:rsidRPr="007A5201">
        <w:rPr>
          <w:sz w:val="18"/>
          <w:szCs w:val="26"/>
          <w:rtl/>
        </w:rPr>
        <w:tab/>
      </w:r>
      <w:r w:rsidRPr="007A5201">
        <w:rPr>
          <w:spacing w:val="-2"/>
          <w:sz w:val="18"/>
          <w:szCs w:val="26"/>
          <w:rtl/>
        </w:rPr>
        <w:t xml:space="preserve">انظر البلاغ رقم 83/1997، </w:t>
      </w:r>
      <w:r w:rsidRPr="007A5201">
        <w:rPr>
          <w:i/>
          <w:iCs/>
          <w:spacing w:val="-2"/>
          <w:sz w:val="18"/>
          <w:szCs w:val="26"/>
          <w:rtl/>
        </w:rPr>
        <w:t>غ. ر. ب. ضد السويد</w:t>
      </w:r>
      <w:r w:rsidRPr="007A5201">
        <w:rPr>
          <w:spacing w:val="-2"/>
          <w:sz w:val="18"/>
          <w:szCs w:val="26"/>
          <w:rtl/>
        </w:rPr>
        <w:t>، الآراء المعتمدة في 15 أيار/مايو 1998، الفقرة 6-5.</w:t>
      </w:r>
    </w:p>
  </w:footnote>
  <w:footnote w:id="11">
    <w:p w:rsidR="00452996" w:rsidRPr="007A5201" w:rsidRDefault="00452996" w:rsidP="00AE43A7">
      <w:pPr>
        <w:pStyle w:val="FootnoteText"/>
        <w:spacing w:after="60" w:line="300" w:lineRule="exact"/>
        <w:ind w:left="1247" w:right="1247" w:hanging="567"/>
        <w:textDirection w:val="tbRlV"/>
        <w:rPr>
          <w:sz w:val="18"/>
          <w:szCs w:val="26"/>
          <w:rtl/>
        </w:rPr>
      </w:pPr>
      <w:r w:rsidRPr="007A5201">
        <w:rPr>
          <w:sz w:val="18"/>
          <w:szCs w:val="26"/>
          <w:rtl/>
        </w:rPr>
        <w:t>(</w:t>
      </w:r>
      <w:r w:rsidRPr="007A5201">
        <w:rPr>
          <w:sz w:val="18"/>
          <w:szCs w:val="26"/>
          <w:rtl/>
        </w:rPr>
        <w:footnoteRef/>
      </w:r>
      <w:r w:rsidRPr="007A5201">
        <w:rPr>
          <w:sz w:val="18"/>
          <w:szCs w:val="26"/>
          <w:rtl/>
        </w:rPr>
        <w:t>)</w:t>
      </w:r>
      <w:r w:rsidRPr="007A5201">
        <w:rPr>
          <w:sz w:val="18"/>
          <w:szCs w:val="26"/>
          <w:rtl/>
        </w:rPr>
        <w:tab/>
        <w:t>انظر التعليق العام للجنة رقم 1(1997) بشأن تنفيذ المادة 3 من الاتفاقية، الفقرة 1.</w:t>
      </w:r>
    </w:p>
  </w:footnote>
  <w:footnote w:id="12">
    <w:p w:rsidR="00452996" w:rsidRPr="007A5201" w:rsidRDefault="00452996" w:rsidP="00AE43A7">
      <w:pPr>
        <w:pStyle w:val="FootnoteText"/>
        <w:spacing w:after="60" w:line="300" w:lineRule="exact"/>
        <w:ind w:left="1247" w:right="1247" w:hanging="567"/>
        <w:textDirection w:val="tbRlV"/>
        <w:rPr>
          <w:sz w:val="18"/>
          <w:szCs w:val="26"/>
          <w:rtl/>
        </w:rPr>
      </w:pPr>
      <w:r w:rsidRPr="007A5201">
        <w:rPr>
          <w:sz w:val="18"/>
          <w:szCs w:val="26"/>
          <w:rtl/>
        </w:rPr>
        <w:t>(</w:t>
      </w:r>
      <w:r w:rsidRPr="007A5201">
        <w:rPr>
          <w:sz w:val="18"/>
          <w:szCs w:val="26"/>
          <w:rtl/>
        </w:rPr>
        <w:footnoteRef/>
      </w:r>
      <w:r w:rsidRPr="007A5201">
        <w:rPr>
          <w:sz w:val="18"/>
          <w:szCs w:val="26"/>
          <w:rtl/>
        </w:rPr>
        <w:t>)</w:t>
      </w:r>
      <w:r w:rsidRPr="007A5201">
        <w:rPr>
          <w:sz w:val="18"/>
          <w:szCs w:val="26"/>
          <w:rtl/>
        </w:rPr>
        <w:tab/>
      </w:r>
      <w:r w:rsidRPr="007A5201">
        <w:rPr>
          <w:spacing w:val="-2"/>
          <w:sz w:val="18"/>
          <w:szCs w:val="26"/>
          <w:rtl/>
        </w:rPr>
        <w:t xml:space="preserve">انظر البلاغ رقم 177/2001، </w:t>
      </w:r>
      <w:r w:rsidRPr="007A5201">
        <w:rPr>
          <w:i/>
          <w:iCs/>
          <w:spacing w:val="-2"/>
          <w:sz w:val="18"/>
          <w:szCs w:val="26"/>
          <w:rtl/>
        </w:rPr>
        <w:t>ه.</w:t>
      </w:r>
      <w:r w:rsidR="00726DEF" w:rsidRPr="007A5201">
        <w:rPr>
          <w:rFonts w:hint="cs"/>
          <w:i/>
          <w:iCs/>
          <w:spacing w:val="-2"/>
          <w:sz w:val="18"/>
          <w:szCs w:val="26"/>
          <w:rtl/>
        </w:rPr>
        <w:t xml:space="preserve"> </w:t>
      </w:r>
      <w:r w:rsidRPr="007A5201">
        <w:rPr>
          <w:i/>
          <w:iCs/>
          <w:spacing w:val="-2"/>
          <w:sz w:val="18"/>
          <w:szCs w:val="26"/>
          <w:rtl/>
        </w:rPr>
        <w:t>م.</w:t>
      </w:r>
      <w:r w:rsidR="00726DEF" w:rsidRPr="007A5201">
        <w:rPr>
          <w:rFonts w:hint="cs"/>
          <w:i/>
          <w:iCs/>
          <w:spacing w:val="-2"/>
          <w:sz w:val="18"/>
          <w:szCs w:val="26"/>
          <w:rtl/>
        </w:rPr>
        <w:t xml:space="preserve"> </w:t>
      </w:r>
      <w:r w:rsidRPr="007A5201">
        <w:rPr>
          <w:i/>
          <w:iCs/>
          <w:spacing w:val="-2"/>
          <w:sz w:val="18"/>
          <w:szCs w:val="26"/>
          <w:rtl/>
        </w:rPr>
        <w:t>ه.</w:t>
      </w:r>
      <w:r w:rsidR="00726DEF" w:rsidRPr="007A5201">
        <w:rPr>
          <w:rFonts w:hint="cs"/>
          <w:i/>
          <w:iCs/>
          <w:spacing w:val="-2"/>
          <w:sz w:val="18"/>
          <w:szCs w:val="26"/>
          <w:rtl/>
        </w:rPr>
        <w:t xml:space="preserve"> </w:t>
      </w:r>
      <w:r w:rsidRPr="007A5201">
        <w:rPr>
          <w:i/>
          <w:iCs/>
          <w:spacing w:val="-2"/>
          <w:sz w:val="18"/>
          <w:szCs w:val="26"/>
          <w:rtl/>
        </w:rPr>
        <w:t>إ. ضد أستراليا</w:t>
      </w:r>
      <w:r w:rsidRPr="007A5201">
        <w:rPr>
          <w:spacing w:val="-2"/>
          <w:sz w:val="18"/>
          <w:szCs w:val="26"/>
          <w:rtl/>
        </w:rPr>
        <w:t>، القرار المعتمد في 1 أيار/مايو 2002، الفقرة 6-5.</w:t>
      </w:r>
    </w:p>
  </w:footnote>
  <w:footnote w:id="13">
    <w:p w:rsidR="00452996" w:rsidRPr="007A5201" w:rsidRDefault="00452996" w:rsidP="00AE43A7">
      <w:pPr>
        <w:pStyle w:val="FootnoteText"/>
        <w:spacing w:after="60" w:line="300" w:lineRule="exact"/>
        <w:ind w:left="1247" w:right="1247" w:hanging="567"/>
        <w:textDirection w:val="tbRlV"/>
        <w:rPr>
          <w:sz w:val="18"/>
          <w:szCs w:val="26"/>
          <w:rtl/>
        </w:rPr>
      </w:pPr>
      <w:r w:rsidRPr="007A5201">
        <w:rPr>
          <w:sz w:val="18"/>
          <w:szCs w:val="26"/>
          <w:rtl/>
        </w:rPr>
        <w:t>(</w:t>
      </w:r>
      <w:r w:rsidRPr="007A5201">
        <w:rPr>
          <w:sz w:val="18"/>
          <w:szCs w:val="26"/>
          <w:rtl/>
        </w:rPr>
        <w:footnoteRef/>
      </w:r>
      <w:r w:rsidRPr="007A5201">
        <w:rPr>
          <w:sz w:val="18"/>
          <w:szCs w:val="26"/>
          <w:rtl/>
        </w:rPr>
        <w:t>)</w:t>
      </w:r>
      <w:r w:rsidRPr="007A5201">
        <w:rPr>
          <w:sz w:val="18"/>
          <w:szCs w:val="26"/>
          <w:rtl/>
        </w:rPr>
        <w:tab/>
        <w:t xml:space="preserve">انظر البلاغ رقم 203/2002، </w:t>
      </w:r>
      <w:r w:rsidRPr="007A5201">
        <w:rPr>
          <w:i/>
          <w:iCs/>
          <w:sz w:val="18"/>
          <w:szCs w:val="26"/>
          <w:rtl/>
        </w:rPr>
        <w:t>أ.</w:t>
      </w:r>
      <w:r w:rsidR="00726DEF" w:rsidRPr="007A5201">
        <w:rPr>
          <w:rFonts w:hint="cs"/>
          <w:i/>
          <w:iCs/>
          <w:sz w:val="18"/>
          <w:szCs w:val="26"/>
          <w:rtl/>
        </w:rPr>
        <w:t xml:space="preserve"> </w:t>
      </w:r>
      <w:r w:rsidRPr="007A5201">
        <w:rPr>
          <w:i/>
          <w:iCs/>
          <w:sz w:val="18"/>
          <w:szCs w:val="26"/>
          <w:rtl/>
        </w:rPr>
        <w:t>ر. ضد هولندا</w:t>
      </w:r>
      <w:r w:rsidRPr="007A5201">
        <w:rPr>
          <w:sz w:val="18"/>
          <w:szCs w:val="26"/>
          <w:rtl/>
        </w:rPr>
        <w:t>، القرار المعتمد في 14 تشرين الثاني/نوفمبر 2003، الفقرة</w:t>
      </w:r>
      <w:r w:rsidR="00AE43A7" w:rsidRPr="007A5201">
        <w:rPr>
          <w:rFonts w:hint="cs"/>
          <w:sz w:val="18"/>
          <w:szCs w:val="26"/>
          <w:rtl/>
        </w:rPr>
        <w:t> </w:t>
      </w:r>
      <w:r w:rsidRPr="007A5201">
        <w:rPr>
          <w:sz w:val="18"/>
          <w:szCs w:val="26"/>
          <w:rtl/>
        </w:rPr>
        <w:t>7-3.</w:t>
      </w:r>
    </w:p>
  </w:footnote>
  <w:footnote w:id="14">
    <w:p w:rsidR="00452996" w:rsidRPr="007A5201" w:rsidRDefault="00452996" w:rsidP="00AE43A7">
      <w:pPr>
        <w:pStyle w:val="FootnoteText"/>
        <w:spacing w:after="60" w:line="300" w:lineRule="exact"/>
        <w:ind w:left="1247" w:right="1247" w:hanging="567"/>
        <w:textDirection w:val="tbRlV"/>
        <w:rPr>
          <w:sz w:val="18"/>
          <w:szCs w:val="26"/>
          <w:rtl/>
        </w:rPr>
      </w:pPr>
      <w:r w:rsidRPr="007A5201">
        <w:rPr>
          <w:sz w:val="18"/>
          <w:szCs w:val="26"/>
          <w:rtl/>
        </w:rPr>
        <w:t>(</w:t>
      </w:r>
      <w:r w:rsidRPr="007A5201">
        <w:rPr>
          <w:sz w:val="18"/>
          <w:szCs w:val="26"/>
          <w:rtl/>
        </w:rPr>
        <w:footnoteRef/>
      </w:r>
      <w:r w:rsidRPr="007A5201">
        <w:rPr>
          <w:sz w:val="18"/>
          <w:szCs w:val="26"/>
          <w:rtl/>
        </w:rPr>
        <w:t>)</w:t>
      </w:r>
      <w:r w:rsidRPr="007A5201">
        <w:rPr>
          <w:sz w:val="18"/>
          <w:szCs w:val="26"/>
          <w:rtl/>
        </w:rPr>
        <w:tab/>
        <w:t>المرجع نفسه</w:t>
      </w:r>
      <w:r w:rsidR="00AE43A7" w:rsidRPr="007A5201">
        <w:rPr>
          <w:rFonts w:hint="cs"/>
          <w:sz w:val="18"/>
          <w:szCs w:val="26"/>
          <w:rtl/>
        </w:rPr>
        <w:t>.</w:t>
      </w:r>
    </w:p>
  </w:footnote>
  <w:footnote w:id="15">
    <w:p w:rsidR="00452996" w:rsidRPr="007A5201" w:rsidRDefault="00452996" w:rsidP="00AE43A7">
      <w:pPr>
        <w:pStyle w:val="FootnoteText"/>
        <w:spacing w:after="60" w:line="300" w:lineRule="exact"/>
        <w:ind w:left="1247" w:right="1247" w:hanging="567"/>
        <w:textDirection w:val="tbRlV"/>
        <w:rPr>
          <w:sz w:val="18"/>
          <w:szCs w:val="26"/>
          <w:rtl/>
        </w:rPr>
      </w:pPr>
      <w:r w:rsidRPr="007A5201">
        <w:rPr>
          <w:sz w:val="18"/>
          <w:szCs w:val="26"/>
          <w:rtl/>
        </w:rPr>
        <w:t>(</w:t>
      </w:r>
      <w:r w:rsidRPr="007A5201">
        <w:rPr>
          <w:sz w:val="18"/>
          <w:szCs w:val="26"/>
          <w:rtl/>
        </w:rPr>
        <w:footnoteRef/>
      </w:r>
      <w:r w:rsidRPr="007A5201">
        <w:rPr>
          <w:sz w:val="18"/>
          <w:szCs w:val="26"/>
          <w:rtl/>
        </w:rPr>
        <w:t>)</w:t>
      </w:r>
      <w:r w:rsidRPr="007A5201">
        <w:rPr>
          <w:sz w:val="18"/>
          <w:szCs w:val="26"/>
          <w:rtl/>
        </w:rPr>
        <w:tab/>
        <w:t>لم يدَّع صاحب الشكوى في مرحلة تقييم التزامات توفير الحماية أن الجيش السريلانكي والعصابات المسلحة استجوبت شقيقه عندما كان هو موجود</w:t>
      </w:r>
      <w:r w:rsidR="00AE43A7" w:rsidRPr="007A5201">
        <w:rPr>
          <w:sz w:val="18"/>
          <w:szCs w:val="26"/>
          <w:rtl/>
        </w:rPr>
        <w:t xml:space="preserve">اً </w:t>
      </w:r>
      <w:r w:rsidRPr="007A5201">
        <w:rPr>
          <w:sz w:val="18"/>
          <w:szCs w:val="26"/>
          <w:rtl/>
        </w:rPr>
        <w:t>في ماليزيا بين 15 و19 تموز/يوليه 2011.</w:t>
      </w:r>
    </w:p>
  </w:footnote>
  <w:footnote w:id="16">
    <w:p w:rsidR="00452996" w:rsidRPr="007A5201" w:rsidRDefault="00452996" w:rsidP="007832A2">
      <w:pPr>
        <w:pStyle w:val="FootnoteText"/>
        <w:spacing w:after="60" w:line="300" w:lineRule="exact"/>
        <w:ind w:left="1247" w:right="1247" w:hanging="567"/>
        <w:textDirection w:val="tbRlV"/>
        <w:rPr>
          <w:sz w:val="18"/>
          <w:szCs w:val="26"/>
          <w:rtl/>
        </w:rPr>
      </w:pPr>
      <w:r w:rsidRPr="007A5201">
        <w:rPr>
          <w:sz w:val="18"/>
          <w:szCs w:val="26"/>
          <w:rtl/>
        </w:rPr>
        <w:t>(</w:t>
      </w:r>
      <w:r w:rsidRPr="007A5201">
        <w:rPr>
          <w:sz w:val="18"/>
          <w:szCs w:val="26"/>
          <w:rtl/>
        </w:rPr>
        <w:footnoteRef/>
      </w:r>
      <w:r w:rsidRPr="007A5201">
        <w:rPr>
          <w:sz w:val="18"/>
          <w:szCs w:val="26"/>
          <w:rtl/>
        </w:rPr>
        <w:t>)</w:t>
      </w:r>
      <w:r w:rsidRPr="007A5201">
        <w:rPr>
          <w:sz w:val="18"/>
          <w:szCs w:val="26"/>
          <w:rtl/>
        </w:rPr>
        <w:tab/>
        <w:t>دخلت أحكام قانون الهجرة حيز النفاذ في 24 آذار/مارس 2012.</w:t>
      </w:r>
    </w:p>
  </w:footnote>
  <w:footnote w:id="17">
    <w:p w:rsidR="00452996" w:rsidRPr="007A5201" w:rsidRDefault="00452996" w:rsidP="00EC4892">
      <w:pPr>
        <w:pStyle w:val="FootnoteText"/>
        <w:spacing w:after="60" w:line="300" w:lineRule="exact"/>
        <w:ind w:left="1247" w:right="1247" w:hanging="567"/>
        <w:textDirection w:val="tbRlV"/>
        <w:rPr>
          <w:sz w:val="18"/>
          <w:szCs w:val="26"/>
          <w:rtl/>
        </w:rPr>
      </w:pPr>
      <w:r w:rsidRPr="007A5201">
        <w:rPr>
          <w:sz w:val="18"/>
          <w:szCs w:val="26"/>
          <w:rtl/>
        </w:rPr>
        <w:t>(</w:t>
      </w:r>
      <w:r w:rsidRPr="007A5201">
        <w:rPr>
          <w:sz w:val="18"/>
          <w:szCs w:val="26"/>
          <w:rtl/>
        </w:rPr>
        <w:footnoteRef/>
      </w:r>
      <w:r w:rsidRPr="007A5201">
        <w:rPr>
          <w:sz w:val="18"/>
          <w:szCs w:val="26"/>
          <w:rtl/>
        </w:rPr>
        <w:t>)</w:t>
      </w:r>
      <w:r w:rsidRPr="007A5201">
        <w:rPr>
          <w:sz w:val="18"/>
          <w:szCs w:val="26"/>
          <w:rtl/>
        </w:rPr>
        <w:tab/>
        <w:t>انظر التعليق العام للجنة رقم 1(1997)، الفقرة 9(أ).</w:t>
      </w:r>
    </w:p>
  </w:footnote>
  <w:footnote w:id="18">
    <w:p w:rsidR="00452996" w:rsidRPr="007A5201" w:rsidRDefault="00452996" w:rsidP="00AE43A7">
      <w:pPr>
        <w:pStyle w:val="FootnoteText"/>
        <w:spacing w:after="60" w:line="300" w:lineRule="exact"/>
        <w:ind w:left="1247" w:right="1247" w:hanging="567"/>
        <w:textDirection w:val="tbRlV"/>
        <w:rPr>
          <w:sz w:val="18"/>
          <w:szCs w:val="26"/>
          <w:rtl/>
        </w:rPr>
      </w:pPr>
      <w:r w:rsidRPr="007A5201">
        <w:rPr>
          <w:sz w:val="18"/>
          <w:szCs w:val="26"/>
          <w:rtl/>
        </w:rPr>
        <w:t>(</w:t>
      </w:r>
      <w:r w:rsidRPr="007A5201">
        <w:rPr>
          <w:sz w:val="18"/>
          <w:szCs w:val="26"/>
          <w:rtl/>
        </w:rPr>
        <w:footnoteRef/>
      </w:r>
      <w:r w:rsidRPr="007A5201">
        <w:rPr>
          <w:sz w:val="18"/>
          <w:szCs w:val="26"/>
          <w:rtl/>
        </w:rPr>
        <w:t>)</w:t>
      </w:r>
      <w:r w:rsidRPr="007A5201">
        <w:rPr>
          <w:sz w:val="18"/>
          <w:szCs w:val="26"/>
          <w:rtl/>
        </w:rPr>
        <w:tab/>
        <w:t>بما في ذلك وزارة الخارجية والتجارة الأسترالية؛ ووزارة الداخلية في المملكة المتحـدة لبريطانيا العظمى وآيرلندا الشمالية؛ ووزارة الخارجية في الولايات المتحدة الأمريكية.</w:t>
      </w:r>
    </w:p>
  </w:footnote>
  <w:footnote w:id="19">
    <w:p w:rsidR="00452996" w:rsidRPr="007A5201" w:rsidRDefault="00452996" w:rsidP="007832A2">
      <w:pPr>
        <w:pStyle w:val="FootnoteText"/>
        <w:spacing w:after="60" w:line="300" w:lineRule="exact"/>
        <w:ind w:left="1247" w:right="1247" w:hanging="567"/>
        <w:textDirection w:val="tbRlV"/>
        <w:rPr>
          <w:sz w:val="18"/>
          <w:szCs w:val="26"/>
          <w:rtl/>
        </w:rPr>
      </w:pPr>
      <w:r w:rsidRPr="007A5201">
        <w:rPr>
          <w:sz w:val="18"/>
          <w:szCs w:val="26"/>
          <w:rtl/>
        </w:rPr>
        <w:t>(</w:t>
      </w:r>
      <w:r w:rsidRPr="007A5201">
        <w:rPr>
          <w:sz w:val="18"/>
          <w:szCs w:val="26"/>
          <w:rtl/>
        </w:rPr>
        <w:footnoteRef/>
      </w:r>
      <w:r w:rsidRPr="007A5201">
        <w:rPr>
          <w:sz w:val="18"/>
          <w:szCs w:val="26"/>
          <w:rtl/>
        </w:rPr>
        <w:t>)</w:t>
      </w:r>
      <w:r w:rsidRPr="007A5201">
        <w:rPr>
          <w:sz w:val="18"/>
          <w:szCs w:val="26"/>
          <w:rtl/>
        </w:rPr>
        <w:tab/>
        <w:t>لا يتضمن الملف معلومات أخرى مقدمة من صاحب الشكوى فيما عدا شكواه الأولى.</w:t>
      </w:r>
    </w:p>
  </w:footnote>
  <w:footnote w:id="20">
    <w:p w:rsidR="00452996" w:rsidRPr="007A5201" w:rsidRDefault="00452996" w:rsidP="00AE43A7">
      <w:pPr>
        <w:pStyle w:val="FootnoteText"/>
        <w:spacing w:after="60" w:line="300" w:lineRule="exact"/>
        <w:ind w:left="1247" w:right="1247" w:hanging="567"/>
        <w:textDirection w:val="tbRlV"/>
        <w:rPr>
          <w:sz w:val="18"/>
          <w:szCs w:val="26"/>
          <w:rtl/>
        </w:rPr>
      </w:pPr>
      <w:r w:rsidRPr="007A5201">
        <w:rPr>
          <w:sz w:val="18"/>
          <w:szCs w:val="26"/>
          <w:rtl/>
        </w:rPr>
        <w:t>(</w:t>
      </w:r>
      <w:r w:rsidRPr="007A5201">
        <w:rPr>
          <w:sz w:val="18"/>
          <w:szCs w:val="26"/>
          <w:rtl/>
        </w:rPr>
        <w:footnoteRef/>
      </w:r>
      <w:r w:rsidRPr="007A5201">
        <w:rPr>
          <w:sz w:val="18"/>
          <w:szCs w:val="26"/>
          <w:rtl/>
        </w:rPr>
        <w:t>)</w:t>
      </w:r>
      <w:r w:rsidRPr="007A5201">
        <w:rPr>
          <w:sz w:val="18"/>
          <w:szCs w:val="26"/>
          <w:rtl/>
        </w:rPr>
        <w:tab/>
      </w:r>
      <w:r w:rsidRPr="007A5201">
        <w:rPr>
          <w:spacing w:val="-4"/>
          <w:sz w:val="18"/>
          <w:szCs w:val="26"/>
          <w:rtl/>
        </w:rPr>
        <w:t xml:space="preserve">انظر البلاغ رقم 444/2010، </w:t>
      </w:r>
      <w:r w:rsidRPr="007A5201">
        <w:rPr>
          <w:i/>
          <w:iCs/>
          <w:spacing w:val="-4"/>
          <w:sz w:val="18"/>
          <w:szCs w:val="26"/>
          <w:rtl/>
        </w:rPr>
        <w:t xml:space="preserve">عبد </w:t>
      </w:r>
      <w:proofErr w:type="spellStart"/>
      <w:r w:rsidRPr="007A5201">
        <w:rPr>
          <w:i/>
          <w:iCs/>
          <w:spacing w:val="-4"/>
          <w:sz w:val="18"/>
          <w:szCs w:val="26"/>
          <w:rtl/>
        </w:rPr>
        <w:t>الصمدوف</w:t>
      </w:r>
      <w:proofErr w:type="spellEnd"/>
      <w:r w:rsidRPr="007A5201">
        <w:rPr>
          <w:i/>
          <w:iCs/>
          <w:spacing w:val="-4"/>
          <w:sz w:val="18"/>
          <w:szCs w:val="26"/>
          <w:rtl/>
        </w:rPr>
        <w:t xml:space="preserve"> وآخرون ضد كازاخستان</w:t>
      </w:r>
      <w:r w:rsidRPr="007A5201">
        <w:rPr>
          <w:spacing w:val="-4"/>
          <w:sz w:val="18"/>
          <w:szCs w:val="26"/>
          <w:rtl/>
        </w:rPr>
        <w:t>، القرار المعتمد في 1 حزيران/</w:t>
      </w:r>
      <w:r w:rsidR="00AE43A7" w:rsidRPr="007A5201">
        <w:rPr>
          <w:rFonts w:hint="cs"/>
          <w:spacing w:val="-4"/>
          <w:sz w:val="18"/>
          <w:szCs w:val="26"/>
          <w:rtl/>
        </w:rPr>
        <w:t xml:space="preserve"> </w:t>
      </w:r>
      <w:r w:rsidRPr="007A5201">
        <w:rPr>
          <w:spacing w:val="-4"/>
          <w:sz w:val="18"/>
          <w:szCs w:val="26"/>
          <w:rtl/>
        </w:rPr>
        <w:t>يونيه</w:t>
      </w:r>
      <w:r w:rsidR="00AE43A7" w:rsidRPr="007A5201">
        <w:rPr>
          <w:rFonts w:hint="cs"/>
          <w:spacing w:val="-4"/>
          <w:sz w:val="18"/>
          <w:szCs w:val="26"/>
          <w:rtl/>
        </w:rPr>
        <w:t> </w:t>
      </w:r>
      <w:r w:rsidRPr="007A5201">
        <w:rPr>
          <w:spacing w:val="-4"/>
          <w:sz w:val="18"/>
          <w:szCs w:val="26"/>
          <w:rtl/>
        </w:rPr>
        <w:t xml:space="preserve">2012، الفقرتان 10-1 و10-2. والبلاغ رقم 538/2013، </w:t>
      </w:r>
      <w:proofErr w:type="spellStart"/>
      <w:r w:rsidRPr="007A5201">
        <w:rPr>
          <w:i/>
          <w:iCs/>
          <w:spacing w:val="-4"/>
          <w:sz w:val="18"/>
          <w:szCs w:val="26"/>
          <w:rtl/>
        </w:rPr>
        <w:t>تورسونوف</w:t>
      </w:r>
      <w:proofErr w:type="spellEnd"/>
      <w:r w:rsidRPr="007A5201">
        <w:rPr>
          <w:i/>
          <w:iCs/>
          <w:spacing w:val="-4"/>
          <w:sz w:val="18"/>
          <w:szCs w:val="26"/>
          <w:rtl/>
        </w:rPr>
        <w:t xml:space="preserve"> ضد كازاخستان</w:t>
      </w:r>
      <w:r w:rsidRPr="007A5201">
        <w:rPr>
          <w:spacing w:val="-4"/>
          <w:sz w:val="18"/>
          <w:szCs w:val="26"/>
          <w:rtl/>
        </w:rPr>
        <w:t xml:space="preserve">، القرار المعتمد في 8 أيار/مايو 2015، الفقرتان 7-1 و7-2؛ والبلاغ رقم 542/2013، </w:t>
      </w:r>
      <w:r w:rsidRPr="007A5201">
        <w:rPr>
          <w:i/>
          <w:iCs/>
          <w:spacing w:val="-4"/>
          <w:sz w:val="18"/>
          <w:szCs w:val="26"/>
          <w:rtl/>
        </w:rPr>
        <w:t>سين ضد الاتحاد الروسي</w:t>
      </w:r>
      <w:r w:rsidRPr="007A5201">
        <w:rPr>
          <w:spacing w:val="-4"/>
          <w:sz w:val="18"/>
          <w:szCs w:val="26"/>
          <w:rtl/>
        </w:rPr>
        <w:t xml:space="preserve">، القرار المعتمد في 8 أيار/مايو 2015، الفقرتان 9-1 و9-2؛ والبلاغ رقم 554/2013، </w:t>
      </w:r>
      <w:r w:rsidRPr="007A5201">
        <w:rPr>
          <w:i/>
          <w:iCs/>
          <w:spacing w:val="-4"/>
          <w:sz w:val="18"/>
          <w:szCs w:val="26"/>
          <w:rtl/>
        </w:rPr>
        <w:t>سين ضد كازاخستان</w:t>
      </w:r>
      <w:r w:rsidRPr="007A5201">
        <w:rPr>
          <w:spacing w:val="-4"/>
          <w:sz w:val="18"/>
          <w:szCs w:val="26"/>
          <w:rtl/>
        </w:rPr>
        <w:t xml:space="preserve">، القرار المعتمد في 3 آب/أغسطس 2015، الفقرة 10-1، والبلاغ رقم 671/2015، </w:t>
      </w:r>
      <w:r w:rsidRPr="007A5201">
        <w:rPr>
          <w:i/>
          <w:iCs/>
          <w:spacing w:val="-4"/>
          <w:sz w:val="18"/>
          <w:szCs w:val="26"/>
          <w:rtl/>
        </w:rPr>
        <w:t>د.</w:t>
      </w:r>
      <w:r w:rsidR="00726DEF" w:rsidRPr="007A5201">
        <w:rPr>
          <w:rFonts w:hint="cs"/>
          <w:i/>
          <w:iCs/>
          <w:spacing w:val="-4"/>
          <w:sz w:val="18"/>
          <w:szCs w:val="26"/>
          <w:rtl/>
        </w:rPr>
        <w:t xml:space="preserve"> </w:t>
      </w:r>
      <w:r w:rsidRPr="007A5201">
        <w:rPr>
          <w:i/>
          <w:iCs/>
          <w:spacing w:val="-4"/>
          <w:sz w:val="18"/>
          <w:szCs w:val="26"/>
          <w:rtl/>
        </w:rPr>
        <w:t>إ.</w:t>
      </w:r>
      <w:r w:rsidR="00726DEF" w:rsidRPr="007A5201">
        <w:rPr>
          <w:rFonts w:hint="cs"/>
          <w:i/>
          <w:iCs/>
          <w:spacing w:val="-4"/>
          <w:sz w:val="18"/>
          <w:szCs w:val="26"/>
          <w:rtl/>
        </w:rPr>
        <w:t xml:space="preserve"> </w:t>
      </w:r>
      <w:r w:rsidRPr="007A5201">
        <w:rPr>
          <w:i/>
          <w:iCs/>
          <w:spacing w:val="-4"/>
          <w:sz w:val="18"/>
          <w:szCs w:val="26"/>
          <w:rtl/>
        </w:rPr>
        <w:t>س. ضد هنغاريا</w:t>
      </w:r>
      <w:r w:rsidRPr="007A5201">
        <w:rPr>
          <w:spacing w:val="-4"/>
          <w:sz w:val="18"/>
          <w:szCs w:val="26"/>
          <w:rtl/>
        </w:rPr>
        <w:t>، القرار المعتمد في 8 كانون الأول/ديسمبر 2015، الفقرتان 9-1 و9-3.</w:t>
      </w:r>
    </w:p>
  </w:footnote>
  <w:footnote w:id="21">
    <w:p w:rsidR="00452996" w:rsidRPr="007A5201" w:rsidRDefault="00452996" w:rsidP="00AE43A7">
      <w:pPr>
        <w:pStyle w:val="FootnoteText"/>
        <w:spacing w:after="60" w:line="300" w:lineRule="exact"/>
        <w:ind w:left="1247" w:right="1247" w:hanging="567"/>
        <w:textDirection w:val="tbRlV"/>
        <w:rPr>
          <w:sz w:val="18"/>
          <w:szCs w:val="26"/>
          <w:rtl/>
        </w:rPr>
      </w:pPr>
      <w:r w:rsidRPr="007A5201">
        <w:rPr>
          <w:sz w:val="18"/>
          <w:szCs w:val="26"/>
          <w:rtl/>
        </w:rPr>
        <w:t>(</w:t>
      </w:r>
      <w:r w:rsidRPr="007A5201">
        <w:rPr>
          <w:sz w:val="18"/>
          <w:szCs w:val="26"/>
          <w:rtl/>
        </w:rPr>
        <w:footnoteRef/>
      </w:r>
      <w:r w:rsidRPr="007A5201">
        <w:rPr>
          <w:sz w:val="18"/>
          <w:szCs w:val="26"/>
          <w:rtl/>
        </w:rPr>
        <w:t>)</w:t>
      </w:r>
      <w:r w:rsidRPr="007A5201">
        <w:rPr>
          <w:sz w:val="18"/>
          <w:szCs w:val="26"/>
          <w:rtl/>
        </w:rPr>
        <w:tab/>
        <w:t xml:space="preserve">انظر </w:t>
      </w:r>
      <w:r w:rsidRPr="007A5201">
        <w:rPr>
          <w:i/>
          <w:iCs/>
          <w:sz w:val="18"/>
          <w:szCs w:val="26"/>
          <w:rtl/>
        </w:rPr>
        <w:t xml:space="preserve">عبد </w:t>
      </w:r>
      <w:proofErr w:type="spellStart"/>
      <w:r w:rsidRPr="007A5201">
        <w:rPr>
          <w:i/>
          <w:iCs/>
          <w:sz w:val="18"/>
          <w:szCs w:val="26"/>
          <w:rtl/>
        </w:rPr>
        <w:t>الصمدوف</w:t>
      </w:r>
      <w:proofErr w:type="spellEnd"/>
      <w:r w:rsidRPr="007A5201">
        <w:rPr>
          <w:i/>
          <w:iCs/>
          <w:sz w:val="18"/>
          <w:szCs w:val="26"/>
          <w:rtl/>
        </w:rPr>
        <w:t xml:space="preserve"> وآخرون ضد كازاخستان</w:t>
      </w:r>
      <w:r w:rsidRPr="007A5201">
        <w:rPr>
          <w:sz w:val="18"/>
          <w:szCs w:val="26"/>
          <w:rtl/>
        </w:rPr>
        <w:t xml:space="preserve">، الفقرة 13-7؛ </w:t>
      </w:r>
      <w:r w:rsidRPr="007A5201">
        <w:rPr>
          <w:i/>
          <w:iCs/>
          <w:sz w:val="18"/>
          <w:szCs w:val="26"/>
          <w:rtl/>
        </w:rPr>
        <w:t>وسين ضد كازاخستان</w:t>
      </w:r>
      <w:r w:rsidRPr="007A5201">
        <w:rPr>
          <w:sz w:val="18"/>
          <w:szCs w:val="26"/>
          <w:rtl/>
        </w:rPr>
        <w:t xml:space="preserve">، الفقرة 10-3؛ والبلاغ رقم 39/1996، </w:t>
      </w:r>
      <w:proofErr w:type="spellStart"/>
      <w:r w:rsidRPr="007A5201">
        <w:rPr>
          <w:i/>
          <w:iCs/>
          <w:sz w:val="18"/>
          <w:szCs w:val="26"/>
          <w:rtl/>
        </w:rPr>
        <w:t>تابيا</w:t>
      </w:r>
      <w:proofErr w:type="spellEnd"/>
      <w:r w:rsidRPr="007A5201">
        <w:rPr>
          <w:i/>
          <w:iCs/>
          <w:sz w:val="18"/>
          <w:szCs w:val="26"/>
          <w:rtl/>
        </w:rPr>
        <w:t xml:space="preserve"> </w:t>
      </w:r>
      <w:proofErr w:type="spellStart"/>
      <w:r w:rsidRPr="007A5201">
        <w:rPr>
          <w:i/>
          <w:iCs/>
          <w:sz w:val="18"/>
          <w:szCs w:val="26"/>
          <w:rtl/>
        </w:rPr>
        <w:t>باييز</w:t>
      </w:r>
      <w:proofErr w:type="spellEnd"/>
      <w:r w:rsidRPr="007A5201">
        <w:rPr>
          <w:i/>
          <w:iCs/>
          <w:sz w:val="18"/>
          <w:szCs w:val="26"/>
          <w:rtl/>
        </w:rPr>
        <w:t xml:space="preserve"> ضد السويد</w:t>
      </w:r>
      <w:r w:rsidRPr="007A5201">
        <w:rPr>
          <w:sz w:val="18"/>
          <w:szCs w:val="26"/>
          <w:rtl/>
        </w:rPr>
        <w:t>، الآراء المعتمدة في 28 نيسان/أبريل 1997، الفقرة 14-5.</w:t>
      </w:r>
    </w:p>
  </w:footnote>
  <w:footnote w:id="22">
    <w:p w:rsidR="00452996" w:rsidRPr="007A5201" w:rsidRDefault="00452996" w:rsidP="00AE43A7">
      <w:pPr>
        <w:pStyle w:val="FootnoteText"/>
        <w:spacing w:after="60" w:line="300" w:lineRule="exact"/>
        <w:ind w:left="1247" w:right="1247" w:hanging="567"/>
        <w:textDirection w:val="tbRlV"/>
        <w:rPr>
          <w:sz w:val="18"/>
          <w:szCs w:val="26"/>
          <w:rtl/>
        </w:rPr>
      </w:pPr>
      <w:r w:rsidRPr="007A5201">
        <w:rPr>
          <w:sz w:val="18"/>
          <w:szCs w:val="26"/>
          <w:rtl/>
        </w:rPr>
        <w:t>(</w:t>
      </w:r>
      <w:r w:rsidRPr="007A5201">
        <w:rPr>
          <w:sz w:val="18"/>
          <w:szCs w:val="26"/>
          <w:rtl/>
        </w:rPr>
        <w:footnoteRef/>
      </w:r>
      <w:r w:rsidRPr="007A5201">
        <w:rPr>
          <w:sz w:val="18"/>
          <w:szCs w:val="26"/>
          <w:rtl/>
        </w:rPr>
        <w:t>)</w:t>
      </w:r>
      <w:r w:rsidRPr="007A5201">
        <w:rPr>
          <w:sz w:val="18"/>
          <w:szCs w:val="26"/>
          <w:rtl/>
        </w:rPr>
        <w:tab/>
        <w:t xml:space="preserve">انظر في جملة بلاغات، البلاغ رقم 308/2006، </w:t>
      </w:r>
      <w:r w:rsidRPr="007A5201">
        <w:rPr>
          <w:i/>
          <w:iCs/>
          <w:sz w:val="18"/>
          <w:szCs w:val="26"/>
          <w:rtl/>
        </w:rPr>
        <w:t>ك.</w:t>
      </w:r>
      <w:r w:rsidR="00726DEF" w:rsidRPr="007A5201">
        <w:rPr>
          <w:rFonts w:hint="cs"/>
          <w:i/>
          <w:iCs/>
          <w:sz w:val="18"/>
          <w:szCs w:val="26"/>
          <w:rtl/>
        </w:rPr>
        <w:t xml:space="preserve"> </w:t>
      </w:r>
      <w:r w:rsidRPr="007A5201">
        <w:rPr>
          <w:i/>
          <w:iCs/>
          <w:sz w:val="18"/>
          <w:szCs w:val="26"/>
          <w:rtl/>
        </w:rPr>
        <w:t>أ. ضد السويد</w:t>
      </w:r>
      <w:r w:rsidRPr="007A5201">
        <w:rPr>
          <w:sz w:val="18"/>
          <w:szCs w:val="26"/>
          <w:rtl/>
        </w:rPr>
        <w:t>، قرار بشأن عدم المقبولية معتمد في 16 تشرين الثاني/نوفمبر 2007، الفقرة 7-2.</w:t>
      </w:r>
    </w:p>
  </w:footnote>
  <w:footnote w:id="23">
    <w:p w:rsidR="00452996" w:rsidRPr="007A5201" w:rsidRDefault="00452996" w:rsidP="00BA7C2C">
      <w:pPr>
        <w:pStyle w:val="FootnoteText"/>
        <w:spacing w:after="60" w:line="300" w:lineRule="exact"/>
        <w:ind w:left="1247" w:right="1247" w:hanging="567"/>
        <w:textDirection w:val="tbRlV"/>
        <w:rPr>
          <w:sz w:val="18"/>
          <w:szCs w:val="26"/>
          <w:rtl/>
        </w:rPr>
      </w:pPr>
      <w:r w:rsidRPr="007A5201">
        <w:rPr>
          <w:sz w:val="18"/>
          <w:szCs w:val="26"/>
          <w:rtl/>
        </w:rPr>
        <w:t>(</w:t>
      </w:r>
      <w:r w:rsidRPr="007A5201">
        <w:rPr>
          <w:sz w:val="18"/>
          <w:szCs w:val="26"/>
          <w:rtl/>
        </w:rPr>
        <w:footnoteRef/>
      </w:r>
      <w:r w:rsidRPr="007A5201">
        <w:rPr>
          <w:sz w:val="18"/>
          <w:szCs w:val="26"/>
          <w:rtl/>
        </w:rPr>
        <w:t>)</w:t>
      </w:r>
      <w:r w:rsidRPr="007A5201">
        <w:rPr>
          <w:sz w:val="18"/>
          <w:szCs w:val="26"/>
          <w:rtl/>
        </w:rPr>
        <w:tab/>
        <w:t>انظر الوثيقتين:</w:t>
      </w:r>
      <w:r w:rsidRPr="007A5201">
        <w:rPr>
          <w:rFonts w:hint="cs"/>
          <w:sz w:val="18"/>
          <w:szCs w:val="26"/>
          <w:rtl/>
        </w:rPr>
        <w:t xml:space="preserve"> </w:t>
      </w:r>
      <w:r w:rsidRPr="007A5201">
        <w:rPr>
          <w:sz w:val="18"/>
          <w:szCs w:val="26"/>
        </w:rPr>
        <w:t>CAT/C/SR.1472</w:t>
      </w:r>
      <w:r w:rsidRPr="007A5201">
        <w:rPr>
          <w:sz w:val="18"/>
          <w:szCs w:val="26"/>
          <w:rtl/>
        </w:rPr>
        <w:t xml:space="preserve"> و</w:t>
      </w:r>
      <w:r w:rsidRPr="007A5201">
        <w:rPr>
          <w:sz w:val="18"/>
          <w:szCs w:val="26"/>
        </w:rPr>
        <w:t>1475</w:t>
      </w:r>
      <w:r w:rsidRPr="007A5201">
        <w:rPr>
          <w:sz w:val="18"/>
          <w:szCs w:val="26"/>
          <w:rtl/>
        </w:rPr>
        <w:t xml:space="preserve">؛ والوثيقة </w:t>
      </w:r>
      <w:r w:rsidRPr="007A5201">
        <w:rPr>
          <w:sz w:val="18"/>
          <w:szCs w:val="26"/>
        </w:rPr>
        <w:t>CAT/C/LKA/CO/5</w:t>
      </w:r>
      <w:r w:rsidRPr="007A5201">
        <w:rPr>
          <w:sz w:val="18"/>
          <w:szCs w:val="26"/>
          <w:rtl/>
        </w:rPr>
        <w:t>، الفقرات 9-12.</w:t>
      </w:r>
    </w:p>
  </w:footnote>
  <w:footnote w:id="24">
    <w:p w:rsidR="00452996" w:rsidRPr="007A5201" w:rsidRDefault="00452996" w:rsidP="00BA7C2C">
      <w:pPr>
        <w:pStyle w:val="FootnoteText"/>
        <w:spacing w:after="60" w:line="300" w:lineRule="exact"/>
        <w:ind w:left="1247" w:right="1247" w:hanging="567"/>
        <w:textDirection w:val="tbRlV"/>
        <w:rPr>
          <w:sz w:val="18"/>
          <w:szCs w:val="26"/>
          <w:rtl/>
        </w:rPr>
      </w:pPr>
      <w:r w:rsidRPr="007A5201">
        <w:rPr>
          <w:sz w:val="18"/>
          <w:szCs w:val="26"/>
          <w:rtl/>
        </w:rPr>
        <w:t>(</w:t>
      </w:r>
      <w:r w:rsidRPr="007A5201">
        <w:rPr>
          <w:sz w:val="18"/>
          <w:szCs w:val="26"/>
          <w:rtl/>
        </w:rPr>
        <w:footnoteRef/>
      </w:r>
      <w:r w:rsidRPr="007A5201">
        <w:rPr>
          <w:sz w:val="18"/>
          <w:szCs w:val="26"/>
          <w:rtl/>
        </w:rPr>
        <w:t>)</w:t>
      </w:r>
      <w:r w:rsidRPr="007A5201">
        <w:rPr>
          <w:sz w:val="18"/>
          <w:szCs w:val="26"/>
          <w:rtl/>
        </w:rPr>
        <w:tab/>
      </w:r>
      <w:r w:rsidRPr="007A5201">
        <w:rPr>
          <w:rFonts w:hint="cs"/>
          <w:sz w:val="18"/>
          <w:szCs w:val="26"/>
          <w:rtl/>
        </w:rPr>
        <w:t>ا</w:t>
      </w:r>
      <w:r w:rsidRPr="007A5201">
        <w:rPr>
          <w:sz w:val="18"/>
          <w:szCs w:val="26"/>
          <w:rtl/>
        </w:rPr>
        <w:t xml:space="preserve">نظر أيضاً الوثيقة </w:t>
      </w:r>
      <w:r w:rsidRPr="007A5201">
        <w:rPr>
          <w:sz w:val="18"/>
          <w:szCs w:val="26"/>
        </w:rPr>
        <w:t>CAT/C/LKA/CO/3-4</w:t>
      </w:r>
      <w:r w:rsidRPr="007A5201">
        <w:rPr>
          <w:sz w:val="18"/>
          <w:szCs w:val="26"/>
          <w:rtl/>
        </w:rPr>
        <w:t>، الفقرة 6.</w:t>
      </w:r>
    </w:p>
  </w:footnote>
  <w:footnote w:id="25">
    <w:p w:rsidR="00452996" w:rsidRPr="007A5201" w:rsidRDefault="00452996" w:rsidP="00AE43A7">
      <w:pPr>
        <w:pStyle w:val="FootnoteText"/>
        <w:spacing w:after="60" w:line="300" w:lineRule="exact"/>
        <w:ind w:left="1247" w:right="1247" w:hanging="567"/>
        <w:textDirection w:val="tbRlV"/>
        <w:rPr>
          <w:sz w:val="18"/>
          <w:szCs w:val="26"/>
          <w:rtl/>
        </w:rPr>
      </w:pPr>
      <w:r w:rsidRPr="007A5201">
        <w:rPr>
          <w:sz w:val="18"/>
          <w:szCs w:val="26"/>
          <w:rtl/>
        </w:rPr>
        <w:t>(</w:t>
      </w:r>
      <w:r w:rsidRPr="007A5201">
        <w:rPr>
          <w:sz w:val="18"/>
          <w:szCs w:val="26"/>
          <w:rtl/>
        </w:rPr>
        <w:footnoteRef/>
      </w:r>
      <w:r w:rsidRPr="007A5201">
        <w:rPr>
          <w:sz w:val="18"/>
          <w:szCs w:val="26"/>
          <w:rtl/>
        </w:rPr>
        <w:t>)</w:t>
      </w:r>
      <w:r w:rsidRPr="007A5201">
        <w:rPr>
          <w:sz w:val="18"/>
          <w:szCs w:val="26"/>
          <w:rtl/>
        </w:rPr>
        <w:tab/>
        <w:t xml:space="preserve">انظر الوثيقة </w:t>
      </w:r>
      <w:r w:rsidRPr="007A5201">
        <w:rPr>
          <w:sz w:val="18"/>
          <w:szCs w:val="26"/>
        </w:rPr>
        <w:t>CAT/C/SR.1472</w:t>
      </w:r>
      <w:r w:rsidRPr="007A5201">
        <w:rPr>
          <w:sz w:val="18"/>
          <w:szCs w:val="26"/>
          <w:rtl/>
        </w:rPr>
        <w:t xml:space="preserve">، الفقرتان 36 و42؛ والوثيقة </w:t>
      </w:r>
      <w:r w:rsidRPr="007A5201">
        <w:rPr>
          <w:sz w:val="18"/>
          <w:szCs w:val="26"/>
        </w:rPr>
        <w:t>CAT/C/SR.1475</w:t>
      </w:r>
      <w:r w:rsidRPr="007A5201">
        <w:rPr>
          <w:sz w:val="18"/>
          <w:szCs w:val="26"/>
          <w:rtl/>
        </w:rPr>
        <w:t>، الفقرتان 10 و27. انظر أيض</w:t>
      </w:r>
      <w:r w:rsidR="00AE43A7" w:rsidRPr="007A5201">
        <w:rPr>
          <w:sz w:val="18"/>
          <w:szCs w:val="26"/>
          <w:rtl/>
        </w:rPr>
        <w:t xml:space="preserve">اً </w:t>
      </w:r>
      <w:r w:rsidRPr="007A5201">
        <w:rPr>
          <w:sz w:val="18"/>
          <w:szCs w:val="26"/>
          <w:rtl/>
        </w:rPr>
        <w:t xml:space="preserve">الوثيقة </w:t>
      </w:r>
      <w:r w:rsidRPr="007A5201">
        <w:rPr>
          <w:sz w:val="18"/>
          <w:szCs w:val="26"/>
        </w:rPr>
        <w:t>CAT/C/LKA/CO/5</w:t>
      </w:r>
      <w:r w:rsidRPr="007A5201">
        <w:rPr>
          <w:sz w:val="18"/>
          <w:szCs w:val="26"/>
          <w:rtl/>
        </w:rPr>
        <w:t>، الفقرتان 17 و18.</w:t>
      </w:r>
    </w:p>
  </w:footnote>
  <w:footnote w:id="26">
    <w:p w:rsidR="00452996" w:rsidRPr="007A5201" w:rsidRDefault="00452996" w:rsidP="00AE43A7">
      <w:pPr>
        <w:pStyle w:val="FootnoteText"/>
        <w:spacing w:after="60" w:line="300" w:lineRule="exact"/>
        <w:ind w:left="1247" w:right="1247" w:hanging="567"/>
        <w:textDirection w:val="tbRlV"/>
        <w:rPr>
          <w:sz w:val="18"/>
          <w:szCs w:val="26"/>
          <w:rtl/>
        </w:rPr>
      </w:pPr>
      <w:r w:rsidRPr="007A5201">
        <w:rPr>
          <w:sz w:val="18"/>
          <w:szCs w:val="26"/>
          <w:rtl/>
        </w:rPr>
        <w:t>(</w:t>
      </w:r>
      <w:r w:rsidRPr="007A5201">
        <w:rPr>
          <w:sz w:val="18"/>
          <w:szCs w:val="26"/>
          <w:rtl/>
        </w:rPr>
        <w:footnoteRef/>
      </w:r>
      <w:r w:rsidRPr="007A5201">
        <w:rPr>
          <w:sz w:val="18"/>
          <w:szCs w:val="26"/>
          <w:rtl/>
        </w:rPr>
        <w:t>)</w:t>
      </w:r>
      <w:r w:rsidRPr="007A5201">
        <w:rPr>
          <w:sz w:val="18"/>
          <w:szCs w:val="26"/>
          <w:rtl/>
        </w:rPr>
        <w:tab/>
        <w:t xml:space="preserve">انظر البلاغ رقم 282/2005، </w:t>
      </w:r>
      <w:r w:rsidRPr="007A5201">
        <w:rPr>
          <w:i/>
          <w:iCs/>
          <w:sz w:val="18"/>
          <w:szCs w:val="26"/>
          <w:rtl/>
        </w:rPr>
        <w:t>س.</w:t>
      </w:r>
      <w:r w:rsidR="00726DEF" w:rsidRPr="007A5201">
        <w:rPr>
          <w:rFonts w:hint="cs"/>
          <w:i/>
          <w:iCs/>
          <w:sz w:val="18"/>
          <w:szCs w:val="26"/>
          <w:rtl/>
        </w:rPr>
        <w:t xml:space="preserve"> </w:t>
      </w:r>
      <w:r w:rsidRPr="007A5201">
        <w:rPr>
          <w:i/>
          <w:iCs/>
          <w:sz w:val="18"/>
          <w:szCs w:val="26"/>
          <w:rtl/>
        </w:rPr>
        <w:t>ب.</w:t>
      </w:r>
      <w:r w:rsidR="00726DEF" w:rsidRPr="007A5201">
        <w:rPr>
          <w:rFonts w:hint="cs"/>
          <w:i/>
          <w:iCs/>
          <w:sz w:val="18"/>
          <w:szCs w:val="26"/>
          <w:rtl/>
        </w:rPr>
        <w:t xml:space="preserve"> </w:t>
      </w:r>
      <w:r w:rsidRPr="007A5201">
        <w:rPr>
          <w:i/>
          <w:iCs/>
          <w:sz w:val="18"/>
          <w:szCs w:val="26"/>
          <w:rtl/>
        </w:rPr>
        <w:t>أ. ضد كندا</w:t>
      </w:r>
      <w:r w:rsidRPr="007A5201">
        <w:rPr>
          <w:sz w:val="18"/>
          <w:szCs w:val="26"/>
          <w:rtl/>
        </w:rPr>
        <w:t xml:space="preserve">، القرار المعتمد في 7 تشرين الثاني/نوفمبر 2006؛ والبلاغ رقم 333/2007، </w:t>
      </w:r>
      <w:r w:rsidRPr="007A5201">
        <w:rPr>
          <w:i/>
          <w:iCs/>
          <w:sz w:val="18"/>
          <w:szCs w:val="26"/>
          <w:rtl/>
        </w:rPr>
        <w:t>ت.</w:t>
      </w:r>
      <w:r w:rsidR="00726DEF" w:rsidRPr="007A5201">
        <w:rPr>
          <w:rFonts w:hint="cs"/>
          <w:i/>
          <w:iCs/>
          <w:sz w:val="18"/>
          <w:szCs w:val="26"/>
          <w:rtl/>
        </w:rPr>
        <w:t xml:space="preserve"> </w:t>
      </w:r>
      <w:r w:rsidRPr="007A5201">
        <w:rPr>
          <w:i/>
          <w:iCs/>
          <w:sz w:val="18"/>
          <w:szCs w:val="26"/>
          <w:rtl/>
        </w:rPr>
        <w:t>إ. ضد كندا</w:t>
      </w:r>
      <w:r w:rsidRPr="007A5201">
        <w:rPr>
          <w:sz w:val="18"/>
          <w:szCs w:val="26"/>
          <w:rtl/>
        </w:rPr>
        <w:t xml:space="preserve">، القرار المعتمد في 15 تشرين الثاني/نوفمبر 2010؛ والبلاغ رقم 344/2008، </w:t>
      </w:r>
      <w:r w:rsidRPr="007A5201">
        <w:rPr>
          <w:i/>
          <w:iCs/>
          <w:sz w:val="18"/>
          <w:szCs w:val="26"/>
          <w:rtl/>
        </w:rPr>
        <w:t>أ.</w:t>
      </w:r>
      <w:r w:rsidR="00726DEF" w:rsidRPr="007A5201">
        <w:rPr>
          <w:rFonts w:hint="cs"/>
          <w:i/>
          <w:iCs/>
          <w:sz w:val="18"/>
          <w:szCs w:val="26"/>
          <w:rtl/>
        </w:rPr>
        <w:t xml:space="preserve"> </w:t>
      </w:r>
      <w:r w:rsidRPr="007A5201">
        <w:rPr>
          <w:i/>
          <w:iCs/>
          <w:sz w:val="18"/>
          <w:szCs w:val="26"/>
          <w:rtl/>
        </w:rPr>
        <w:t>م.</w:t>
      </w:r>
      <w:r w:rsidR="00726DEF" w:rsidRPr="007A5201">
        <w:rPr>
          <w:rFonts w:hint="cs"/>
          <w:i/>
          <w:iCs/>
          <w:sz w:val="18"/>
          <w:szCs w:val="26"/>
          <w:rtl/>
        </w:rPr>
        <w:t xml:space="preserve"> </w:t>
      </w:r>
      <w:r w:rsidRPr="007A5201">
        <w:rPr>
          <w:i/>
          <w:iCs/>
          <w:sz w:val="18"/>
          <w:szCs w:val="26"/>
          <w:rtl/>
        </w:rPr>
        <w:t>أ. ضد سويسرا</w:t>
      </w:r>
      <w:r w:rsidRPr="007A5201">
        <w:rPr>
          <w:sz w:val="18"/>
          <w:szCs w:val="26"/>
          <w:rtl/>
        </w:rPr>
        <w:t>، القرار المعتمد في 12 تشرين الثاني/نوفمبر 2010.</w:t>
      </w:r>
    </w:p>
  </w:footnote>
  <w:footnote w:id="27">
    <w:p w:rsidR="00452996" w:rsidRPr="007A5201" w:rsidRDefault="00452996" w:rsidP="00AE43A7">
      <w:pPr>
        <w:pStyle w:val="FootnoteText"/>
        <w:spacing w:after="60" w:line="300" w:lineRule="exact"/>
        <w:ind w:left="1247" w:right="1247" w:hanging="567"/>
        <w:textDirection w:val="tbRlV"/>
        <w:rPr>
          <w:spacing w:val="-4"/>
          <w:sz w:val="18"/>
          <w:szCs w:val="26"/>
          <w:rtl/>
        </w:rPr>
      </w:pPr>
      <w:r w:rsidRPr="007A5201">
        <w:rPr>
          <w:spacing w:val="-4"/>
          <w:sz w:val="18"/>
          <w:szCs w:val="26"/>
          <w:rtl/>
        </w:rPr>
        <w:t>(</w:t>
      </w:r>
      <w:r w:rsidRPr="007A5201">
        <w:rPr>
          <w:spacing w:val="-4"/>
          <w:sz w:val="18"/>
          <w:szCs w:val="26"/>
          <w:rtl/>
        </w:rPr>
        <w:footnoteRef/>
      </w:r>
      <w:r w:rsidRPr="007A5201">
        <w:rPr>
          <w:spacing w:val="-4"/>
          <w:sz w:val="18"/>
          <w:szCs w:val="26"/>
          <w:rtl/>
        </w:rPr>
        <w:t>)</w:t>
      </w:r>
      <w:r w:rsidRPr="007A5201">
        <w:rPr>
          <w:spacing w:val="-4"/>
          <w:sz w:val="18"/>
          <w:szCs w:val="26"/>
          <w:rtl/>
        </w:rPr>
        <w:tab/>
        <w:t xml:space="preserve">انظر البلاغ رقم 298/2006، </w:t>
      </w:r>
      <w:r w:rsidRPr="007A5201">
        <w:rPr>
          <w:i/>
          <w:iCs/>
          <w:spacing w:val="-4"/>
          <w:sz w:val="18"/>
          <w:szCs w:val="26"/>
          <w:rtl/>
        </w:rPr>
        <w:t>ك.</w:t>
      </w:r>
      <w:r w:rsidR="00726DEF" w:rsidRPr="007A5201">
        <w:rPr>
          <w:rFonts w:hint="cs"/>
          <w:i/>
          <w:iCs/>
          <w:spacing w:val="-4"/>
          <w:sz w:val="18"/>
          <w:szCs w:val="26"/>
          <w:rtl/>
        </w:rPr>
        <w:t xml:space="preserve"> </w:t>
      </w:r>
      <w:r w:rsidRPr="007A5201">
        <w:rPr>
          <w:i/>
          <w:iCs/>
          <w:spacing w:val="-4"/>
          <w:sz w:val="18"/>
          <w:szCs w:val="26"/>
          <w:rtl/>
        </w:rPr>
        <w:t>أ.</w:t>
      </w:r>
      <w:r w:rsidR="00726DEF" w:rsidRPr="007A5201">
        <w:rPr>
          <w:rFonts w:hint="cs"/>
          <w:i/>
          <w:iCs/>
          <w:spacing w:val="-4"/>
          <w:sz w:val="18"/>
          <w:szCs w:val="26"/>
          <w:rtl/>
        </w:rPr>
        <w:t xml:space="preserve"> </w:t>
      </w:r>
      <w:r w:rsidRPr="007A5201">
        <w:rPr>
          <w:i/>
          <w:iCs/>
          <w:spacing w:val="-4"/>
          <w:sz w:val="18"/>
          <w:szCs w:val="26"/>
          <w:rtl/>
        </w:rPr>
        <w:t>ر.</w:t>
      </w:r>
      <w:r w:rsidR="00726DEF" w:rsidRPr="007A5201">
        <w:rPr>
          <w:rFonts w:hint="cs"/>
          <w:i/>
          <w:iCs/>
          <w:spacing w:val="-4"/>
          <w:sz w:val="18"/>
          <w:szCs w:val="26"/>
          <w:rtl/>
        </w:rPr>
        <w:t xml:space="preserve"> </w:t>
      </w:r>
      <w:r w:rsidRPr="007A5201">
        <w:rPr>
          <w:i/>
          <w:iCs/>
          <w:spacing w:val="-4"/>
          <w:sz w:val="18"/>
          <w:szCs w:val="26"/>
          <w:rtl/>
        </w:rPr>
        <w:t>م. وآخرون ضد كندا</w:t>
      </w:r>
      <w:r w:rsidRPr="007A5201">
        <w:rPr>
          <w:spacing w:val="-4"/>
          <w:sz w:val="18"/>
          <w:szCs w:val="26"/>
          <w:rtl/>
        </w:rPr>
        <w:t>، القرار المعتمد في 18 أيار/مايو 2007، الفقرة</w:t>
      </w:r>
      <w:r w:rsidR="00AE43A7" w:rsidRPr="007A5201">
        <w:rPr>
          <w:rFonts w:hint="cs"/>
          <w:spacing w:val="-4"/>
          <w:sz w:val="18"/>
          <w:szCs w:val="26"/>
          <w:rtl/>
        </w:rPr>
        <w:t> </w:t>
      </w:r>
      <w:r w:rsidRPr="007A5201">
        <w:rPr>
          <w:spacing w:val="-4"/>
          <w:sz w:val="18"/>
          <w:szCs w:val="26"/>
          <w:rtl/>
        </w:rPr>
        <w:t xml:space="preserve">8-10؛ والبلاغ رقم 256/2004، </w:t>
      </w:r>
      <w:r w:rsidRPr="007A5201">
        <w:rPr>
          <w:i/>
          <w:iCs/>
          <w:spacing w:val="-4"/>
          <w:sz w:val="18"/>
          <w:szCs w:val="26"/>
          <w:rtl/>
        </w:rPr>
        <w:t>م.</w:t>
      </w:r>
      <w:r w:rsidR="00726DEF" w:rsidRPr="007A5201">
        <w:rPr>
          <w:rFonts w:hint="cs"/>
          <w:i/>
          <w:iCs/>
          <w:spacing w:val="-4"/>
          <w:sz w:val="18"/>
          <w:szCs w:val="26"/>
          <w:rtl/>
        </w:rPr>
        <w:t xml:space="preserve"> </w:t>
      </w:r>
      <w:r w:rsidRPr="007A5201">
        <w:rPr>
          <w:i/>
          <w:iCs/>
          <w:spacing w:val="-4"/>
          <w:sz w:val="18"/>
          <w:szCs w:val="26"/>
          <w:rtl/>
        </w:rPr>
        <w:t>ز. ضد السويد</w:t>
      </w:r>
      <w:r w:rsidRPr="007A5201">
        <w:rPr>
          <w:spacing w:val="-4"/>
          <w:sz w:val="18"/>
          <w:szCs w:val="26"/>
          <w:rtl/>
        </w:rPr>
        <w:t>، القرار المعتمد في 12 أيار/مايو 2006،</w:t>
      </w:r>
      <w:r w:rsidR="00AE43A7" w:rsidRPr="007A5201">
        <w:rPr>
          <w:spacing w:val="-4"/>
          <w:sz w:val="18"/>
          <w:szCs w:val="26"/>
          <w:rtl/>
        </w:rPr>
        <w:br/>
      </w:r>
      <w:r w:rsidRPr="007A5201">
        <w:rPr>
          <w:spacing w:val="-4"/>
          <w:sz w:val="18"/>
          <w:szCs w:val="26"/>
          <w:rtl/>
        </w:rPr>
        <w:t xml:space="preserve">الفقرة 9-3؛ والبلاغ رقم 214/2002، </w:t>
      </w:r>
      <w:r w:rsidRPr="007A5201">
        <w:rPr>
          <w:i/>
          <w:iCs/>
          <w:spacing w:val="-4"/>
          <w:sz w:val="18"/>
          <w:szCs w:val="26"/>
          <w:rtl/>
        </w:rPr>
        <w:t>م.</w:t>
      </w:r>
      <w:r w:rsidR="00726DEF" w:rsidRPr="007A5201">
        <w:rPr>
          <w:rFonts w:hint="cs"/>
          <w:i/>
          <w:iCs/>
          <w:spacing w:val="-4"/>
          <w:sz w:val="18"/>
          <w:szCs w:val="26"/>
          <w:rtl/>
        </w:rPr>
        <w:t xml:space="preserve"> </w:t>
      </w:r>
      <w:r w:rsidRPr="007A5201">
        <w:rPr>
          <w:i/>
          <w:iCs/>
          <w:spacing w:val="-4"/>
          <w:sz w:val="18"/>
          <w:szCs w:val="26"/>
          <w:rtl/>
        </w:rPr>
        <w:t>أ.</w:t>
      </w:r>
      <w:r w:rsidR="00726DEF" w:rsidRPr="007A5201">
        <w:rPr>
          <w:rFonts w:hint="cs"/>
          <w:i/>
          <w:iCs/>
          <w:spacing w:val="-4"/>
          <w:sz w:val="18"/>
          <w:szCs w:val="26"/>
          <w:rtl/>
        </w:rPr>
        <w:t xml:space="preserve"> </w:t>
      </w:r>
      <w:r w:rsidRPr="007A5201">
        <w:rPr>
          <w:i/>
          <w:iCs/>
          <w:spacing w:val="-4"/>
          <w:sz w:val="18"/>
          <w:szCs w:val="26"/>
          <w:rtl/>
        </w:rPr>
        <w:t>ك. ضد ألمانيا</w:t>
      </w:r>
      <w:r w:rsidRPr="007A5201">
        <w:rPr>
          <w:spacing w:val="-4"/>
          <w:sz w:val="18"/>
          <w:szCs w:val="26"/>
          <w:rtl/>
        </w:rPr>
        <w:t>، القرار المعتمد في 12 أيار/مايو 2004،</w:t>
      </w:r>
      <w:r w:rsidR="00AE43A7" w:rsidRPr="007A5201">
        <w:rPr>
          <w:spacing w:val="-4"/>
          <w:sz w:val="18"/>
          <w:szCs w:val="26"/>
          <w:rtl/>
        </w:rPr>
        <w:br/>
      </w:r>
      <w:r w:rsidRPr="007A5201">
        <w:rPr>
          <w:spacing w:val="-4"/>
          <w:sz w:val="18"/>
          <w:szCs w:val="26"/>
          <w:rtl/>
        </w:rPr>
        <w:t xml:space="preserve">الفقرة 13-5؛ والبلاغ رقم 150/1999، </w:t>
      </w:r>
      <w:r w:rsidRPr="007A5201">
        <w:rPr>
          <w:i/>
          <w:iCs/>
          <w:spacing w:val="-4"/>
          <w:sz w:val="18"/>
          <w:szCs w:val="26"/>
          <w:rtl/>
        </w:rPr>
        <w:t>س.</w:t>
      </w:r>
      <w:r w:rsidR="00726DEF" w:rsidRPr="007A5201">
        <w:rPr>
          <w:rFonts w:hint="cs"/>
          <w:i/>
          <w:iCs/>
          <w:spacing w:val="-4"/>
          <w:sz w:val="18"/>
          <w:szCs w:val="26"/>
          <w:rtl/>
        </w:rPr>
        <w:t xml:space="preserve"> </w:t>
      </w:r>
      <w:r w:rsidRPr="007A5201">
        <w:rPr>
          <w:i/>
          <w:iCs/>
          <w:spacing w:val="-4"/>
          <w:sz w:val="18"/>
          <w:szCs w:val="26"/>
          <w:rtl/>
        </w:rPr>
        <w:t>ل. ضد السويد</w:t>
      </w:r>
      <w:r w:rsidRPr="007A5201">
        <w:rPr>
          <w:spacing w:val="-4"/>
          <w:sz w:val="18"/>
          <w:szCs w:val="26"/>
          <w:rtl/>
        </w:rPr>
        <w:t>، الآراء المعتمدة في 11 أيار/مايو 2011،</w:t>
      </w:r>
      <w:r w:rsidR="00AE43A7" w:rsidRPr="007A5201">
        <w:rPr>
          <w:spacing w:val="-4"/>
          <w:sz w:val="18"/>
          <w:szCs w:val="26"/>
          <w:rtl/>
        </w:rPr>
        <w:br/>
      </w:r>
      <w:r w:rsidRPr="007A5201">
        <w:rPr>
          <w:spacing w:val="-4"/>
          <w:sz w:val="18"/>
          <w:szCs w:val="26"/>
          <w:rtl/>
        </w:rPr>
        <w:t xml:space="preserve">الفقرة 6-3؛ والبلاغ رقم 347/2008، </w:t>
      </w:r>
      <w:r w:rsidRPr="007A5201">
        <w:rPr>
          <w:i/>
          <w:iCs/>
          <w:spacing w:val="-4"/>
          <w:sz w:val="18"/>
          <w:szCs w:val="26"/>
          <w:rtl/>
        </w:rPr>
        <w:t>ن.</w:t>
      </w:r>
      <w:r w:rsidR="00726DEF" w:rsidRPr="007A5201">
        <w:rPr>
          <w:rFonts w:hint="cs"/>
          <w:i/>
          <w:iCs/>
          <w:spacing w:val="-4"/>
          <w:sz w:val="18"/>
          <w:szCs w:val="26"/>
          <w:rtl/>
        </w:rPr>
        <w:t xml:space="preserve"> </w:t>
      </w:r>
      <w:r w:rsidRPr="007A5201">
        <w:rPr>
          <w:i/>
          <w:iCs/>
          <w:spacing w:val="-4"/>
          <w:sz w:val="18"/>
          <w:szCs w:val="26"/>
          <w:rtl/>
        </w:rPr>
        <w:t>ب</w:t>
      </w:r>
      <w:r w:rsidR="00726DEF" w:rsidRPr="007A5201">
        <w:rPr>
          <w:rFonts w:hint="cs"/>
          <w:i/>
          <w:iCs/>
          <w:spacing w:val="-4"/>
          <w:sz w:val="18"/>
          <w:szCs w:val="26"/>
          <w:rtl/>
        </w:rPr>
        <w:t xml:space="preserve">. </w:t>
      </w:r>
      <w:r w:rsidRPr="007A5201">
        <w:rPr>
          <w:i/>
          <w:iCs/>
          <w:spacing w:val="-4"/>
          <w:sz w:val="18"/>
          <w:szCs w:val="26"/>
          <w:rtl/>
        </w:rPr>
        <w:t>م. ضد سويسرا</w:t>
      </w:r>
      <w:r w:rsidRPr="007A5201">
        <w:rPr>
          <w:spacing w:val="-4"/>
          <w:sz w:val="18"/>
          <w:szCs w:val="26"/>
          <w:rtl/>
        </w:rPr>
        <w:t>، القرار المعتمد في 14 تشرين الثاني/</w:t>
      </w:r>
      <w:r w:rsidR="00AE43A7" w:rsidRPr="007A5201">
        <w:rPr>
          <w:rFonts w:hint="cs"/>
          <w:spacing w:val="-4"/>
          <w:sz w:val="18"/>
          <w:szCs w:val="26"/>
          <w:rtl/>
        </w:rPr>
        <w:t xml:space="preserve"> </w:t>
      </w:r>
      <w:r w:rsidRPr="007A5201">
        <w:rPr>
          <w:spacing w:val="-4"/>
          <w:sz w:val="18"/>
          <w:szCs w:val="26"/>
          <w:rtl/>
        </w:rPr>
        <w:t>نوفمبر</w:t>
      </w:r>
      <w:r w:rsidR="00AE43A7" w:rsidRPr="007A5201">
        <w:rPr>
          <w:rFonts w:hint="cs"/>
          <w:spacing w:val="-4"/>
          <w:sz w:val="18"/>
          <w:szCs w:val="26"/>
          <w:rtl/>
        </w:rPr>
        <w:t> </w:t>
      </w:r>
      <w:r w:rsidRPr="007A5201">
        <w:rPr>
          <w:spacing w:val="-4"/>
          <w:sz w:val="18"/>
          <w:szCs w:val="26"/>
          <w:rtl/>
        </w:rPr>
        <w:t>2011؛ الفقرة 9-9. انظر أيضاً تعليق اللجنة العام رقم 1.</w:t>
      </w:r>
    </w:p>
  </w:footnote>
  <w:footnote w:id="28">
    <w:p w:rsidR="00452996" w:rsidRPr="007A5201" w:rsidRDefault="00452996" w:rsidP="00AE43A7">
      <w:pPr>
        <w:pStyle w:val="FootnoteText"/>
        <w:spacing w:after="60" w:line="300" w:lineRule="exact"/>
        <w:ind w:left="1247" w:right="1247" w:hanging="567"/>
        <w:textDirection w:val="tbRlV"/>
        <w:rPr>
          <w:sz w:val="18"/>
          <w:szCs w:val="26"/>
          <w:rtl/>
        </w:rPr>
      </w:pPr>
      <w:r w:rsidRPr="007A5201">
        <w:rPr>
          <w:sz w:val="18"/>
          <w:szCs w:val="26"/>
          <w:rtl/>
        </w:rPr>
        <w:t>(</w:t>
      </w:r>
      <w:r w:rsidRPr="007A5201">
        <w:rPr>
          <w:sz w:val="18"/>
          <w:szCs w:val="26"/>
          <w:rtl/>
        </w:rPr>
        <w:footnoteRef/>
      </w:r>
      <w:r w:rsidRPr="007A5201">
        <w:rPr>
          <w:sz w:val="18"/>
          <w:szCs w:val="26"/>
          <w:rtl/>
        </w:rPr>
        <w:t>)</w:t>
      </w:r>
      <w:r w:rsidRPr="007A5201">
        <w:rPr>
          <w:sz w:val="18"/>
          <w:szCs w:val="26"/>
          <w:rtl/>
        </w:rPr>
        <w:tab/>
        <w:t xml:space="preserve">انظر، على سبيل المثال، البلاغ رقم 356/2008، </w:t>
      </w:r>
      <w:r w:rsidRPr="007A5201">
        <w:rPr>
          <w:i/>
          <w:iCs/>
          <w:sz w:val="18"/>
          <w:szCs w:val="26"/>
          <w:rtl/>
        </w:rPr>
        <w:t>ن.</w:t>
      </w:r>
      <w:r w:rsidR="00726DEF" w:rsidRPr="007A5201">
        <w:rPr>
          <w:rFonts w:hint="cs"/>
          <w:i/>
          <w:iCs/>
          <w:sz w:val="18"/>
          <w:szCs w:val="26"/>
          <w:rtl/>
        </w:rPr>
        <w:t xml:space="preserve"> </w:t>
      </w:r>
      <w:r w:rsidRPr="007A5201">
        <w:rPr>
          <w:i/>
          <w:iCs/>
          <w:sz w:val="18"/>
          <w:szCs w:val="26"/>
          <w:rtl/>
        </w:rPr>
        <w:t>س. ضد سويسرا</w:t>
      </w:r>
      <w:r w:rsidRPr="007A5201">
        <w:rPr>
          <w:sz w:val="18"/>
          <w:szCs w:val="26"/>
          <w:rtl/>
        </w:rPr>
        <w:t>، القرار المعتمد في 6 أيار/</w:t>
      </w:r>
      <w:r w:rsidR="00AE43A7" w:rsidRPr="007A5201">
        <w:rPr>
          <w:rFonts w:hint="cs"/>
          <w:sz w:val="18"/>
          <w:szCs w:val="26"/>
          <w:rtl/>
        </w:rPr>
        <w:t xml:space="preserve"> </w:t>
      </w:r>
      <w:r w:rsidRPr="007A5201">
        <w:rPr>
          <w:sz w:val="18"/>
          <w:szCs w:val="26"/>
          <w:rtl/>
        </w:rPr>
        <w:t>مايو</w:t>
      </w:r>
      <w:r w:rsidR="00AE43A7" w:rsidRPr="007A5201">
        <w:rPr>
          <w:rFonts w:hint="cs"/>
          <w:sz w:val="18"/>
          <w:szCs w:val="26"/>
          <w:rtl/>
        </w:rPr>
        <w:t> </w:t>
      </w:r>
      <w:r w:rsidRPr="007A5201">
        <w:rPr>
          <w:sz w:val="18"/>
          <w:szCs w:val="26"/>
          <w:rtl/>
        </w:rPr>
        <w:t>2010، الفقرة 7-3.</w:t>
      </w:r>
    </w:p>
  </w:footnote>
  <w:footnote w:id="29">
    <w:p w:rsidR="00452996" w:rsidRPr="007A5201" w:rsidRDefault="00452996" w:rsidP="007832A2">
      <w:pPr>
        <w:pStyle w:val="FootnoteText"/>
        <w:spacing w:after="60" w:line="300" w:lineRule="exact"/>
        <w:ind w:left="1247" w:right="1247" w:hanging="567"/>
        <w:textDirection w:val="tbRlV"/>
        <w:rPr>
          <w:sz w:val="18"/>
          <w:szCs w:val="26"/>
          <w:rtl/>
        </w:rPr>
      </w:pPr>
      <w:r w:rsidRPr="007A5201">
        <w:rPr>
          <w:sz w:val="18"/>
          <w:szCs w:val="26"/>
          <w:rtl/>
        </w:rPr>
        <w:t>(</w:t>
      </w:r>
      <w:r w:rsidRPr="007A5201">
        <w:rPr>
          <w:sz w:val="18"/>
          <w:szCs w:val="26"/>
          <w:rtl/>
        </w:rPr>
        <w:footnoteRef/>
      </w:r>
      <w:r w:rsidRPr="007A5201">
        <w:rPr>
          <w:sz w:val="18"/>
          <w:szCs w:val="26"/>
          <w:rtl/>
        </w:rPr>
        <w:t>)</w:t>
      </w:r>
      <w:r w:rsidRPr="007A5201">
        <w:rPr>
          <w:sz w:val="18"/>
          <w:szCs w:val="26"/>
          <w:rtl/>
        </w:rPr>
        <w:tab/>
        <w:t xml:space="preserve">انظر الوثيقة </w:t>
      </w:r>
      <w:r w:rsidRPr="007A5201">
        <w:rPr>
          <w:sz w:val="18"/>
          <w:szCs w:val="26"/>
        </w:rPr>
        <w:t>CAT/C/LKA/CO/5</w:t>
      </w:r>
      <w:r w:rsidRPr="007A5201">
        <w:rPr>
          <w:sz w:val="18"/>
          <w:szCs w:val="26"/>
          <w:rtl/>
        </w:rPr>
        <w:t>، الفقرة 9-12.</w:t>
      </w:r>
    </w:p>
  </w:footnote>
  <w:footnote w:id="30">
    <w:p w:rsidR="00452996" w:rsidRPr="007A5201" w:rsidRDefault="00452996" w:rsidP="001B4480">
      <w:pPr>
        <w:pStyle w:val="FootnoteText"/>
        <w:spacing w:after="60" w:line="300" w:lineRule="exact"/>
        <w:ind w:left="1247" w:right="1247" w:hanging="567"/>
        <w:textDirection w:val="tbRlV"/>
        <w:rPr>
          <w:sz w:val="18"/>
          <w:szCs w:val="26"/>
          <w:rtl/>
          <w:lang w:bidi="ar-DZ"/>
        </w:rPr>
      </w:pPr>
      <w:r w:rsidRPr="007A5201">
        <w:rPr>
          <w:sz w:val="18"/>
          <w:szCs w:val="26"/>
          <w:rtl/>
        </w:rPr>
        <w:t>(</w:t>
      </w:r>
      <w:r w:rsidRPr="007A5201">
        <w:rPr>
          <w:sz w:val="18"/>
          <w:szCs w:val="26"/>
          <w:rtl/>
        </w:rPr>
        <w:footnoteRef/>
      </w:r>
      <w:r w:rsidRPr="007A5201">
        <w:rPr>
          <w:sz w:val="18"/>
          <w:szCs w:val="26"/>
          <w:rtl/>
        </w:rPr>
        <w:t>)</w:t>
      </w:r>
      <w:r w:rsidRPr="007A5201">
        <w:rPr>
          <w:sz w:val="18"/>
          <w:szCs w:val="26"/>
          <w:rtl/>
        </w:rPr>
        <w:tab/>
      </w:r>
      <w:r w:rsidRPr="007A5201">
        <w:rPr>
          <w:sz w:val="18"/>
          <w:szCs w:val="26"/>
        </w:rPr>
        <w:t xml:space="preserve">Freedom from Torture, </w:t>
      </w:r>
      <w:r w:rsidRPr="007A5201">
        <w:rPr>
          <w:i/>
          <w:iCs/>
          <w:sz w:val="18"/>
          <w:szCs w:val="26"/>
        </w:rPr>
        <w:t>Tainted Peace: Torture in Sri Lanka since May 2009</w:t>
      </w:r>
      <w:r w:rsidRPr="007A5201">
        <w:rPr>
          <w:sz w:val="18"/>
          <w:szCs w:val="26"/>
        </w:rPr>
        <w:t xml:space="preserve"> (August 2015)</w:t>
      </w:r>
      <w:r w:rsidR="001B4480" w:rsidRPr="007A5201">
        <w:rPr>
          <w:rFonts w:hint="cs"/>
          <w:sz w:val="18"/>
          <w:szCs w:val="26"/>
          <w:rtl/>
        </w:rPr>
        <w:t>،</w:t>
      </w:r>
      <w:r w:rsidRPr="007A5201">
        <w:rPr>
          <w:sz w:val="18"/>
          <w:szCs w:val="26"/>
          <w:rtl/>
        </w:rPr>
        <w:t xml:space="preserve"> يمكن الاطلاع عليه على الرابط التالي:</w:t>
      </w:r>
      <w:r w:rsidRPr="007A5201">
        <w:rPr>
          <w:sz w:val="18"/>
          <w:szCs w:val="26"/>
        </w:rPr>
        <w:tab/>
        <w:t xml:space="preserve"> www.freedomfromtorture.org/sites/default/files/documents/sl_</w:t>
      </w:r>
      <w:r w:rsidR="008834BF" w:rsidRPr="007A5201">
        <w:rPr>
          <w:sz w:val="18"/>
          <w:szCs w:val="26"/>
          <w:rtl/>
        </w:rPr>
        <w:br/>
      </w:r>
      <w:r w:rsidRPr="007A5201">
        <w:rPr>
          <w:sz w:val="18"/>
          <w:szCs w:val="26"/>
        </w:rPr>
        <w:t>report_a4_-_final-f-b-web.pdf</w:t>
      </w:r>
      <w:r w:rsidRPr="007A5201">
        <w:rPr>
          <w:sz w:val="18"/>
          <w:szCs w:val="26"/>
          <w:rtl/>
        </w:rPr>
        <w:t>.</w:t>
      </w:r>
    </w:p>
  </w:footnote>
  <w:footnote w:id="31">
    <w:p w:rsidR="00452996" w:rsidRPr="007A5201" w:rsidRDefault="00452996" w:rsidP="008F1E65">
      <w:pPr>
        <w:pStyle w:val="FootnoteText"/>
        <w:spacing w:after="60" w:line="300" w:lineRule="exact"/>
        <w:ind w:left="1247" w:right="1247" w:hanging="567"/>
        <w:textDirection w:val="tbRlV"/>
        <w:rPr>
          <w:sz w:val="18"/>
          <w:szCs w:val="26"/>
          <w:rtl/>
        </w:rPr>
      </w:pPr>
      <w:r w:rsidRPr="007A5201">
        <w:rPr>
          <w:sz w:val="18"/>
          <w:szCs w:val="26"/>
          <w:rtl/>
        </w:rPr>
        <w:t>(</w:t>
      </w:r>
      <w:r w:rsidRPr="007A5201">
        <w:rPr>
          <w:sz w:val="18"/>
          <w:szCs w:val="26"/>
          <w:rtl/>
        </w:rPr>
        <w:footnoteRef/>
      </w:r>
      <w:r w:rsidRPr="007A5201">
        <w:rPr>
          <w:sz w:val="18"/>
          <w:szCs w:val="26"/>
          <w:rtl/>
        </w:rPr>
        <w:t>)</w:t>
      </w:r>
      <w:r w:rsidRPr="007A5201">
        <w:rPr>
          <w:sz w:val="18"/>
          <w:szCs w:val="26"/>
          <w:rtl/>
        </w:rPr>
        <w:tab/>
        <w:t xml:space="preserve">انظر البلاغ رقم 628/2014، </w:t>
      </w:r>
      <w:r w:rsidRPr="007A5201">
        <w:rPr>
          <w:i/>
          <w:iCs/>
          <w:sz w:val="18"/>
          <w:szCs w:val="26"/>
          <w:rtl/>
        </w:rPr>
        <w:t>ج.</w:t>
      </w:r>
      <w:r w:rsidR="00726DEF" w:rsidRPr="007A5201">
        <w:rPr>
          <w:rFonts w:hint="cs"/>
          <w:i/>
          <w:iCs/>
          <w:sz w:val="18"/>
          <w:szCs w:val="26"/>
          <w:rtl/>
        </w:rPr>
        <w:t xml:space="preserve"> </w:t>
      </w:r>
      <w:r w:rsidRPr="007A5201">
        <w:rPr>
          <w:i/>
          <w:iCs/>
          <w:sz w:val="18"/>
          <w:szCs w:val="26"/>
          <w:rtl/>
        </w:rPr>
        <w:t>ن. ضد الدانم</w:t>
      </w:r>
      <w:r w:rsidR="008F1E65" w:rsidRPr="007A5201">
        <w:rPr>
          <w:rFonts w:hint="cs"/>
          <w:i/>
          <w:iCs/>
          <w:sz w:val="18"/>
          <w:szCs w:val="26"/>
          <w:rtl/>
        </w:rPr>
        <w:t>ر</w:t>
      </w:r>
      <w:r w:rsidRPr="007A5201">
        <w:rPr>
          <w:i/>
          <w:iCs/>
          <w:sz w:val="18"/>
          <w:szCs w:val="26"/>
          <w:rtl/>
        </w:rPr>
        <w:t>ك</w:t>
      </w:r>
      <w:r w:rsidRPr="007A5201">
        <w:rPr>
          <w:sz w:val="18"/>
          <w:szCs w:val="26"/>
          <w:rtl/>
        </w:rPr>
        <w:t>، القرار المعتمد في 13 أيار/مايو 2016، الفقرة 7-9.</w:t>
      </w:r>
    </w:p>
  </w:footnote>
  <w:footnote w:id="32">
    <w:p w:rsidR="00452996" w:rsidRPr="007A5201" w:rsidRDefault="00452996" w:rsidP="00AE43A7">
      <w:pPr>
        <w:pStyle w:val="FootnoteText"/>
        <w:spacing w:after="60" w:line="300" w:lineRule="exact"/>
        <w:ind w:left="1247" w:right="1247" w:hanging="567"/>
        <w:textDirection w:val="tbRlV"/>
        <w:rPr>
          <w:sz w:val="18"/>
          <w:szCs w:val="26"/>
          <w:rtl/>
        </w:rPr>
      </w:pPr>
      <w:r w:rsidRPr="007A5201">
        <w:rPr>
          <w:sz w:val="18"/>
          <w:szCs w:val="26"/>
          <w:rtl/>
        </w:rPr>
        <w:t>(</w:t>
      </w:r>
      <w:r w:rsidRPr="007A5201">
        <w:rPr>
          <w:sz w:val="18"/>
          <w:szCs w:val="26"/>
          <w:rtl/>
        </w:rPr>
        <w:footnoteRef/>
      </w:r>
      <w:r w:rsidRPr="007A5201">
        <w:rPr>
          <w:sz w:val="18"/>
          <w:szCs w:val="26"/>
          <w:rtl/>
        </w:rPr>
        <w:t>)</w:t>
      </w:r>
      <w:r w:rsidRPr="007A5201">
        <w:rPr>
          <w:sz w:val="18"/>
          <w:szCs w:val="26"/>
          <w:rtl/>
        </w:rPr>
        <w:tab/>
        <w:t xml:space="preserve">انظر، على سبيل المثال، البلاغ رقم 426/2010، </w:t>
      </w:r>
      <w:r w:rsidRPr="007A5201">
        <w:rPr>
          <w:i/>
          <w:iCs/>
          <w:sz w:val="18"/>
          <w:szCs w:val="26"/>
          <w:rtl/>
        </w:rPr>
        <w:t>ر.</w:t>
      </w:r>
      <w:r w:rsidR="00726DEF" w:rsidRPr="007A5201">
        <w:rPr>
          <w:rFonts w:hint="cs"/>
          <w:i/>
          <w:iCs/>
          <w:sz w:val="18"/>
          <w:szCs w:val="26"/>
          <w:rtl/>
        </w:rPr>
        <w:t xml:space="preserve"> </w:t>
      </w:r>
      <w:r w:rsidRPr="007A5201">
        <w:rPr>
          <w:i/>
          <w:iCs/>
          <w:sz w:val="18"/>
          <w:szCs w:val="26"/>
          <w:rtl/>
        </w:rPr>
        <w:t>د. ضد سويسرا</w:t>
      </w:r>
      <w:r w:rsidRPr="007A5201">
        <w:rPr>
          <w:sz w:val="18"/>
          <w:szCs w:val="26"/>
          <w:rtl/>
        </w:rPr>
        <w:t>، القرار المعتمد في 8 تشرين الثاني/ نوفمبر 2013، الفقرة 9-2.</w:t>
      </w:r>
    </w:p>
  </w:footnote>
  <w:footnote w:id="33">
    <w:p w:rsidR="00452996" w:rsidRPr="007A5201" w:rsidRDefault="00452996" w:rsidP="006837AD">
      <w:pPr>
        <w:pStyle w:val="FootnoteText"/>
        <w:spacing w:after="60" w:line="300" w:lineRule="exact"/>
        <w:ind w:left="1247" w:right="1247" w:hanging="567"/>
        <w:textDirection w:val="tbRlV"/>
        <w:rPr>
          <w:sz w:val="18"/>
          <w:szCs w:val="26"/>
          <w:rtl/>
        </w:rPr>
      </w:pPr>
      <w:r w:rsidRPr="007A5201">
        <w:rPr>
          <w:sz w:val="18"/>
          <w:szCs w:val="26"/>
          <w:rtl/>
        </w:rPr>
        <w:t>(</w:t>
      </w:r>
      <w:r w:rsidRPr="007A5201">
        <w:rPr>
          <w:sz w:val="18"/>
          <w:szCs w:val="26"/>
          <w:rtl/>
        </w:rPr>
        <w:footnoteRef/>
      </w:r>
      <w:r w:rsidRPr="007A5201">
        <w:rPr>
          <w:sz w:val="18"/>
          <w:szCs w:val="26"/>
          <w:rtl/>
        </w:rPr>
        <w:t>)</w:t>
      </w:r>
      <w:r w:rsidRPr="007A5201">
        <w:rPr>
          <w:sz w:val="18"/>
          <w:szCs w:val="26"/>
          <w:rtl/>
        </w:rPr>
        <w:tab/>
      </w:r>
      <w:r w:rsidRPr="006837AD">
        <w:rPr>
          <w:spacing w:val="-2"/>
          <w:sz w:val="18"/>
          <w:szCs w:val="26"/>
          <w:rtl/>
        </w:rPr>
        <w:t xml:space="preserve">انظر على سبيل المثال، البلاغ رقم 61/1996، </w:t>
      </w:r>
      <w:r w:rsidRPr="006837AD">
        <w:rPr>
          <w:i/>
          <w:iCs/>
          <w:spacing w:val="-2"/>
          <w:sz w:val="18"/>
          <w:szCs w:val="26"/>
          <w:rtl/>
        </w:rPr>
        <w:t>سين وصاد وعين ضد السويد</w:t>
      </w:r>
      <w:r w:rsidRPr="006837AD">
        <w:rPr>
          <w:spacing w:val="-2"/>
          <w:sz w:val="18"/>
          <w:szCs w:val="26"/>
          <w:rtl/>
        </w:rPr>
        <w:t>، الآراء المعتمدة في 6 أيار/</w:t>
      </w:r>
      <w:r w:rsidR="006837AD">
        <w:rPr>
          <w:rFonts w:hint="cs"/>
          <w:spacing w:val="-2"/>
          <w:sz w:val="18"/>
          <w:szCs w:val="26"/>
          <w:rtl/>
        </w:rPr>
        <w:t xml:space="preserve"> </w:t>
      </w:r>
      <w:r w:rsidRPr="006837AD">
        <w:rPr>
          <w:spacing w:val="-2"/>
          <w:sz w:val="18"/>
          <w:szCs w:val="26"/>
          <w:rtl/>
        </w:rPr>
        <w:t>مايو</w:t>
      </w:r>
      <w:r w:rsidR="006837AD">
        <w:rPr>
          <w:rFonts w:hint="cs"/>
          <w:spacing w:val="-2"/>
          <w:sz w:val="18"/>
          <w:szCs w:val="26"/>
          <w:rtl/>
        </w:rPr>
        <w:t> </w:t>
      </w:r>
      <w:r w:rsidRPr="006837AD">
        <w:rPr>
          <w:spacing w:val="-2"/>
          <w:sz w:val="18"/>
          <w:szCs w:val="26"/>
          <w:rtl/>
        </w:rPr>
        <w:t xml:space="preserve">1998، الفقرة 11-2؛ والبلاغ رقم 435/2010، </w:t>
      </w:r>
      <w:r w:rsidRPr="006837AD">
        <w:rPr>
          <w:i/>
          <w:iCs/>
          <w:spacing w:val="-2"/>
          <w:sz w:val="18"/>
          <w:szCs w:val="26"/>
          <w:rtl/>
        </w:rPr>
        <w:t>غ.</w:t>
      </w:r>
      <w:r w:rsidR="00726DEF" w:rsidRPr="006837AD">
        <w:rPr>
          <w:rFonts w:hint="cs"/>
          <w:i/>
          <w:iCs/>
          <w:spacing w:val="-2"/>
          <w:sz w:val="18"/>
          <w:szCs w:val="26"/>
          <w:rtl/>
        </w:rPr>
        <w:t xml:space="preserve"> </w:t>
      </w:r>
      <w:r w:rsidRPr="006837AD">
        <w:rPr>
          <w:i/>
          <w:iCs/>
          <w:spacing w:val="-2"/>
          <w:sz w:val="18"/>
          <w:szCs w:val="26"/>
          <w:rtl/>
        </w:rPr>
        <w:t>ب.</w:t>
      </w:r>
      <w:r w:rsidR="00726DEF" w:rsidRPr="006837AD">
        <w:rPr>
          <w:rFonts w:hint="cs"/>
          <w:i/>
          <w:iCs/>
          <w:spacing w:val="-2"/>
          <w:sz w:val="18"/>
          <w:szCs w:val="26"/>
          <w:rtl/>
        </w:rPr>
        <w:t xml:space="preserve"> </w:t>
      </w:r>
      <w:r w:rsidRPr="006837AD">
        <w:rPr>
          <w:i/>
          <w:iCs/>
          <w:spacing w:val="-2"/>
          <w:sz w:val="18"/>
          <w:szCs w:val="26"/>
          <w:rtl/>
        </w:rPr>
        <w:t>م. ضد السويد</w:t>
      </w:r>
      <w:r w:rsidRPr="006837AD">
        <w:rPr>
          <w:spacing w:val="-2"/>
          <w:sz w:val="18"/>
          <w:szCs w:val="26"/>
          <w:rtl/>
        </w:rPr>
        <w:t xml:space="preserve">، القرار المعتمد في 14 تشرين الثاني/نوفمبر 2012، الفقرة 7-7؛ والبلاغ رقم 458/2011، </w:t>
      </w:r>
      <w:r w:rsidRPr="006837AD">
        <w:rPr>
          <w:i/>
          <w:iCs/>
          <w:spacing w:val="-2"/>
          <w:sz w:val="18"/>
          <w:szCs w:val="26"/>
          <w:rtl/>
        </w:rPr>
        <w:t>سين ضد الدانمرك</w:t>
      </w:r>
      <w:r w:rsidRPr="006837AD">
        <w:rPr>
          <w:spacing w:val="-2"/>
          <w:sz w:val="18"/>
          <w:szCs w:val="26"/>
          <w:rtl/>
        </w:rPr>
        <w:t>، القرار المعتمد في 28 تشرين الثاني/نوفمبر 2014، الفقرة 9-5.</w:t>
      </w:r>
    </w:p>
  </w:footnote>
  <w:footnote w:id="34">
    <w:p w:rsidR="00452996" w:rsidRPr="007A5201" w:rsidRDefault="00452996" w:rsidP="00AE43A7">
      <w:pPr>
        <w:pStyle w:val="FootnoteText"/>
        <w:spacing w:after="60" w:line="300" w:lineRule="exact"/>
        <w:ind w:left="1247" w:right="1247" w:hanging="567"/>
        <w:textDirection w:val="tbRlV"/>
        <w:rPr>
          <w:sz w:val="18"/>
          <w:szCs w:val="26"/>
          <w:rtl/>
        </w:rPr>
      </w:pPr>
      <w:r w:rsidRPr="007A5201">
        <w:rPr>
          <w:sz w:val="18"/>
          <w:szCs w:val="26"/>
          <w:rtl/>
        </w:rPr>
        <w:t>(</w:t>
      </w:r>
      <w:r w:rsidRPr="007A5201">
        <w:rPr>
          <w:sz w:val="18"/>
          <w:szCs w:val="26"/>
          <w:rtl/>
        </w:rPr>
        <w:footnoteRef/>
      </w:r>
      <w:r w:rsidRPr="007A5201">
        <w:rPr>
          <w:sz w:val="18"/>
          <w:szCs w:val="26"/>
          <w:rtl/>
        </w:rPr>
        <w:t>)</w:t>
      </w:r>
      <w:r w:rsidRPr="007A5201">
        <w:rPr>
          <w:sz w:val="18"/>
          <w:szCs w:val="26"/>
          <w:rtl/>
        </w:rPr>
        <w:tab/>
      </w:r>
      <w:r w:rsidRPr="006837AD">
        <w:rPr>
          <w:spacing w:val="-2"/>
          <w:sz w:val="18"/>
          <w:szCs w:val="26"/>
          <w:rtl/>
        </w:rPr>
        <w:t xml:space="preserve">انظر البلاغ رقم 429/2010، </w:t>
      </w:r>
      <w:proofErr w:type="spellStart"/>
      <w:r w:rsidRPr="006837AD">
        <w:rPr>
          <w:i/>
          <w:iCs/>
          <w:spacing w:val="-2"/>
          <w:sz w:val="18"/>
          <w:szCs w:val="26"/>
          <w:rtl/>
        </w:rPr>
        <w:t>سيفاغناناراتنام</w:t>
      </w:r>
      <w:proofErr w:type="spellEnd"/>
      <w:r w:rsidRPr="006837AD">
        <w:rPr>
          <w:i/>
          <w:iCs/>
          <w:spacing w:val="-2"/>
          <w:sz w:val="18"/>
          <w:szCs w:val="26"/>
          <w:rtl/>
        </w:rPr>
        <w:t xml:space="preserve"> ضد الدانمرك</w:t>
      </w:r>
      <w:r w:rsidRPr="006837AD">
        <w:rPr>
          <w:spacing w:val="-2"/>
          <w:sz w:val="18"/>
          <w:szCs w:val="26"/>
          <w:rtl/>
        </w:rPr>
        <w:t>، القرار المعتمد في 11 تشرين الثاني/نوفمبر 2013، الفقرتان 10-5 و10-6.</w:t>
      </w:r>
    </w:p>
  </w:footnote>
  <w:footnote w:id="35">
    <w:p w:rsidR="00452996" w:rsidRPr="00AE43A7" w:rsidRDefault="00452996" w:rsidP="00AE43A7">
      <w:pPr>
        <w:pStyle w:val="FootnoteText"/>
        <w:spacing w:after="60" w:line="300" w:lineRule="exact"/>
        <w:ind w:left="1247" w:right="1247" w:hanging="567"/>
        <w:textDirection w:val="tbRlV"/>
        <w:rPr>
          <w:sz w:val="18"/>
          <w:szCs w:val="26"/>
        </w:rPr>
      </w:pPr>
      <w:r w:rsidRPr="007A5201">
        <w:rPr>
          <w:sz w:val="18"/>
          <w:szCs w:val="26"/>
          <w:rtl/>
        </w:rPr>
        <w:t>(</w:t>
      </w:r>
      <w:r w:rsidRPr="007A5201">
        <w:rPr>
          <w:sz w:val="18"/>
          <w:szCs w:val="26"/>
          <w:rtl/>
        </w:rPr>
        <w:footnoteRef/>
      </w:r>
      <w:r w:rsidRPr="007A5201">
        <w:rPr>
          <w:sz w:val="18"/>
          <w:szCs w:val="26"/>
          <w:rtl/>
        </w:rPr>
        <w:t>)</w:t>
      </w:r>
      <w:r w:rsidRPr="007A5201">
        <w:rPr>
          <w:sz w:val="18"/>
          <w:szCs w:val="26"/>
          <w:rtl/>
        </w:rPr>
        <w:tab/>
        <w:t xml:space="preserve">انظر البلاغ رقم 428/2010، </w:t>
      </w:r>
      <w:proofErr w:type="spellStart"/>
      <w:r w:rsidRPr="007A5201">
        <w:rPr>
          <w:i/>
          <w:iCs/>
          <w:sz w:val="18"/>
          <w:szCs w:val="26"/>
          <w:rtl/>
        </w:rPr>
        <w:t>كالينيشنكو</w:t>
      </w:r>
      <w:proofErr w:type="spellEnd"/>
      <w:r w:rsidRPr="007A5201">
        <w:rPr>
          <w:i/>
          <w:iCs/>
          <w:sz w:val="18"/>
          <w:szCs w:val="26"/>
          <w:rtl/>
        </w:rPr>
        <w:t xml:space="preserve"> ضد المغرب</w:t>
      </w:r>
      <w:r w:rsidRPr="007A5201">
        <w:rPr>
          <w:sz w:val="18"/>
          <w:szCs w:val="26"/>
          <w:rtl/>
        </w:rPr>
        <w:t>، القرار المعتمد في 25 تشرين الثاني/نوفمبر 2011، الفقرة 16. انظر أيض</w:t>
      </w:r>
      <w:r w:rsidR="00AE43A7" w:rsidRPr="007A5201">
        <w:rPr>
          <w:sz w:val="18"/>
          <w:szCs w:val="26"/>
          <w:rtl/>
        </w:rPr>
        <w:t xml:space="preserve">اً </w:t>
      </w:r>
      <w:proofErr w:type="spellStart"/>
      <w:r w:rsidRPr="007A5201">
        <w:rPr>
          <w:i/>
          <w:iCs/>
          <w:sz w:val="18"/>
          <w:szCs w:val="26"/>
          <w:rtl/>
        </w:rPr>
        <w:t>تورسونوف</w:t>
      </w:r>
      <w:proofErr w:type="spellEnd"/>
      <w:r w:rsidRPr="007A5201">
        <w:rPr>
          <w:i/>
          <w:iCs/>
          <w:sz w:val="18"/>
          <w:szCs w:val="26"/>
          <w:rtl/>
        </w:rPr>
        <w:t xml:space="preserve"> ضد كازاخستان</w:t>
      </w:r>
      <w:r w:rsidRPr="007A5201">
        <w:rPr>
          <w:sz w:val="18"/>
          <w:szCs w:val="26"/>
          <w:rtl/>
        </w:rPr>
        <w:t>، الفقرة 10؛ و</w:t>
      </w:r>
      <w:r w:rsidRPr="007A5201">
        <w:rPr>
          <w:i/>
          <w:iCs/>
          <w:sz w:val="18"/>
          <w:szCs w:val="26"/>
          <w:rtl/>
        </w:rPr>
        <w:t>د.</w:t>
      </w:r>
      <w:r w:rsidR="00726DEF" w:rsidRPr="007A5201">
        <w:rPr>
          <w:rFonts w:hint="cs"/>
          <w:i/>
          <w:iCs/>
          <w:sz w:val="18"/>
          <w:szCs w:val="26"/>
          <w:rtl/>
        </w:rPr>
        <w:t xml:space="preserve"> </w:t>
      </w:r>
      <w:r w:rsidRPr="007A5201">
        <w:rPr>
          <w:i/>
          <w:iCs/>
          <w:sz w:val="18"/>
          <w:szCs w:val="26"/>
          <w:rtl/>
        </w:rPr>
        <w:t>إ.</w:t>
      </w:r>
      <w:r w:rsidR="00726DEF" w:rsidRPr="007A5201">
        <w:rPr>
          <w:rFonts w:hint="cs"/>
          <w:i/>
          <w:iCs/>
          <w:sz w:val="18"/>
          <w:szCs w:val="26"/>
          <w:rtl/>
        </w:rPr>
        <w:t xml:space="preserve"> </w:t>
      </w:r>
      <w:r w:rsidRPr="007A5201">
        <w:rPr>
          <w:i/>
          <w:iCs/>
          <w:sz w:val="18"/>
          <w:szCs w:val="26"/>
          <w:rtl/>
        </w:rPr>
        <w:t>س. ضد هنغاريا</w:t>
      </w:r>
      <w:r w:rsidRPr="007A5201">
        <w:rPr>
          <w:sz w:val="18"/>
          <w:szCs w:val="26"/>
          <w:rtl/>
        </w:rPr>
        <w:t>، الفقرة 11.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996" w:rsidRPr="007832A2" w:rsidRDefault="00452996" w:rsidP="007832A2">
    <w:pPr>
      <w:pStyle w:val="Header"/>
      <w:jc w:val="right"/>
    </w:pPr>
    <w:r w:rsidRPr="007832A2">
      <w:t>CAT/C/61/D/614/2014</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996" w:rsidRPr="007832A2" w:rsidRDefault="00452996" w:rsidP="007832A2">
    <w:pPr>
      <w:pStyle w:val="Header"/>
      <w:jc w:val="left"/>
    </w:pPr>
    <w:r w:rsidRPr="007832A2">
      <w:t>CAT/C/61/D/614/2014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CF16DAD"/>
    <w:multiLevelType w:val="multilevel"/>
    <w:tmpl w:val="E38E43E6"/>
    <w:name w:val="Jamal_ALKahlout"/>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3"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5"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35C0662"/>
    <w:multiLevelType w:val="multilevel"/>
    <w:tmpl w:val="5CFA515C"/>
    <w:name w:val="Jamal"/>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8"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7"/>
  </w:num>
  <w:num w:numId="2">
    <w:abstractNumId w:val="5"/>
  </w:num>
  <w:num w:numId="3">
    <w:abstractNumId w:val="0"/>
  </w:num>
  <w:num w:numId="4">
    <w:abstractNumId w:val="4"/>
  </w:num>
  <w:num w:numId="5">
    <w:abstractNumId w:val="3"/>
  </w:num>
  <w:num w:numId="6">
    <w:abstractNumId w:val="2"/>
  </w:num>
  <w:num w:numId="7">
    <w:abstractNumId w:val="8"/>
  </w:num>
  <w:num w:numId="8">
    <w:abstractNumId w:val="0"/>
  </w:num>
  <w:num w:numId="9">
    <w:abstractNumId w:val="4"/>
  </w:num>
  <w:num w:numId="10">
    <w:abstractNumId w:val="2"/>
  </w:num>
  <w:num w:numId="11">
    <w:abstractNumId w:val="8"/>
  </w:num>
  <w:num w:numId="12">
    <w:abstractNumId w:val="6"/>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2"/>
  <w:proofState w:spelling="clean" w:grammar="clean"/>
  <w:attachedTemplate r:id="rId1"/>
  <w:defaultTabStop w:val="680"/>
  <w:evenAndOddHeaders/>
  <w:characterSpacingControl w:val="doNotCompress"/>
  <w:hdrShapeDefaults>
    <o:shapedefaults v:ext="edit" spidmax="8193"/>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
  <w:rsids>
    <w:rsidRoot w:val="0051657A"/>
    <w:rsid w:val="000076D5"/>
    <w:rsid w:val="00043663"/>
    <w:rsid w:val="000505CF"/>
    <w:rsid w:val="00074000"/>
    <w:rsid w:val="000A2113"/>
    <w:rsid w:val="000D701C"/>
    <w:rsid w:val="000E2A71"/>
    <w:rsid w:val="000F6385"/>
    <w:rsid w:val="00160263"/>
    <w:rsid w:val="00167825"/>
    <w:rsid w:val="00181F96"/>
    <w:rsid w:val="001A1371"/>
    <w:rsid w:val="001B346A"/>
    <w:rsid w:val="001B4480"/>
    <w:rsid w:val="001E1CAD"/>
    <w:rsid w:val="001E290D"/>
    <w:rsid w:val="002144FA"/>
    <w:rsid w:val="0023469A"/>
    <w:rsid w:val="00243C8A"/>
    <w:rsid w:val="00267A0E"/>
    <w:rsid w:val="002901D9"/>
    <w:rsid w:val="002976C2"/>
    <w:rsid w:val="003260FF"/>
    <w:rsid w:val="00343D95"/>
    <w:rsid w:val="00374341"/>
    <w:rsid w:val="00384DA7"/>
    <w:rsid w:val="003D1062"/>
    <w:rsid w:val="00420D7B"/>
    <w:rsid w:val="00450B21"/>
    <w:rsid w:val="00452996"/>
    <w:rsid w:val="00453B63"/>
    <w:rsid w:val="00455780"/>
    <w:rsid w:val="004664D7"/>
    <w:rsid w:val="004956DC"/>
    <w:rsid w:val="004B0A1C"/>
    <w:rsid w:val="004D298E"/>
    <w:rsid w:val="0051657A"/>
    <w:rsid w:val="0054472E"/>
    <w:rsid w:val="005662A9"/>
    <w:rsid w:val="005827D4"/>
    <w:rsid w:val="0059622A"/>
    <w:rsid w:val="005A3015"/>
    <w:rsid w:val="005C5878"/>
    <w:rsid w:val="005C7CEA"/>
    <w:rsid w:val="005D3C0B"/>
    <w:rsid w:val="005E5217"/>
    <w:rsid w:val="005F0FA4"/>
    <w:rsid w:val="005F30EE"/>
    <w:rsid w:val="0060473A"/>
    <w:rsid w:val="00656392"/>
    <w:rsid w:val="006646E9"/>
    <w:rsid w:val="006837AD"/>
    <w:rsid w:val="0068781D"/>
    <w:rsid w:val="006959B0"/>
    <w:rsid w:val="006B3E27"/>
    <w:rsid w:val="006B6507"/>
    <w:rsid w:val="006C104C"/>
    <w:rsid w:val="006E3362"/>
    <w:rsid w:val="00726DEF"/>
    <w:rsid w:val="00733704"/>
    <w:rsid w:val="00761849"/>
    <w:rsid w:val="0078071A"/>
    <w:rsid w:val="007832A2"/>
    <w:rsid w:val="007A5201"/>
    <w:rsid w:val="00817373"/>
    <w:rsid w:val="00852A9A"/>
    <w:rsid w:val="008834BF"/>
    <w:rsid w:val="00893A8A"/>
    <w:rsid w:val="008F1E65"/>
    <w:rsid w:val="008F49E1"/>
    <w:rsid w:val="0090370F"/>
    <w:rsid w:val="009269D2"/>
    <w:rsid w:val="00942135"/>
    <w:rsid w:val="009521B0"/>
    <w:rsid w:val="00981C12"/>
    <w:rsid w:val="009A7905"/>
    <w:rsid w:val="009A7E9F"/>
    <w:rsid w:val="009E1A9E"/>
    <w:rsid w:val="009E5018"/>
    <w:rsid w:val="00A12B37"/>
    <w:rsid w:val="00A34EA8"/>
    <w:rsid w:val="00A67AF5"/>
    <w:rsid w:val="00A94CA3"/>
    <w:rsid w:val="00AB6758"/>
    <w:rsid w:val="00AE43A7"/>
    <w:rsid w:val="00B13763"/>
    <w:rsid w:val="00B264EA"/>
    <w:rsid w:val="00B477A4"/>
    <w:rsid w:val="00B52B3A"/>
    <w:rsid w:val="00B54045"/>
    <w:rsid w:val="00BA7C2C"/>
    <w:rsid w:val="00BF59DC"/>
    <w:rsid w:val="00C438D7"/>
    <w:rsid w:val="00C653FA"/>
    <w:rsid w:val="00C81B50"/>
    <w:rsid w:val="00C87F1F"/>
    <w:rsid w:val="00CD1801"/>
    <w:rsid w:val="00D10EF1"/>
    <w:rsid w:val="00D42810"/>
    <w:rsid w:val="00D914A7"/>
    <w:rsid w:val="00DC1D29"/>
    <w:rsid w:val="00DD13C3"/>
    <w:rsid w:val="00DD596E"/>
    <w:rsid w:val="00DD621E"/>
    <w:rsid w:val="00DF0575"/>
    <w:rsid w:val="00E70E04"/>
    <w:rsid w:val="00E76499"/>
    <w:rsid w:val="00EC05A7"/>
    <w:rsid w:val="00EC4892"/>
    <w:rsid w:val="00EC4B6B"/>
    <w:rsid w:val="00EF1EE5"/>
    <w:rsid w:val="00F05DEB"/>
    <w:rsid w:val="00F07E37"/>
    <w:rsid w:val="00F763B4"/>
    <w:rsid w:val="00F900C3"/>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5:docId w15:val="{400BBBFF-25AC-4513-A0D0-2984448C9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
    <w:basedOn w:val="Normal"/>
    <w:link w:val="FootnoteTextChar"/>
    <w:unhideWhenUsed/>
    <w:rsid w:val="001A1371"/>
    <w:pPr>
      <w:spacing w:line="240" w:lineRule="auto"/>
    </w:pPr>
    <w:rPr>
      <w:szCs w:val="20"/>
    </w:rPr>
  </w:style>
  <w:style w:type="character" w:customStyle="1" w:styleId="FootnoteTextChar">
    <w:name w:val="Footnote Text Char"/>
    <w:aliases w:val="5_G Char"/>
    <w:basedOn w:val="DefaultParagraphFont"/>
    <w:link w:val="FootnoteText"/>
    <w:rsid w:val="001A1371"/>
    <w:rPr>
      <w:sz w:val="20"/>
      <w:szCs w:val="20"/>
    </w:rPr>
  </w:style>
  <w:style w:type="character" w:styleId="FootnoteReference">
    <w:name w:val="footnote reference"/>
    <w:aliases w:val="4_GA,4_G"/>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6646E9"/>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167825"/>
    <w:pPr>
      <w:keepNext/>
      <w:keepLines/>
      <w:tabs>
        <w:tab w:val="right" w:pos="1021"/>
      </w:tabs>
      <w:suppressAutoHyphens/>
      <w:spacing w:before="240" w:after="120" w:line="380" w:lineRule="exact"/>
      <w:ind w:left="1247" w:right="1247" w:hanging="1247"/>
    </w:pPr>
    <w:rPr>
      <w:b/>
      <w:bCs/>
      <w:lang w:eastAsia="ar-SA"/>
    </w:rPr>
  </w:style>
  <w:style w:type="paragraph" w:customStyle="1" w:styleId="H4GA">
    <w:name w:val="_ H_4_GA"/>
    <w:basedOn w:val="Normal"/>
    <w:next w:val="Normal"/>
    <w:qFormat/>
    <w:rsid w:val="00167825"/>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167825"/>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6646E9"/>
    <w:pPr>
      <w:tabs>
        <w:tab w:val="left" w:pos="1928"/>
        <w:tab w:val="left" w:pos="2608"/>
        <w:tab w:val="left" w:pos="3289"/>
        <w:tab w:val="left" w:pos="3969"/>
        <w:tab w:val="left" w:pos="4649"/>
        <w:tab w:val="left" w:pos="5330"/>
      </w:tabs>
      <w:suppressAutoHyphen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0A2113"/>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table" w:customStyle="1" w:styleId="TABLEA">
    <w:name w:val="TABLE_A"/>
    <w:basedOn w:val="TableNormal"/>
    <w:uiPriority w:val="99"/>
    <w:rsid w:val="007832A2"/>
    <w:pPr>
      <w:spacing w:before="80" w:after="80" w:line="320" w:lineRule="exact"/>
      <w:ind w:left="113" w:right="113"/>
      <w:jc w:val="lowKashida"/>
    </w:pPr>
    <w:rPr>
      <w:rFonts w:ascii="Times New Roman" w:eastAsiaTheme="minorHAnsi" w:hAnsi="Times New Roman" w:cs="Traditional Arabic"/>
      <w:sz w:val="18"/>
      <w:szCs w:val="28"/>
    </w:rPr>
    <w:tblPr>
      <w:jc w:val="right"/>
    </w:tblPr>
    <w:trPr>
      <w:jc w:val="right"/>
    </w:trPr>
    <w:tcPr>
      <w:tcMar>
        <w:left w:w="0" w:type="dxa"/>
        <w:right w:w="0" w:type="dxa"/>
      </w:tcMar>
    </w:tcPr>
    <w:tblStylePr w:type="firstRow">
      <w:tblPr/>
      <w:tcPr>
        <w:tcBorders>
          <w:top w:val="single" w:sz="4" w:space="0" w:color="auto"/>
          <w:left w:val="nil"/>
          <w:bottom w:val="single" w:sz="12" w:space="0" w:color="auto"/>
          <w:right w:val="nil"/>
          <w:insideH w:val="nil"/>
          <w:insideV w:val="nil"/>
          <w:tl2br w:val="nil"/>
          <w:tr2bl w:val="nil"/>
        </w:tcBorders>
      </w:tcPr>
    </w:tblStylePr>
    <w:tblStylePr w:type="lastRow">
      <w:pPr>
        <w:wordWrap/>
        <w:spacing w:beforeLines="0" w:before="80" w:beforeAutospacing="0" w:afterLines="0" w:after="80" w:afterAutospacing="0" w:line="320" w:lineRule="exact"/>
        <w:ind w:leftChars="0" w:left="113" w:rightChars="0" w:right="113" w:firstLineChars="0" w:firstLine="0"/>
        <w:jc w:val="lowKashida"/>
      </w:pPr>
      <w:tblPr/>
      <w:tcPr>
        <w:tcBorders>
          <w:top w:val="nil"/>
          <w:left w:val="nil"/>
          <w:bottom w:val="single" w:sz="12" w:space="0" w:color="auto"/>
          <w:right w:val="nil"/>
          <w:insideH w:val="nil"/>
          <w:insideV w:val="nil"/>
          <w:tl2br w:val="nil"/>
          <w:tr2bl w:val="nil"/>
        </w:tcBorders>
      </w:tcPr>
    </w:tblStylePr>
  </w:style>
  <w:style w:type="paragraph" w:customStyle="1" w:styleId="EndNote">
    <w:name w:val="EndNote"/>
    <w:basedOn w:val="Normal"/>
    <w:qFormat/>
    <w:rsid w:val="007832A2"/>
    <w:pPr>
      <w:tabs>
        <w:tab w:val="right" w:pos="1218"/>
      </w:tabs>
      <w:suppressAutoHyphens/>
      <w:bidi w:val="0"/>
      <w:spacing w:line="215" w:lineRule="exact"/>
      <w:ind w:left="1288" w:right="1247" w:hanging="1288"/>
      <w:jc w:val="left"/>
    </w:pPr>
    <w:rPr>
      <w:rFonts w:eastAsiaTheme="minorHAnsi" w:cs="Times New Roman"/>
      <w:sz w:val="18"/>
      <w:szCs w:val="20"/>
      <w:lang w:val="en-GB"/>
    </w:rPr>
  </w:style>
  <w:style w:type="paragraph" w:customStyle="1" w:styleId="HChG">
    <w:name w:val="_ H _Ch_G"/>
    <w:basedOn w:val="Normal"/>
    <w:next w:val="Normal"/>
    <w:rsid w:val="007832A2"/>
    <w:pPr>
      <w:keepNext/>
      <w:keepLines/>
      <w:tabs>
        <w:tab w:val="right" w:pos="851"/>
      </w:tabs>
      <w:suppressAutoHyphens/>
      <w:bidi w:val="0"/>
      <w:spacing w:before="360" w:after="240" w:line="300" w:lineRule="exact"/>
      <w:ind w:left="1134" w:right="1134" w:hanging="1134"/>
      <w:jc w:val="left"/>
    </w:pPr>
    <w:rPr>
      <w:rFonts w:eastAsia="SimSun" w:hAnsiTheme="minorHAnsi" w:hint="cs"/>
      <w:b/>
      <w:sz w:val="28"/>
      <w:lang w:val="en-GB"/>
    </w:rPr>
  </w:style>
  <w:style w:type="paragraph" w:customStyle="1" w:styleId="H1G">
    <w:name w:val="_ H_1_G"/>
    <w:basedOn w:val="Normal"/>
    <w:next w:val="Normal"/>
    <w:rsid w:val="007832A2"/>
    <w:pPr>
      <w:keepNext/>
      <w:keepLines/>
      <w:tabs>
        <w:tab w:val="right" w:pos="851"/>
      </w:tabs>
      <w:suppressAutoHyphens/>
      <w:bidi w:val="0"/>
      <w:spacing w:before="360" w:after="240" w:line="270" w:lineRule="exact"/>
      <w:ind w:left="1134" w:right="1134" w:hanging="1134"/>
      <w:jc w:val="left"/>
    </w:pPr>
    <w:rPr>
      <w:rFonts w:eastAsia="SimSun" w:hAnsiTheme="minorHAnsi" w:hint="cs"/>
      <w:b/>
      <w:sz w:val="24"/>
      <w:lang w:val="en-GB"/>
    </w:rPr>
  </w:style>
  <w:style w:type="paragraph" w:customStyle="1" w:styleId="H23G">
    <w:name w:val="_ H_2/3_G"/>
    <w:basedOn w:val="Normal"/>
    <w:next w:val="Normal"/>
    <w:rsid w:val="007832A2"/>
    <w:pPr>
      <w:keepNext/>
      <w:keepLines/>
      <w:tabs>
        <w:tab w:val="right" w:pos="851"/>
      </w:tabs>
      <w:suppressAutoHyphens/>
      <w:bidi w:val="0"/>
      <w:spacing w:before="240" w:after="120" w:line="240" w:lineRule="exact"/>
      <w:ind w:left="1134" w:right="1134" w:hanging="1134"/>
      <w:jc w:val="left"/>
    </w:pPr>
    <w:rPr>
      <w:rFonts w:eastAsia="SimSun" w:hAnsiTheme="minorHAnsi" w:hint="cs"/>
      <w:b/>
      <w:lang w:val="en-GB"/>
    </w:rPr>
  </w:style>
  <w:style w:type="paragraph" w:customStyle="1" w:styleId="H4G">
    <w:name w:val="_ H_4_G"/>
    <w:basedOn w:val="Normal"/>
    <w:next w:val="Normal"/>
    <w:rsid w:val="007832A2"/>
    <w:pPr>
      <w:keepNext/>
      <w:keepLines/>
      <w:tabs>
        <w:tab w:val="right" w:pos="851"/>
      </w:tabs>
      <w:suppressAutoHyphens/>
      <w:bidi w:val="0"/>
      <w:spacing w:before="240" w:after="120" w:line="240" w:lineRule="exact"/>
      <w:ind w:left="1134" w:right="1134" w:hanging="1134"/>
      <w:jc w:val="left"/>
    </w:pPr>
    <w:rPr>
      <w:rFonts w:eastAsia="SimSun" w:hAnsiTheme="minorHAnsi" w:hint="cs"/>
      <w:i/>
      <w:lang w:val="en-GB"/>
    </w:rPr>
  </w:style>
  <w:style w:type="paragraph" w:customStyle="1" w:styleId="SingleTxtG">
    <w:name w:val="_ Single Txt_G"/>
    <w:basedOn w:val="Normal"/>
    <w:link w:val="SingleTxtGChar"/>
    <w:rsid w:val="007832A2"/>
    <w:pPr>
      <w:suppressAutoHyphens/>
      <w:bidi w:val="0"/>
      <w:spacing w:after="120"/>
      <w:ind w:left="1134" w:right="1134"/>
      <w:jc w:val="both"/>
    </w:pPr>
    <w:rPr>
      <w:rFonts w:eastAsia="SimSun" w:hAnsiTheme="minorHAnsi"/>
      <w:lang w:val="en-GB" w:eastAsia="zh-CN"/>
    </w:rPr>
  </w:style>
  <w:style w:type="character" w:customStyle="1" w:styleId="SingleTxtGChar">
    <w:name w:val="_ Single Txt_G Char"/>
    <w:basedOn w:val="DefaultParagraphFont"/>
    <w:link w:val="SingleTxtG"/>
    <w:locked/>
    <w:rsid w:val="007832A2"/>
    <w:rPr>
      <w:rFonts w:ascii="Times New Roman" w:eastAsia="SimSun" w:cs="Traditional Arabic"/>
      <w:sz w:val="20"/>
      <w:szCs w:val="30"/>
      <w:lang w:val="en-GB" w:eastAsia="zh-CN"/>
    </w:rPr>
  </w:style>
  <w:style w:type="character" w:styleId="Hyperlink">
    <w:name w:val="Hyperlink"/>
    <w:basedOn w:val="DefaultParagraphFont"/>
    <w:uiPriority w:val="99"/>
    <w:unhideWhenUsed/>
    <w:rsid w:val="008834B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6533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159647-AB75-46B6-9E15-4CA0998C4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0</TotalTime>
  <Pages>15</Pages>
  <Words>4801</Words>
  <Characters>27369</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CAT/C/61/D/614/2014</vt:lpstr>
    </vt:vector>
  </TitlesOfParts>
  <Company>DCM</Company>
  <LinksUpToDate>false</LinksUpToDate>
  <CharactersWithSpaces>32106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CAT/C/61/D/614/2014</dc:title>
  <dc:subject>GE.1716783A</dc:subject>
  <dc:creator>JKAH - MAB</dc:creator>
  <cp:keywords>ODS No.1727985A</cp:keywords>
  <dc:description>Distr.: General
25 September 2017
English
Original: English</dc:description>
  <cp:lastModifiedBy>Gamal MAHMOUD</cp:lastModifiedBy>
  <cp:revision>2</cp:revision>
  <cp:lastPrinted>2016-06-21T10:29:00Z</cp:lastPrinted>
  <dcterms:created xsi:type="dcterms:W3CDTF">2017-11-13T20:27:00Z</dcterms:created>
  <dcterms:modified xsi:type="dcterms:W3CDTF">2017-11-13T20:27:00Z</dcterms:modified>
  <cp:category>Final</cp:category>
</cp:coreProperties>
</file>