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695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r>
                    <w:rPr>
                      <w:lang w:val="en-US"/>
                    </w:rPr>
                    <w:t>GE.04-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41089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210504    240504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6024509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CERD</w:t>
            </w:r>
            <w:proofErr w:type="spellEnd"/>
            <w:r>
              <w:rPr>
                <w:sz w:val="22"/>
                <w:lang w:val="en-US"/>
              </w:rPr>
              <w:t>/C/64/CO/9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28 April 2004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r>
        <w:t>КОМИТЕТ ПО ЛИКВИДАЦИИ</w:t>
      </w:r>
    </w:p>
    <w:p w:rsidR="00000000" w:rsidRDefault="00000000">
      <w:r>
        <w:t>РАСОВОЙ ДИСКРИМИНАЦИИ</w:t>
      </w:r>
    </w:p>
    <w:p w:rsidR="00000000" w:rsidRDefault="00000000">
      <w:r>
        <w:t>Шестьдесят четвертая сессия</w:t>
      </w:r>
    </w:p>
    <w:p w:rsidR="00000000" w:rsidRDefault="00000000">
      <w:r>
        <w:t>23 февраля - 12 марта 2004 года</w:t>
      </w:r>
    </w:p>
    <w:p w:rsidR="00000000" w:rsidRDefault="00000000">
      <w:pPr>
        <w:rPr>
          <w:lang w:val="en-US"/>
        </w:rPr>
      </w:pPr>
    </w:p>
    <w:p w:rsidR="00000000" w:rsidRDefault="00000000">
      <w:pPr>
        <w:rPr>
          <w:lang w:val="en-US"/>
        </w:rPr>
      </w:pPr>
    </w:p>
    <w:p w:rsidR="00000000" w:rsidRDefault="00000000">
      <w:pPr>
        <w:jc w:val="center"/>
      </w:pPr>
      <w:r>
        <w:t>РАССМОТРЕНИЕ ДОКЛАДОВ, ПРЕДСТАВЛЕННЫХ ГОСУДАРСТВАМИ-УЧАСТНИКАМИ В СООТВЕТСТВИИ СО СТАТЬЕЙ 9 КОНВЕНЦИИ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Заключительные замечания Комитета по ликвидации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расовой дискриминации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</w:pPr>
      <w:r>
        <w:t>СУРИНАМ</w:t>
      </w:r>
    </w:p>
    <w:p w:rsidR="00000000" w:rsidRDefault="00000000">
      <w:pPr>
        <w:jc w:val="center"/>
      </w:pPr>
    </w:p>
    <w:p w:rsidR="00000000" w:rsidRDefault="00000000">
      <w:r>
        <w:t>1.</w:t>
      </w:r>
      <w:r>
        <w:tab/>
        <w:t>Комитет рассмотрел первый-десятый периодические доклады Суринама, представленные в одном документе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/446/</w:t>
      </w:r>
      <w:r>
        <w:rPr>
          <w:lang w:val="en-US"/>
        </w:rPr>
        <w:t>Add</w:t>
      </w:r>
      <w:r>
        <w:t>.1), на своих 1614-м и 1615-м заседаниях (</w:t>
      </w:r>
      <w:r>
        <w:rPr>
          <w:lang w:val="en-US"/>
        </w:rPr>
        <w:t>CERD</w:t>
      </w:r>
      <w:r>
        <w:t>/</w:t>
      </w:r>
      <w:r>
        <w:rPr>
          <w:lang w:val="en-US"/>
        </w:rPr>
        <w:t>C</w:t>
      </w:r>
      <w:r>
        <w:t>/</w:t>
      </w:r>
      <w:r>
        <w:rPr>
          <w:lang w:val="en-US"/>
        </w:rPr>
        <w:t>SR</w:t>
      </w:r>
      <w:r>
        <w:t>.1614 и 1615), состоявшихся 23 и 24 февраля 2004 года.  На своих 1636-м и 1637-м заседаниях, состоявшихся 9 и 10 марта 2004 года, Комитет принял следующие заключительные замечания.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А.</w:t>
      </w:r>
      <w:r>
        <w:rPr>
          <w:b/>
          <w:bCs/>
        </w:rPr>
        <w:tab/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2.</w:t>
      </w:r>
      <w:r>
        <w:tab/>
        <w:t>Комитет приветствует первоначальный доклад Суринама и предоставляемую им возможность для ведения диалога с государством-участником.  По его мнению, положительным фактом является то, что правительство представлено делегацией высокого уровня, и он выражает признательность за устные и письменные ответы, представленные делегацией.</w:t>
      </w:r>
    </w:p>
    <w:p w:rsidR="00000000" w:rsidRDefault="00000000"/>
    <w:p w:rsidR="00000000" w:rsidRDefault="00000000">
      <w:r>
        <w:br w:type="page"/>
        <w:t>3.</w:t>
      </w:r>
      <w:r>
        <w:tab/>
        <w:t>Комитет с удовлетворением принимает к сведению усилия, предпринятые государством-участником для соблюдения его руководящих принципов, касающихся формы и содержания докладов, и, в частности, представленную информацию об этническом составе населения.  Однако он выражает сожаление по поводу того, что первоначальный доклад в целом не содержит достаточной информации о практическом применении Конвенции.</w:t>
      </w:r>
    </w:p>
    <w:p w:rsidR="00000000" w:rsidRDefault="00000000"/>
    <w:p w:rsidR="00000000" w:rsidRDefault="00000000">
      <w:r>
        <w:t>4.</w:t>
      </w:r>
      <w:r>
        <w:tab/>
        <w:t>Комитет также выражает сожаление по поводу того, что первоначальный доклад был представлен через 18 лет после истечения установленных сроков.  Он предлагает государству-участнику соблюдать сроки, предложенные Комитетом для представления его будущих докладов.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В.</w:t>
      </w:r>
      <w:r>
        <w:rPr>
          <w:b/>
          <w:bCs/>
        </w:rPr>
        <w:tab/>
        <w:t>Позитивные аспекты</w:t>
      </w:r>
    </w:p>
    <w:p w:rsidR="00000000" w:rsidRDefault="00000000">
      <w:pPr>
        <w:pStyle w:val="FootnoteText"/>
        <w:spacing w:line="288" w:lineRule="auto"/>
      </w:pPr>
    </w:p>
    <w:p w:rsidR="00000000" w:rsidRDefault="00000000">
      <w:r>
        <w:t>5.</w:t>
      </w:r>
      <w:r>
        <w:tab/>
        <w:t>Комитет с удовлетворением отмечает, что, согласно конституционным положениям, действующим в государстве-участнике, положения Конвенции имеют преимущественную силу перед внутригосударственным законодательством.</w:t>
      </w:r>
    </w:p>
    <w:p w:rsidR="00000000" w:rsidRDefault="00000000"/>
    <w:p w:rsidR="00000000" w:rsidRDefault="00000000">
      <w:r>
        <w:t>6.</w:t>
      </w:r>
      <w:r>
        <w:tab/>
        <w:t xml:space="preserve">Комитет приветствует тот факт, что определение расовой дискриминации, согласно внутригосударственному праву, согласуется с положениями статьи 1 Конвенции.  </w:t>
      </w:r>
    </w:p>
    <w:p w:rsidR="00000000" w:rsidRDefault="00000000"/>
    <w:p w:rsidR="00000000" w:rsidRDefault="00000000">
      <w:r>
        <w:t>7.</w:t>
      </w:r>
      <w:r>
        <w:tab/>
        <w:t>Комитет с удовлетворением отмечает, что уголовное право государства-участника в целом согласуется с требованиями статьи 4 а) Конвенции.</w:t>
      </w:r>
    </w:p>
    <w:p w:rsidR="00000000" w:rsidRDefault="00000000"/>
    <w:p w:rsidR="00000000" w:rsidRDefault="00000000">
      <w:r>
        <w:t>8.</w:t>
      </w:r>
      <w:r>
        <w:tab/>
        <w:t>Комитет с интересом принимает к сведению заверения государства-участника в том, что число маронов и представителей коренного населения, которые занимают руководящие должности на уровне общины, неуклонно увеличивается, хотя в этом отношении еще предстоит проделать большую работу.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С.</w:t>
      </w:r>
      <w:r>
        <w:rPr>
          <w:b/>
          <w:bCs/>
        </w:rPr>
        <w:tab/>
        <w:t>Вопросы, вызывающие озабоченность, и рекомендации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9.</w:t>
      </w:r>
      <w:r>
        <w:tab/>
        <w:t>Комитет выражает сожаление по поводу того, что до настоящего времени так и не произошло давно уже ожидаемого создания конституционного суда, который, по описанию государства-участника, является жизненно важным механизмом для защиты прав человека, в частности в областях, охватываемых положениями Конвенции.</w:t>
      </w:r>
    </w:p>
    <w:p w:rsidR="00000000" w:rsidRDefault="00000000"/>
    <w:p w:rsidR="00000000" w:rsidRDefault="00000000">
      <w:pPr>
        <w:keepNext/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предлагает государству-участнику как можно скорее создать конституционный суд.</w:t>
      </w:r>
    </w:p>
    <w:p w:rsidR="00000000" w:rsidRDefault="00000000">
      <w:pPr>
        <w:keepNext/>
        <w:ind w:left="567" w:hanging="567"/>
        <w:rPr>
          <w:b/>
          <w:bCs/>
        </w:rPr>
      </w:pPr>
    </w:p>
    <w:p w:rsidR="00000000" w:rsidRDefault="00000000">
      <w:r>
        <w:t>10.</w:t>
      </w:r>
      <w:r>
        <w:tab/>
        <w:t xml:space="preserve">Что касается запрещения организаций, разжигающих расовую дискриминацию, то Комитет отмечает, что законы Суринама не отвечают требованиям статьи 4 </w:t>
      </w:r>
      <w:r>
        <w:rPr>
          <w:lang w:val="en-US"/>
        </w:rPr>
        <w:t>b</w:t>
      </w:r>
      <w:r>
        <w:t xml:space="preserve">) Конвенции.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подготовить закон, объявляющий незаконными и запрещающий такие организации.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11.</w:t>
      </w:r>
      <w:r>
        <w:tab/>
        <w:t>Комитет озабочен тем, что более десяти лет спустя подписания Мирного соглашения 1992 года государство-участник не обеспечило адекватных законодательных основ для регламентации юридического признания прав коренных и племенных народов (американских индейцев и маронов) на их земли, территории и общинные ресурсы.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Отмечая, что закрепленный в статье 41 Конституции принцип, предусматривающий, что природные ресурсы являются собственностью государства и должны использоваться в интересах содействия экономическому, социальному и культурному развитию, Комитет констатирует, что этот принцип должен осуществляться сообразно с правами коренных и племенных народов.  Он рекомендует государству-участнику в законном порядке признать права коренных и племенных народов владеть, осваивать, контролировать и использовать их общинные земли и участвовать в разработке, рациональном использовании и охране связанных с ними природных ресурсов.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12.</w:t>
      </w:r>
      <w:r>
        <w:tab/>
        <w:t xml:space="preserve">Комитет принимает к сведению предпринятые государством-участником усилия в определенной степени согласовать право собственности государства на природные ресурсы страны с правами коренных и племенных народов, в частности с помощью Мирного соглашения 1992 года.   Тем не менее он отмечает, что соглашение не содержит ясных положений по этому вопросу и не претворяется в жизнь.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принять в сотрудничестве с соответствующими коренными и племенными народами незамедлительные меры с целью определения тех земель, которые эти народы традиционно занимали и использовали.  Он будет приветствовать более подробную информацию о членском составе, круге ведения, методах работы и финансовых и людских ресурсах Совета по развитию внутренних районов страны, который, согласно положениям Мирного соглашения, должен оказывать помощь в осуществлении процесса демаркации земель.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13.</w:t>
      </w:r>
      <w:r>
        <w:tab/>
        <w:t>Принимая также к сведению утверждение государства-участника о наличии механизмов, гарантирующих уведомление коренных и племенных народов и проведение консультаций с ними до предоставления любой концессии на эксплуатацию лесов или шахт на их землях, Комитет встревожен тем, что, согласно поступающим сообщениям, подобные консультации проводятся редко.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предлагает властям убедиться в том, что созданные механизмы информирования и консультирования коренных и племенных народов действительно функционируют, и рекомендует государству-участнику стремиться достигать согласия с соответствующими народами, по возможности, до предоставления любой концессии.</w:t>
      </w:r>
    </w:p>
    <w:p w:rsidR="00000000" w:rsidRDefault="00000000">
      <w:pPr>
        <w:ind w:left="567" w:hanging="567"/>
      </w:pPr>
    </w:p>
    <w:p w:rsidR="00000000" w:rsidRDefault="00000000"/>
    <w:p w:rsidR="00000000" w:rsidRDefault="00000000">
      <w:r>
        <w:t>14.</w:t>
      </w:r>
      <w:r>
        <w:tab/>
        <w:t>Комитет отмечает, что, согласно положениям проекта закона о разработке месторождений полезных ископаемых, будет требоваться согласие коренных и племенных народов на  проведение горнодобывающей деятельности на их землях после заключения соглашения о компенсации с держателями концессии и, в случае невозможности достигнуть договоренности, этот вопрос будет урегулироваться органами исполнительной, а не судебной власти.  В более общем плане Комитет выражает озабоченность в связи с тем, что коренные и племенные народы как таковые не имеют возможности добиваться признания их традиционных прав в судах, поскольку по закону они не признаются в качестве юридических лиц.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предоставить коренным и племенным народам право обращаться с апелляцией в суд или любой независимый орган, специально созданный для этих целей, с тем чтобы обеспечить соблюдение их традиционных прав, а также их права на проведение с ними консультаций до предоставления концессий и на справедливую компенсацию за любой ущерб.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15.</w:t>
      </w:r>
      <w:r>
        <w:tab/>
        <w:t xml:space="preserve">Комитет с озабоченностью принимает к сведению жалобы, поступающие от коренных и племенных народов, проживающих во внутренних районах страны, относительно пагубных последствий добычи природных ресурсов для их окружающей среды, здоровья и культуры.  Он выражает сожаление по поводу того, что государство-участник, как представляется, не уделяет самого приоритетного внимания вопросу о решении проблемы загрязнения ртутью в тех или иных внутренних районах страны.  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желает указать, что цели развития не могут служить оправданием для посягательств на права человека и что, наряду с правом разрабатывать природные ресурсы, существуют конкретные сопутствующие обязательства в отношении местного населения;  он рекомендует государству-участнику утвердить законодательные рамки, в которых четко устанавливаются общие принципы, регламентирующие процесс освоения земли, включая обязательство соблюдать строгие нормы по охране окружающей среды.  Он рекомендует государству-участнику создать независимый орган для проведения обзоров воздействия на окружающую среду до выдачи любых эксплуатационных лицензий, а также для проведения проверок, касающихся соблюдения требований по гигиене и охране труда, на небольших золотых приисках.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16.</w:t>
      </w:r>
      <w:r>
        <w:tab/>
        <w:t>Комитет встревожен сообщениями о всевозрастающих масштабах сексуальной эксплуатации детей и о случаях изнасилований девушек - представительниц коренных и племенных народов в регионах, в которых ведутся горнодобывающие и лесохозяйственные операции.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рекомендует государству-участнику принять необходимые меры для обеспечения судебного преследования виновных лиц.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17.</w:t>
      </w:r>
      <w:r>
        <w:tab/>
        <w:t>Комитет встревожен информацией о распространении болезней, передаваемых половым путем, таких, как ВИЧ/СПИД, среди коренных и племенных народов в связи с расширением масштабов горнодобывающей и лесохозяйственной деятельности во внутренних районах страны.</w:t>
      </w:r>
    </w:p>
    <w:p w:rsidR="00000000" w:rsidRDefault="00000000"/>
    <w:p w:rsidR="00000000" w:rsidRDefault="00000000">
      <w:pPr>
        <w:pStyle w:val="BodyTextIndent"/>
        <w:spacing w:line="288" w:lineRule="auto"/>
      </w:pPr>
      <w:r>
        <w:tab/>
        <w:t>Комитет рекомендует государству-участнику приступить к осуществлению плана действий по борьбе со СПИДом во внутренних районах страны.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18.</w:t>
      </w:r>
      <w:r>
        <w:tab/>
        <w:t>Комитет выражает удивление по поводу заявления государства-участника о том, что мароны и американские индейцы никогда в официальном порядке не обращались с жалобами на последствия деятельности по разработке природных ресурсов.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организовать среди представителей коренных и племенных народов информационную кампанию, с тем чтобы они могли узнать, какими средствами правовой защиты они могут воспользоваться для защиты своих прав и интересов, а также проводить расследования всякий раз, когда государство-участник получает сообщения об ущемлении прав коренных и племенных народов.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19.</w:t>
      </w:r>
      <w:r>
        <w:tab/>
        <w:t>Комитет выражает озабоченность в связи с сохраняющимся отсутствием санитарно-гигиенической и учебной инфраструктуры и центров, предназначенных для коренных и племенных народов.  Он выражает сожаление в связи с тем, что до настоящего времени так и не было принято каких-либо специальных мер по обеспечению их прогресса на том основании, что отсутствуют какие-либо данные, свидетельствующие о необходимости их специальной защиты.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принять более активные меры, в частности в отношении планов действий в области образования во внутренних районах страны.  Он также рекомендует - в консультации с заинтересованными народами - включать в соглашения, заключаемые с крупными совместными промышленными предприятиями, положения, конкретно определяющие, каким образом эти предприятия будут способствовать поощрению прав человека в таких областях, как образование.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20.</w:t>
      </w:r>
      <w:r>
        <w:tab/>
        <w:t>Комитет приветствует заявление делегации о том, что Закон об амнистии 1992 года не прекратил процессуальных действий в отношении нарушений прав человека, совершенных в период гражданской войны 1985-1991 годов, включая массовые убийства в Мойване в 1986 году.  Однако он встревожен тем, что расследование этих событий пока еще не завершено.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рекомендует государству-участнику уделить самое приоритетное внимание вопросу об обеспечении того, чтобы лица, виновные в нарушениях прав человека в период гражданской войны, не остались безнаказанными и чтобы жертвам как можно скорее была предложена соответствующая компенсация.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21.</w:t>
      </w:r>
      <w:r>
        <w:tab/>
        <w:t>Принимая к сведению законное желание государства-участника обеспечить изучение официального языка и содействовать преподаванию испанского и английского языков, Комитет вместе с тем встревожен отсутствием планов по сохранению родных языков коренных и племенных народов страны.  Он также испытывает озабоченность в связи с тем, что шранан-тонго - языку, на котором говорит большинство населения, не придается достаточная значимость в системе образования.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 xml:space="preserve">Комитет предлагает государству-участнику поощрять изучение родных языков, в частности шранан-тонго, с целью сохранения культурной и языковой самобытности различных этнических групп.  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>
      <w:r>
        <w:t>22.</w:t>
      </w:r>
      <w:r>
        <w:tab/>
        <w:t>Комитет отмечает, что власти, как представляется, ограничиваются тем, что они не препятствуют осуществлению различными этническими группами и их представителями их культурных прав.</w:t>
      </w:r>
    </w:p>
    <w:p w:rsidR="00000000" w:rsidRDefault="00000000"/>
    <w:p w:rsidR="00000000" w:rsidRDefault="00000000">
      <w:pPr>
        <w:ind w:left="567" w:hanging="567"/>
        <w:rPr>
          <w:b/>
          <w:bCs/>
        </w:rPr>
      </w:pPr>
      <w:r>
        <w:tab/>
      </w:r>
      <w:r>
        <w:rPr>
          <w:b/>
          <w:bCs/>
        </w:rPr>
        <w:t>Комитет рекомендует государству-участнику обеспечивать уважение и содействовать развитию культуры, языков и характерного образа жизни коренных и племенных народов.  Он рекомендует властям провести в сотрудничестве с заинтересованными группами обзор воздействия экономического развития в пределах земель коренных и племенных народов на их коллективные и индивидуальные культурные права.</w:t>
      </w:r>
    </w:p>
    <w:p w:rsidR="00000000" w:rsidRDefault="00000000">
      <w:pPr>
        <w:ind w:left="567" w:hanging="567"/>
        <w:rPr>
          <w:b/>
          <w:bCs/>
        </w:rPr>
      </w:pPr>
    </w:p>
    <w:p w:rsidR="00000000" w:rsidRDefault="00000000"/>
    <w:p w:rsidR="00000000" w:rsidRDefault="00000000">
      <w:r>
        <w:t>23.</w:t>
      </w:r>
      <w:r>
        <w:tab/>
        <w:t>Комитет обращает внимание государства-участника на его Общую рекомендацию </w:t>
      </w:r>
      <w:proofErr w:type="spellStart"/>
      <w:r>
        <w:t>ХХIII</w:t>
      </w:r>
      <w:proofErr w:type="spellEnd"/>
      <w:r>
        <w:t xml:space="preserve"> (1997) о правах коренных народов и наминает ему о важности Конвенции № 169 Международной организации труда о коренных народах и народах, ведущих племенной образ жизни, применительно к особым обстоятельствам Суринама.</w:t>
      </w:r>
    </w:p>
    <w:p w:rsidR="00000000" w:rsidRDefault="00000000"/>
    <w:p w:rsidR="00000000" w:rsidRDefault="00000000">
      <w:pPr>
        <w:pStyle w:val="BodyTextIndent"/>
        <w:spacing w:line="288" w:lineRule="auto"/>
      </w:pPr>
      <w:r>
        <w:t>Комитет будет приветствовать дополнительную информацию об общем обсуждении существа этой Конвенции, которая упоминается в Мирном соглашении 1992 года, и о его итогах.  Он рекомендует государству-участнику рассмотреть возможность скорейшей ратификации Конвенции.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24.</w:t>
      </w:r>
      <w:r>
        <w:tab/>
        <w:t xml:space="preserve">Комитет испытывает озабоченность в связи с сообщениями о том, что так и не был завершен процесс добровольной репатриации и </w:t>
      </w:r>
      <w:proofErr w:type="spellStart"/>
      <w:r>
        <w:t>реинтеграции</w:t>
      </w:r>
      <w:proofErr w:type="spellEnd"/>
      <w:r>
        <w:t xml:space="preserve"> суринамских беженцев во французской Гайане в отношении многих </w:t>
      </w:r>
      <w:proofErr w:type="spellStart"/>
      <w:r>
        <w:t>маронов-мужчин</w:t>
      </w:r>
      <w:proofErr w:type="spellEnd"/>
      <w:r>
        <w:t>, в связи с чем их жены и дети проживают в условиях крайней бедности.</w:t>
      </w:r>
    </w:p>
    <w:p w:rsidR="00000000" w:rsidRDefault="00000000"/>
    <w:p w:rsidR="00000000" w:rsidRDefault="00000000">
      <w:pPr>
        <w:pStyle w:val="BodyTextIndent"/>
        <w:spacing w:line="288" w:lineRule="auto"/>
      </w:pPr>
      <w:r>
        <w:t>Комитет хотел бы получить подробную информацию по этому вопросу.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25.</w:t>
      </w:r>
      <w:r>
        <w:tab/>
        <w:t>Комитет принимает к сведению желание государства-участника обеспечить уважение брачных обрядов различных этнических групп, его попытки установить единый брачный возраст по достижении 18 лет и запретить браки без согласия женщин.  В этой связи он отмечает, что Закон о браке 1973 года вступил в силу в июне 2003 года.</w:t>
      </w:r>
    </w:p>
    <w:p w:rsidR="00000000" w:rsidRDefault="00000000"/>
    <w:p w:rsidR="00000000" w:rsidRDefault="00000000">
      <w:pPr>
        <w:pStyle w:val="BodyTextIndent"/>
        <w:spacing w:line="288" w:lineRule="auto"/>
      </w:pPr>
      <w:r>
        <w:t>Комитет рекомендует государству-участнику и далее предпринимать усилия для обеспечения уважения прав женщин, независимо от их общинной принадлежности, особенно в тех случаях, когда речь идет о браке.  Он призывает представить ему подробную информацию о брачных нормах и практике, которые применяются в общинах коренных и племенных народов.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26.</w:t>
      </w:r>
      <w:r>
        <w:tab/>
        <w:t>Комитет рекомендует государству-участнику принять во внимание соответствующие части Дурбанской декларации и Плана действий при применении в рамках своего внутригосударственного права положений Конвенции, в частности статей 2-7, и представить в своем следующем периодическом докладе информацию о планах действий и других мерах, принимаемых для осуществления Дурбанской декларации и Плана действий на национальном уровне.</w:t>
      </w:r>
    </w:p>
    <w:p w:rsidR="00000000" w:rsidRDefault="00000000"/>
    <w:p w:rsidR="00000000" w:rsidRDefault="00000000">
      <w:r>
        <w:t>27.</w:t>
      </w:r>
      <w:r>
        <w:tab/>
        <w:t>Комитет настоятельно рекомендует государству-участнику ратифицировать поправку к пункту 6 статьи 8 Конвенции, принятую 15 января 1992 года на четырнадцатом совещании государств - участников Конвенции и одобренную Генеральной Ассамблеей в ее резолюции 47/111.  В этой связи он ссылается на резолюцию 57/194 Генеральной Ассамблеи, в которой государствам - участникам Конвенции самым настоятельным образом предлагается ускорить их внутренние процедуры ратификации поправки и оперативно уведомить Генерального секретаря в письменной форме о своем согласии с этой поправкой.  Аналогичный призыв содержится в резолюции 58/160 Генеральной Ассамблеи.</w:t>
      </w:r>
    </w:p>
    <w:p w:rsidR="00000000" w:rsidRDefault="00000000"/>
    <w:p w:rsidR="00000000" w:rsidRDefault="00000000">
      <w:r>
        <w:t>28.</w:t>
      </w:r>
      <w:r>
        <w:tab/>
        <w:t>Комитет отмечает, что государство-участник не сделало факультативного заявления, предусмотренного в статье 14 Конвенции, и рекомендует ему рассмотреть возможность такого заявления.</w:t>
      </w:r>
    </w:p>
    <w:p w:rsidR="00000000" w:rsidRDefault="00000000"/>
    <w:p w:rsidR="00000000" w:rsidRDefault="00000000">
      <w:r>
        <w:t>29.</w:t>
      </w:r>
      <w:r>
        <w:tab/>
        <w:t>Комитет рекомендует государству-участнику обеспечить распространение его докладов среди общественности и таким же образом предать гласности замечания Комитета по этим докладам.</w:t>
      </w:r>
    </w:p>
    <w:p w:rsidR="00000000" w:rsidRDefault="00000000"/>
    <w:p w:rsidR="00000000" w:rsidRDefault="00000000">
      <w:r>
        <w:t>30.</w:t>
      </w:r>
      <w:r>
        <w:tab/>
        <w:t>Комитет предлагает государству-участнику воспользоваться возможностью получения технической помощи, предоставляемой в рамках программы консультативного обслуживания и технической помощи Управления Верховного комиссара Организации Объединенных Наций по правам человека, в целях подготовки рамочного закона о правах коренных и племенных народов, в котором рассматривались бы изложенные выше вопросы, вызывающие озабоченность Комитета.</w:t>
      </w:r>
    </w:p>
    <w:p w:rsidR="00000000" w:rsidRDefault="00000000"/>
    <w:p w:rsidR="00000000" w:rsidRDefault="00000000">
      <w:r>
        <w:t>31.</w:t>
      </w:r>
      <w:r>
        <w:tab/>
        <w:t>Комитет рекомендует государству-участнику представить свой одиннадцатый и двенадцатый периодические доклады в одном документе, подлежащем представлению 14 апреля 2007 года, и ответить на все вопросы, поднятые в настоящих заключительных замечаниях.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0"/>
        </w:tabs>
        <w:suppressAutoHyphens/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CERD/C/64/CO/9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7371"/>
        <w:tab w:val="right" w:pos="9072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CERD/C/64/CO/9</w:t>
    </w: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rPr>
        <w:rStyle w:val="PageNumber"/>
        <w:lang w:val="en-US"/>
      </w:rPr>
    </w:pP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1" w:dllVersion="512" w:checkStyle="1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line="720" w:lineRule="auto"/>
      <w:ind w:left="567" w:hanging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1</TotalTime>
  <Pages>1</Pages>
  <Words>2345</Words>
  <Characters>13370</Characters>
  <Application>Microsoft Office Word</Application>
  <DocSecurity>4</DocSecurity>
  <Lines>111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41098.01</vt:lpstr>
    </vt:vector>
  </TitlesOfParts>
  <Company> 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41098.01</dc:title>
  <dc:subject>ЧЕРЕПАХИН</dc:subject>
  <dc:creator>Черняева</dc:creator>
  <cp:keywords/>
  <dc:description/>
  <cp:lastModifiedBy>Tcherniaeva</cp:lastModifiedBy>
  <cp:revision>3</cp:revision>
  <cp:lastPrinted>2004-05-24T09:29:00Z</cp:lastPrinted>
  <dcterms:created xsi:type="dcterms:W3CDTF">2004-05-24T09:29:00Z</dcterms:created>
  <dcterms:modified xsi:type="dcterms:W3CDTF">2004-05-24T09:29:00Z</dcterms:modified>
</cp:coreProperties>
</file>