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DB495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B4952" w:rsidP="00DB4952">
            <w:pPr>
              <w:jc w:val="right"/>
            </w:pPr>
            <w:r w:rsidRPr="00DB4952">
              <w:rPr>
                <w:sz w:val="40"/>
              </w:rPr>
              <w:t>CERD</w:t>
            </w:r>
            <w:r>
              <w:t>/C/</w:t>
            </w:r>
            <w:r w:rsidR="00272CE0">
              <w:t>I</w:t>
            </w:r>
            <w:r>
              <w:t>SR/Q/14-16</w:t>
            </w:r>
          </w:p>
        </w:tc>
      </w:tr>
      <w:tr w:rsidR="002D5AAC" w:rsidTr="00DB495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B4952" w:rsidRDefault="00DB4952" w:rsidP="00B778C8">
            <w:pPr>
              <w:spacing w:before="240"/>
            </w:pPr>
            <w:r>
              <w:t>Distr. general</w:t>
            </w:r>
          </w:p>
          <w:p w:rsidR="00DB4952" w:rsidRDefault="00DB4952" w:rsidP="00DB4952">
            <w:pPr>
              <w:spacing w:line="240" w:lineRule="exact"/>
            </w:pPr>
            <w:r>
              <w:t>7 de febrero de 2012</w:t>
            </w:r>
          </w:p>
          <w:p w:rsidR="00DB4952" w:rsidRDefault="00DB4952" w:rsidP="00DB4952">
            <w:pPr>
              <w:spacing w:line="240" w:lineRule="exact"/>
            </w:pPr>
            <w:r>
              <w:t>Español</w:t>
            </w:r>
          </w:p>
          <w:p w:rsidR="002D5AAC" w:rsidRDefault="00DB4952" w:rsidP="00DB4952">
            <w:pPr>
              <w:spacing w:line="240" w:lineRule="exact"/>
            </w:pPr>
            <w:r>
              <w:t>Original: inglés</w:t>
            </w:r>
          </w:p>
        </w:tc>
      </w:tr>
    </w:tbl>
    <w:p w:rsidR="00DB4952" w:rsidRPr="00574CBC" w:rsidRDefault="00DB4952" w:rsidP="00DB4952">
      <w:pPr>
        <w:spacing w:before="120"/>
        <w:rPr>
          <w:b/>
          <w:sz w:val="24"/>
          <w:szCs w:val="24"/>
        </w:rPr>
      </w:pPr>
      <w:r w:rsidRPr="00574CBC">
        <w:rPr>
          <w:b/>
          <w:sz w:val="24"/>
          <w:szCs w:val="24"/>
        </w:rPr>
        <w:t>Comité para la Eliminación de la Discriminación Racial</w:t>
      </w:r>
    </w:p>
    <w:p w:rsidR="00DB4952" w:rsidRPr="00574CBC" w:rsidRDefault="00DB4952" w:rsidP="00DB4952">
      <w:pPr>
        <w:rPr>
          <w:b/>
        </w:rPr>
      </w:pPr>
      <w:r w:rsidRPr="00574CBC">
        <w:rPr>
          <w:b/>
        </w:rPr>
        <w:t>80º período de sesiones</w:t>
      </w:r>
    </w:p>
    <w:p w:rsidR="00DB4952" w:rsidRPr="00574CBC" w:rsidRDefault="00DB4952" w:rsidP="00DB4952">
      <w:r w:rsidRPr="00574CBC">
        <w:t>13 de febrero a 9 de marzo de 2012</w:t>
      </w:r>
    </w:p>
    <w:p w:rsidR="00DB4952" w:rsidRPr="000609ED" w:rsidRDefault="00DB4952" w:rsidP="00DB4952">
      <w:pPr>
        <w:pStyle w:val="HChG"/>
      </w:pPr>
      <w:r>
        <w:tab/>
      </w:r>
      <w:r>
        <w:tab/>
      </w:r>
      <w:r w:rsidRPr="000609ED">
        <w:t xml:space="preserve">Aplicación de la Convención Internacional sobre </w:t>
      </w:r>
      <w:r w:rsidR="00A30726">
        <w:t>la</w:t>
      </w:r>
      <w:r>
        <w:br/>
      </w:r>
      <w:r w:rsidRPr="000609ED">
        <w:t>Eliminación de todas las Formas de Discriminación Ra</w:t>
      </w:r>
      <w:r>
        <w:t>cial</w:t>
      </w:r>
    </w:p>
    <w:p w:rsidR="00DB4952" w:rsidRPr="000609ED" w:rsidRDefault="00DB4952" w:rsidP="00DB4952">
      <w:pPr>
        <w:pStyle w:val="H1G"/>
      </w:pPr>
      <w:r>
        <w:tab/>
      </w:r>
      <w:r>
        <w:tab/>
      </w:r>
      <w:r w:rsidRPr="000609ED">
        <w:t>Lista de temas que deben abordarse al examinar los informes periódicos 14 a 16 de Israel (CERD/C/ISR/14-16)</w:t>
      </w:r>
      <w:r w:rsidRPr="00574CB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DB4952" w:rsidTr="001D0E3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DB4952" w:rsidRDefault="00DB4952" w:rsidP="001D0E3A">
            <w:pPr>
              <w:pStyle w:val="SingleTxtG"/>
              <w:spacing w:after="0" w:line="240" w:lineRule="auto"/>
              <w:ind w:left="0" w:right="0"/>
              <w:jc w:val="left"/>
            </w:pPr>
          </w:p>
        </w:tc>
      </w:tr>
      <w:tr w:rsidR="00DB4952" w:rsidTr="001D0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DB4952" w:rsidRDefault="00DB4952" w:rsidP="001D0E3A">
            <w:pPr>
              <w:spacing w:after="120"/>
              <w:jc w:val="both"/>
            </w:pPr>
            <w:r>
              <w:tab/>
            </w:r>
            <w:r w:rsidRPr="000609ED">
              <w:t xml:space="preserve">La lista de temas que figura a continuación ha sido elaborada por el Relator para el país en relación con el examen de los informes periódicos 14 a 16 de Israel. El objetivo de esta lista es facilitar el diálogo entre la delegación del Estado parte y el Comité, y </w:t>
            </w:r>
            <w:r w:rsidRPr="000609ED">
              <w:rPr>
                <w:i/>
              </w:rPr>
              <w:t>no requiere respuestas por escrito</w:t>
            </w:r>
            <w:r w:rsidRPr="000609ED">
              <w:t>. No es una lista exhaustiva, pues durante el diálogo se abordarán otros asuntos.</w:t>
            </w:r>
          </w:p>
        </w:tc>
      </w:tr>
      <w:tr w:rsidR="00DB4952" w:rsidTr="001D0E3A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DB4952" w:rsidRDefault="00DB4952" w:rsidP="001D0E3A">
            <w:pPr>
              <w:pStyle w:val="SingleTxtG"/>
              <w:spacing w:after="0" w:line="240" w:lineRule="auto"/>
              <w:ind w:left="0" w:right="0"/>
              <w:jc w:val="left"/>
            </w:pPr>
          </w:p>
        </w:tc>
      </w:tr>
    </w:tbl>
    <w:p w:rsidR="00DB4952" w:rsidRPr="000609ED" w:rsidRDefault="00DB4952" w:rsidP="00DB4952">
      <w:pPr>
        <w:pStyle w:val="H23G"/>
      </w:pPr>
      <w:r>
        <w:tab/>
      </w:r>
      <w:r w:rsidRPr="000609ED">
        <w:t>1.</w:t>
      </w:r>
      <w:r w:rsidRPr="000609ED">
        <w:tab/>
        <w:t>La Convención en el derecho interno y las medidas legislativas y</w:t>
      </w:r>
      <w:r>
        <w:t xml:space="preserve"> normativas </w:t>
      </w:r>
      <w:r w:rsidRPr="000609ED">
        <w:t>adoptadas para su aplicación (artículos 1 a 5 y 7)</w:t>
      </w:r>
    </w:p>
    <w:p w:rsidR="00DB4952" w:rsidRPr="000609ED" w:rsidRDefault="00DB4952" w:rsidP="00DB4952">
      <w:pPr>
        <w:pStyle w:val="SingleTxtG"/>
      </w:pPr>
      <w:r w:rsidRPr="000609ED">
        <w:tab/>
        <w:t>a)</w:t>
      </w:r>
      <w:r w:rsidRPr="000609ED">
        <w:tab/>
        <w:t>Aplicación de la Convención en todos los territorios situados bajo el control efectivo del Estado parte (CERD/C/ISR/CO/13, párr. 32)</w:t>
      </w:r>
      <w:r w:rsidR="004F4D0C">
        <w:t>;</w:t>
      </w:r>
    </w:p>
    <w:p w:rsidR="00DB4952" w:rsidRPr="000609ED" w:rsidRDefault="00DB4952" w:rsidP="00DB4952">
      <w:pPr>
        <w:pStyle w:val="SingleTxtG"/>
      </w:pPr>
      <w:r w:rsidRPr="000609ED">
        <w:tab/>
        <w:t>b)</w:t>
      </w:r>
      <w:r w:rsidRPr="000609ED">
        <w:tab/>
        <w:t>Planes para insertar una disposición general de igualdad y de prohibición de la discriminación racial en la Ley básica (</w:t>
      </w:r>
      <w:r w:rsidRPr="000609ED">
        <w:rPr>
          <w:i/>
        </w:rPr>
        <w:t>ibid.</w:t>
      </w:r>
      <w:r w:rsidRPr="000609ED">
        <w:t>, párr. 16)</w:t>
      </w:r>
      <w:r w:rsidR="004F4D0C">
        <w:t>;</w:t>
      </w:r>
    </w:p>
    <w:p w:rsidR="00DB4952" w:rsidRPr="000609ED" w:rsidRDefault="00DB4952" w:rsidP="00DB4952">
      <w:pPr>
        <w:pStyle w:val="SingleTxtG"/>
      </w:pPr>
      <w:r w:rsidRPr="000609ED">
        <w:tab/>
        <w:t>c)</w:t>
      </w:r>
      <w:r w:rsidRPr="000609ED">
        <w:tab/>
        <w:t>Medidas para establecer una institución nacional independiente de derechos humanos, conforme a los principios relativos al estatuto de las instituciones nacionales de promoción y protección de los derechos humanos (CERD/C/ISR/14-16, párr. 19 y CERD/C/ISR/CO/13, párr. 31).</w:t>
      </w:r>
    </w:p>
    <w:p w:rsidR="00DB4952" w:rsidRPr="000609ED" w:rsidRDefault="00DB4952" w:rsidP="00DB4952">
      <w:pPr>
        <w:pStyle w:val="H23G"/>
      </w:pPr>
      <w:r>
        <w:tab/>
      </w:r>
      <w:r w:rsidRPr="000609ED">
        <w:t>2.</w:t>
      </w:r>
      <w:r w:rsidRPr="000609ED">
        <w:tab/>
        <w:t xml:space="preserve">La igualdad y las dificultades afrontadas por determinados grupos, en particular </w:t>
      </w:r>
      <w:r>
        <w:br/>
        <w:t>los que no</w:t>
      </w:r>
      <w:r w:rsidRPr="000609ED">
        <w:t xml:space="preserve"> son ciudadanos y las minorías árabes y judías en el ejercicio de sus derechos civiles, políticos, económicos, sociales y culturales (art</w:t>
      </w:r>
      <w:r>
        <w:t>ículo</w:t>
      </w:r>
      <w:r w:rsidRPr="000609ED">
        <w:t>s 2 a 5 y 7)</w:t>
      </w:r>
    </w:p>
    <w:p w:rsidR="00DB4952" w:rsidRPr="000609ED" w:rsidRDefault="00DB4952" w:rsidP="00DB4952">
      <w:pPr>
        <w:pStyle w:val="SingleTxtG"/>
      </w:pPr>
      <w:r w:rsidRPr="000609ED">
        <w:tab/>
        <w:t>a)</w:t>
      </w:r>
      <w:r w:rsidRPr="000609ED">
        <w:tab/>
        <w:t xml:space="preserve">Datos sobre la composición étnica de la población </w:t>
      </w:r>
      <w:r>
        <w:t xml:space="preserve">en </w:t>
      </w:r>
      <w:r w:rsidRPr="000609ED">
        <w:t>el Estado parte (CERD/C/ISR/CO/13, párr. 15)</w:t>
      </w:r>
      <w:r>
        <w:t>.</w:t>
      </w:r>
    </w:p>
    <w:p w:rsidR="00DB4952" w:rsidRPr="000609ED" w:rsidRDefault="00DB4952" w:rsidP="00DB4952">
      <w:pPr>
        <w:pStyle w:val="SingleTxtG"/>
      </w:pPr>
      <w:r w:rsidRPr="000609ED">
        <w:tab/>
        <w:t>b)</w:t>
      </w:r>
      <w:r w:rsidRPr="000609ED">
        <w:tab/>
        <w:t>Medidas adoptadas para mitigar la segregación entre la población judía y las poblaciones minoritarias (en particular los ciudadanos palestinos de Israel y los beduinos) (CERD/C/ISR/CO/13, párrs. 22 y 23</w:t>
      </w:r>
      <w:r>
        <w:t xml:space="preserve"> y CERD/C/ISR/14-16, párrs. 51 a</w:t>
      </w:r>
      <w:r w:rsidRPr="000609ED">
        <w:t xml:space="preserve"> 64 y 66 a 74)</w:t>
      </w:r>
      <w:r>
        <w:t>.</w:t>
      </w:r>
    </w:p>
    <w:p w:rsidR="00DB4952" w:rsidRPr="000609ED" w:rsidRDefault="00DB4952" w:rsidP="00DB4952">
      <w:pPr>
        <w:pStyle w:val="SingleTxtG"/>
      </w:pPr>
      <w:r w:rsidRPr="000609ED">
        <w:tab/>
        <w:t>c)</w:t>
      </w:r>
      <w:r w:rsidRPr="000609ED">
        <w:tab/>
        <w:t>La noción de un Estado judío y su relación con el derecho a la nacionalidad y la entrada en Israel (CERD/C/ISR/CO/13, párrs. 17 y 20 y CERD/C/ISR/14-16, párrs. 383 a</w:t>
      </w:r>
      <w:r>
        <w:t> </w:t>
      </w:r>
      <w:r w:rsidRPr="000609ED">
        <w:t>394 y 407), y la igualdad en el derecho de retorno al propio país y en la posesión de bienes (CERD/C/ISR/CO/13, párr. 18 y CERD/C/ISR/14-16, párrs. 402 a 418)</w:t>
      </w:r>
      <w:r>
        <w:t>.</w:t>
      </w:r>
    </w:p>
    <w:p w:rsidR="00DB4952" w:rsidRPr="000609ED" w:rsidRDefault="00DB4952" w:rsidP="00DB4952">
      <w:pPr>
        <w:pStyle w:val="SingleTxtG"/>
      </w:pPr>
      <w:r w:rsidRPr="000609ED">
        <w:tab/>
        <w:t>d)</w:t>
      </w:r>
      <w:r w:rsidRPr="000609ED">
        <w:tab/>
        <w:t>Datos recientes sobre la igualdad de acceso y de uso de las tierras estatales, el derecho a la vivienda (CERD/C/ISR/14-16, párrs. 521 a 531 y 546), el derecho a cumplir el servicio militar (</w:t>
      </w:r>
      <w:r w:rsidRPr="000609ED">
        <w:rPr>
          <w:i/>
        </w:rPr>
        <w:t>ibid.</w:t>
      </w:r>
      <w:r w:rsidRPr="000609ED">
        <w:t>, párrs. 88 a 90 y 546 a</w:t>
      </w:r>
      <w:r>
        <w:t xml:space="preserve"> 549, y CERD/C/ISR/CO/13, párr. </w:t>
      </w:r>
      <w:r w:rsidRPr="000609ED">
        <w:t xml:space="preserve">21), la igualdad de acceso a la educación para todos, incluidas las minorías árabe y judía (CERD/C/ISR/CO/13, párr. 24, CERD/C/ISR/14-16, párrs. 145 y 146, 656 a 744, 671), el acceso </w:t>
      </w:r>
      <w:r>
        <w:t xml:space="preserve">a </w:t>
      </w:r>
      <w:r w:rsidRPr="000609ED">
        <w:t>la representación política, incluida la financiación de las campañas políticas (CERD/C/ISR/14-16, párrs. 314 a 324), el acceso al trabajo (</w:t>
      </w:r>
      <w:r w:rsidRPr="000609ED">
        <w:rPr>
          <w:i/>
        </w:rPr>
        <w:t>ibid.</w:t>
      </w:r>
      <w:r w:rsidRPr="000609ED">
        <w:t xml:space="preserve">, párrs. </w:t>
      </w:r>
      <w:r w:rsidRPr="00197523">
        <w:rPr>
          <w:lang w:val="en-GB"/>
        </w:rPr>
        <w:t xml:space="preserve">328 a 366, 461 a 491, 407 </w:t>
      </w:r>
      <w:r w:rsidRPr="00197523">
        <w:rPr>
          <w:i/>
          <w:lang w:val="en-GB"/>
        </w:rPr>
        <w:t>in fine</w:t>
      </w:r>
      <w:r w:rsidRPr="00197523">
        <w:rPr>
          <w:lang w:val="en-GB"/>
        </w:rPr>
        <w:t xml:space="preserve"> y CERD/C/ISR/CO/13, párr. 24). </w:t>
      </w:r>
      <w:r w:rsidRPr="000609ED">
        <w:t xml:space="preserve">El principio de no discriminación en el derecho al matrimonio, en particular entre </w:t>
      </w:r>
      <w:r>
        <w:t>contrayentes</w:t>
      </w:r>
      <w:r w:rsidRPr="000609ED">
        <w:t xml:space="preserve"> israelopalestin</w:t>
      </w:r>
      <w:r>
        <w:t>o</w:t>
      </w:r>
      <w:r w:rsidRPr="000609ED">
        <w:t>s (CERD/C/ISR/14</w:t>
      </w:r>
      <w:r>
        <w:noBreakHyphen/>
      </w:r>
      <w:r w:rsidRPr="000609ED">
        <w:t>16, párr. 395)</w:t>
      </w:r>
      <w:r>
        <w:t>.</w:t>
      </w:r>
    </w:p>
    <w:p w:rsidR="00DB4952" w:rsidRPr="000609ED" w:rsidRDefault="00DB4952" w:rsidP="00DB4952">
      <w:pPr>
        <w:pStyle w:val="SingleTxtG"/>
      </w:pPr>
      <w:r w:rsidRPr="000609ED">
        <w:tab/>
        <w:t>e)</w:t>
      </w:r>
      <w:r w:rsidRPr="000609ED">
        <w:tab/>
        <w:t xml:space="preserve">Derecho de los beduinos a la propiedad, desarrollo, control y uso de sus </w:t>
      </w:r>
      <w:r w:rsidRPr="005C200D">
        <w:rPr>
          <w:spacing w:val="-2"/>
        </w:rPr>
        <w:t>tierras, territorios y recursos comunales (CERD/C/ISR/CO/13, párr. 25, CERD/C/ISR/14</w:t>
      </w:r>
      <w:r w:rsidR="005C200D">
        <w:rPr>
          <w:spacing w:val="-2"/>
        </w:rPr>
        <w:t>-</w:t>
      </w:r>
      <w:r w:rsidRPr="005C200D">
        <w:rPr>
          <w:spacing w:val="-2"/>
        </w:rPr>
        <w:t>16,</w:t>
      </w:r>
      <w:r w:rsidRPr="000609ED">
        <w:t xml:space="preserve"> párrs. 550 a 578, 615 a 628) y acceso de los mismos a los servicios básicos (CERD/C/ISR/14-16, párrs. 369 a 374, 633 a 645, 745 a 754)</w:t>
      </w:r>
      <w:r>
        <w:t>.</w:t>
      </w:r>
    </w:p>
    <w:p w:rsidR="00DB4952" w:rsidRPr="000609ED" w:rsidRDefault="00DB4952" w:rsidP="00DB4952">
      <w:pPr>
        <w:pStyle w:val="SingleTxtG"/>
      </w:pPr>
      <w:r w:rsidRPr="000609ED">
        <w:tab/>
        <w:t>f)</w:t>
      </w:r>
      <w:r w:rsidRPr="000609ED">
        <w:tab/>
        <w:t>Derecho de los trabajadores migratorios (incluidos los trabajadores palestinos) al acceso en condiciones de igualdad a los derech</w:t>
      </w:r>
      <w:r>
        <w:t>os humanos a la luz del párrafo </w:t>
      </w:r>
      <w:r w:rsidRPr="000609ED">
        <w:t xml:space="preserve">4 de la Recomendación general Nº 30 (2004) sobre la discriminación contra los no ciudadanos (CERD/C/ISR/CO/13, párr. 26, CERD/C/ISR/14-16, párrs. 230 a 295), el proceso de concesión de asilo a </w:t>
      </w:r>
      <w:r>
        <w:t>quienes lo solicitan</w:t>
      </w:r>
      <w:r w:rsidRPr="000609ED">
        <w:t xml:space="preserve"> y a los refugiados (CERD/C/ISR/14-16, párrs. 306, 308, 451 a 457), así como la situación específica de los inmigrantes irregulares (incluidos los menores) (CERD/C/ISR/14-16, párr. 299).</w:t>
      </w:r>
    </w:p>
    <w:p w:rsidR="00DB4952" w:rsidRPr="000609ED" w:rsidRDefault="00DB4952" w:rsidP="00DB4952">
      <w:pPr>
        <w:pStyle w:val="H23G"/>
      </w:pPr>
      <w:r>
        <w:tab/>
      </w:r>
      <w:r w:rsidRPr="000609ED">
        <w:t>3.</w:t>
      </w:r>
      <w:r w:rsidRPr="000609ED">
        <w:tab/>
        <w:t>Disponibilidad de recursos en casos de discriminación racial (artículos 4 y 6)</w:t>
      </w:r>
    </w:p>
    <w:p w:rsidR="00DB4952" w:rsidRPr="000609ED" w:rsidRDefault="00DB4952" w:rsidP="00DB4952">
      <w:pPr>
        <w:pStyle w:val="SingleTxtG"/>
      </w:pPr>
      <w:r w:rsidRPr="000609ED">
        <w:tab/>
        <w:t>a)</w:t>
      </w:r>
      <w:r w:rsidRPr="000609ED">
        <w:tab/>
        <w:t>Datos recientes sobre las investigaciones y a</w:t>
      </w:r>
      <w:r>
        <w:t>ctuaciones (datos posteriores a </w:t>
      </w:r>
      <w:r w:rsidRPr="000609ED">
        <w:t xml:space="preserve">2008) relacionadas con </w:t>
      </w:r>
      <w:r>
        <w:t>las expresiones de odio</w:t>
      </w:r>
      <w:r w:rsidRPr="000609ED">
        <w:t xml:space="preserve"> y la incitación al odio racial (artículo 144 del Código Penal); y sus resultados, </w:t>
      </w:r>
      <w:r>
        <w:t xml:space="preserve">incluidas las sentencias dictadas </w:t>
      </w:r>
      <w:r w:rsidRPr="000609ED">
        <w:t>y los recursos a disposición de las víctimas (CERD/C/ISR/14-16, párrs. 166 a 170 y 173 a 175 y CERD/C/ISR/CO/13, párr. 29);</w:t>
      </w:r>
    </w:p>
    <w:p w:rsidR="00DB4952" w:rsidRPr="000609ED" w:rsidRDefault="00DB4952" w:rsidP="00DB4952">
      <w:pPr>
        <w:pStyle w:val="SingleTxtG"/>
      </w:pPr>
      <w:r w:rsidRPr="000609ED">
        <w:tab/>
        <w:t>b)</w:t>
      </w:r>
      <w:r w:rsidRPr="000609ED">
        <w:tab/>
        <w:t xml:space="preserve">Datos recientes sobre las denuncias formuladas contra las fuerzas de seguridad por la </w:t>
      </w:r>
      <w:r>
        <w:t>c</w:t>
      </w:r>
      <w:r w:rsidRPr="000609ED">
        <w:t xml:space="preserve">omisión de actos de discriminación racial, incluidas las sentencias </w:t>
      </w:r>
      <w:r>
        <w:t>dictadas</w:t>
      </w:r>
      <w:r w:rsidRPr="000609ED">
        <w:t xml:space="preserve"> y los recursos a disposición de las víctimas (CE</w:t>
      </w:r>
      <w:r>
        <w:t>RD/C/ISR/14-16, párrs. 196 a </w:t>
      </w:r>
      <w:r w:rsidRPr="000609ED">
        <w:t>211, 45 a 49 y 215 a 228 y CERD/C/ISR/CO/13, párr. 30).</w:t>
      </w:r>
    </w:p>
    <w:p w:rsidR="00DB4952" w:rsidRPr="000609ED" w:rsidRDefault="00DB4952" w:rsidP="00DB4952">
      <w:pPr>
        <w:pStyle w:val="H23G"/>
      </w:pPr>
      <w:r>
        <w:tab/>
      </w:r>
      <w:r w:rsidRPr="000609ED">
        <w:t>4.</w:t>
      </w:r>
      <w:r w:rsidRPr="000609ED">
        <w:tab/>
        <w:t xml:space="preserve">Situación de las comunidades palestinas (artículos 2, 3, 5 y 6) bajo el control </w:t>
      </w:r>
      <w:r>
        <w:br/>
        <w:t>efectivo</w:t>
      </w:r>
      <w:r w:rsidRPr="000609ED">
        <w:t xml:space="preserve"> del Estado parte </w:t>
      </w:r>
    </w:p>
    <w:p w:rsidR="00DB4952" w:rsidRPr="000609ED" w:rsidRDefault="00DB4952" w:rsidP="00DB4952">
      <w:pPr>
        <w:pStyle w:val="SingleTxtG"/>
      </w:pPr>
      <w:r w:rsidRPr="000609ED">
        <w:tab/>
        <w:t>a)</w:t>
      </w:r>
      <w:r w:rsidRPr="000609ED">
        <w:tab/>
        <w:t xml:space="preserve">Libertad de circulación en </w:t>
      </w:r>
      <w:r>
        <w:t>el territorio palestino</w:t>
      </w:r>
      <w:r w:rsidRPr="000609ED">
        <w:t xml:space="preserve"> ocupado, incluida Jerusalén Oriental, y posibilidad de visitar a los familiares detenidos en el territorio del Estado parte (CERD/C/ISR/CO/13, párrs. 33 y 34);</w:t>
      </w:r>
    </w:p>
    <w:p w:rsidR="00DB4952" w:rsidRPr="000609ED" w:rsidRDefault="00DB4952" w:rsidP="00DB4952">
      <w:pPr>
        <w:pStyle w:val="SingleTxtG"/>
      </w:pPr>
      <w:r w:rsidRPr="000609ED">
        <w:tab/>
        <w:t>b)</w:t>
      </w:r>
      <w:r w:rsidRPr="000609ED">
        <w:tab/>
        <w:t xml:space="preserve">Derecho a una vivienda adecuada y a la propiedad y acceso a la tierra (planificación y ordenación urbana) (CERD/C/ISR/14-16, párrs. 532 a 544); recursos y servicios básicos, incluidos los recursos hídricos, y medidas tomadas contra </w:t>
      </w:r>
      <w:r>
        <w:t>agentes</w:t>
      </w:r>
      <w:r w:rsidRPr="000609ED">
        <w:t xml:space="preserve"> públicos y privados que impiden ese acceso (CERD/C/ISR/CO/13, párr. 35);</w:t>
      </w:r>
    </w:p>
    <w:p w:rsidR="00DB4952" w:rsidRPr="000609ED" w:rsidRDefault="00DB4952" w:rsidP="00DB4952">
      <w:pPr>
        <w:pStyle w:val="SingleTxtG"/>
      </w:pPr>
      <w:r w:rsidRPr="000609ED">
        <w:tab/>
        <w:t>c)</w:t>
      </w:r>
      <w:r w:rsidRPr="000609ED">
        <w:tab/>
        <w:t xml:space="preserve">Derecho a la seguridad de la persona: datos recientes sobre los actos de violencia </w:t>
      </w:r>
      <w:r>
        <w:t>cometidos</w:t>
      </w:r>
      <w:r w:rsidRPr="000609ED">
        <w:t xml:space="preserve"> por los colonos judíos (CERD/C/ISR/CO/13, párr. 37) y actos de motivación racial cometidos por los militares y los funcionarios de seguridad en el territorio palestino ocupado, investigaciones criminales llevadas a cabo, sus resultados y los medios de resarcimiento de las víctimas;</w:t>
      </w:r>
    </w:p>
    <w:p w:rsidR="00DB4952" w:rsidRDefault="00DB4952" w:rsidP="00DB4952">
      <w:pPr>
        <w:pStyle w:val="SingleTxtG"/>
      </w:pPr>
      <w:r w:rsidRPr="000609ED">
        <w:tab/>
        <w:t>d)</w:t>
      </w:r>
      <w:r w:rsidRPr="000609ED">
        <w:tab/>
        <w:t>Igualdad ante la ley de las comunidades palestinas y de los colonos judíos en el territorio palestino ocupado, incluida Jerusalén Oriental.</w:t>
      </w:r>
    </w:p>
    <w:p w:rsidR="00DB4952" w:rsidRPr="00E478F3" w:rsidRDefault="00DB4952" w:rsidP="00DB4952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4952" w:rsidRPr="001075E9" w:rsidRDefault="00DB4952" w:rsidP="001075E9"/>
    <w:sectPr w:rsidR="00DB4952" w:rsidRPr="001075E9" w:rsidSect="00DB4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B3" w:rsidRDefault="004D00B3">
      <w:r>
        <w:separator/>
      </w:r>
    </w:p>
  </w:endnote>
  <w:endnote w:type="continuationSeparator" w:id="0">
    <w:p w:rsidR="004D00B3" w:rsidRDefault="004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2" w:rsidRPr="00DB4952" w:rsidRDefault="00DB4952" w:rsidP="00DB4952">
    <w:pPr>
      <w:pStyle w:val="Footer"/>
      <w:tabs>
        <w:tab w:val="right" w:pos="9638"/>
      </w:tabs>
    </w:pPr>
    <w:r w:rsidRPr="00DB4952">
      <w:rPr>
        <w:b/>
        <w:sz w:val="18"/>
      </w:rPr>
      <w:fldChar w:fldCharType="begin"/>
    </w:r>
    <w:r w:rsidRPr="00DB4952">
      <w:rPr>
        <w:b/>
        <w:sz w:val="18"/>
      </w:rPr>
      <w:instrText xml:space="preserve"> PAGE  \* MERGEFORMAT </w:instrText>
    </w:r>
    <w:r w:rsidRPr="00DB4952">
      <w:rPr>
        <w:b/>
        <w:sz w:val="18"/>
      </w:rPr>
      <w:fldChar w:fldCharType="separate"/>
    </w:r>
    <w:r w:rsidR="00505966">
      <w:rPr>
        <w:b/>
        <w:noProof/>
        <w:sz w:val="18"/>
      </w:rPr>
      <w:t>2</w:t>
    </w:r>
    <w:r w:rsidRPr="00DB4952">
      <w:rPr>
        <w:b/>
        <w:sz w:val="18"/>
      </w:rPr>
      <w:fldChar w:fldCharType="end"/>
    </w:r>
    <w:r>
      <w:rPr>
        <w:b/>
        <w:sz w:val="18"/>
      </w:rPr>
      <w:tab/>
    </w:r>
    <w:r>
      <w:t>GE.12-40577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2" w:rsidRPr="00DB4952" w:rsidRDefault="00DB4952" w:rsidP="00DB4952">
    <w:pPr>
      <w:pStyle w:val="Footer"/>
      <w:tabs>
        <w:tab w:val="right" w:pos="9638"/>
      </w:tabs>
      <w:rPr>
        <w:b/>
        <w:sz w:val="18"/>
      </w:rPr>
    </w:pPr>
    <w:r>
      <w:t>GE.12-40577</w:t>
    </w:r>
    <w:r>
      <w:tab/>
    </w:r>
    <w:r w:rsidRPr="00DB4952">
      <w:rPr>
        <w:b/>
        <w:sz w:val="18"/>
      </w:rPr>
      <w:fldChar w:fldCharType="begin"/>
    </w:r>
    <w:r w:rsidRPr="00DB4952">
      <w:rPr>
        <w:b/>
        <w:sz w:val="18"/>
      </w:rPr>
      <w:instrText xml:space="preserve"> PAGE  \* MERGEFORMAT </w:instrText>
    </w:r>
    <w:r w:rsidRPr="00DB4952">
      <w:rPr>
        <w:b/>
        <w:sz w:val="18"/>
      </w:rPr>
      <w:fldChar w:fldCharType="separate"/>
    </w:r>
    <w:r w:rsidR="00505966">
      <w:rPr>
        <w:b/>
        <w:noProof/>
        <w:sz w:val="18"/>
      </w:rPr>
      <w:t>3</w:t>
    </w:r>
    <w:r w:rsidRPr="00DB49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38" w:rsidRPr="00DB4952" w:rsidRDefault="00DB4952">
    <w:pPr>
      <w:pStyle w:val="Footer"/>
      <w:rPr>
        <w:sz w:val="20"/>
      </w:rPr>
    </w:pPr>
    <w:r>
      <w:rPr>
        <w:sz w:val="20"/>
      </w:rPr>
      <w:t>GE.</w:t>
    </w:r>
    <w:r w:rsidR="008F5D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>12-40577  (S)</w:t>
    </w:r>
    <w:r w:rsidR="001647D8">
      <w:rPr>
        <w:sz w:val="20"/>
      </w:rPr>
      <w:t xml:space="preserve">    150212    280212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B3" w:rsidRPr="001075E9" w:rsidRDefault="004D00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00B3" w:rsidRDefault="004D00B3">
      <w:r>
        <w:continuationSeparator/>
      </w:r>
    </w:p>
  </w:footnote>
  <w:footnote w:id="1">
    <w:p w:rsidR="00DB4952" w:rsidRPr="00A85055" w:rsidRDefault="00DB4952" w:rsidP="00DB4952">
      <w:pPr>
        <w:pStyle w:val="FootnoteText"/>
        <w:rPr>
          <w:sz w:val="20"/>
        </w:rPr>
      </w:pPr>
      <w:r>
        <w:tab/>
      </w:r>
      <w:r w:rsidRPr="00574CBC">
        <w:rPr>
          <w:rStyle w:val="FootnoteReference"/>
          <w:sz w:val="20"/>
          <w:vertAlign w:val="baseline"/>
        </w:rPr>
        <w:t>*</w:t>
      </w:r>
      <w:r w:rsidRPr="00574CBC">
        <w:tab/>
      </w:r>
      <w:r>
        <w:t xml:space="preserve">Documento </w:t>
      </w:r>
      <w:r w:rsidRPr="00EF1E39">
        <w:t>presentado</w:t>
      </w:r>
      <w:r>
        <w:t xml:space="preserve"> con retraso.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2" w:rsidRPr="00DB4952" w:rsidRDefault="00DB4952">
    <w:pPr>
      <w:pStyle w:val="Header"/>
    </w:pPr>
    <w:r>
      <w:t>CERD/C/</w:t>
    </w:r>
    <w:r w:rsidR="00272CE0">
      <w:t>I</w:t>
    </w:r>
    <w:r>
      <w:t>SR/Q/14-16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2" w:rsidRPr="00DB4952" w:rsidRDefault="00DB4952" w:rsidP="00DB4952">
    <w:pPr>
      <w:pStyle w:val="Header"/>
      <w:jc w:val="right"/>
    </w:pPr>
    <w:r>
      <w:t>CERD/C/</w:t>
    </w:r>
    <w:r w:rsidR="00272CE0">
      <w:t>I</w:t>
    </w:r>
    <w:r>
      <w:t>SR/Q/14-16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E0" w:rsidRDefault="00272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D38"/>
    <w:rsid w:val="00006BB9"/>
    <w:rsid w:val="000107A1"/>
    <w:rsid w:val="0002339D"/>
    <w:rsid w:val="00036733"/>
    <w:rsid w:val="000B57E7"/>
    <w:rsid w:val="000F09DF"/>
    <w:rsid w:val="000F61B2"/>
    <w:rsid w:val="001075E9"/>
    <w:rsid w:val="00145F2F"/>
    <w:rsid w:val="00160FF7"/>
    <w:rsid w:val="001647D8"/>
    <w:rsid w:val="00180183"/>
    <w:rsid w:val="00196389"/>
    <w:rsid w:val="001C7A89"/>
    <w:rsid w:val="001D0E3A"/>
    <w:rsid w:val="00201F1A"/>
    <w:rsid w:val="002433EC"/>
    <w:rsid w:val="0025226E"/>
    <w:rsid w:val="00272CE0"/>
    <w:rsid w:val="002A244D"/>
    <w:rsid w:val="002A2EFC"/>
    <w:rsid w:val="002C0E18"/>
    <w:rsid w:val="002C33BB"/>
    <w:rsid w:val="002D5AAC"/>
    <w:rsid w:val="00301299"/>
    <w:rsid w:val="00322004"/>
    <w:rsid w:val="00335E85"/>
    <w:rsid w:val="003402C2"/>
    <w:rsid w:val="00381C24"/>
    <w:rsid w:val="003958D0"/>
    <w:rsid w:val="004031F0"/>
    <w:rsid w:val="00454E07"/>
    <w:rsid w:val="00471CB3"/>
    <w:rsid w:val="004D00B3"/>
    <w:rsid w:val="004F4D0C"/>
    <w:rsid w:val="0050108D"/>
    <w:rsid w:val="00505966"/>
    <w:rsid w:val="0051740C"/>
    <w:rsid w:val="00572E19"/>
    <w:rsid w:val="005C200D"/>
    <w:rsid w:val="005F0B42"/>
    <w:rsid w:val="00625AF3"/>
    <w:rsid w:val="00634841"/>
    <w:rsid w:val="00655A21"/>
    <w:rsid w:val="006725B3"/>
    <w:rsid w:val="006808A9"/>
    <w:rsid w:val="006D631C"/>
    <w:rsid w:val="006F35EE"/>
    <w:rsid w:val="007021FF"/>
    <w:rsid w:val="007076CB"/>
    <w:rsid w:val="007967DF"/>
    <w:rsid w:val="00834B71"/>
    <w:rsid w:val="0086445C"/>
    <w:rsid w:val="00865FAC"/>
    <w:rsid w:val="008728CD"/>
    <w:rsid w:val="008A08D7"/>
    <w:rsid w:val="008A13F9"/>
    <w:rsid w:val="008C0F65"/>
    <w:rsid w:val="008F5D38"/>
    <w:rsid w:val="00906890"/>
    <w:rsid w:val="00951972"/>
    <w:rsid w:val="00954E65"/>
    <w:rsid w:val="00976428"/>
    <w:rsid w:val="00A17DFD"/>
    <w:rsid w:val="00A30726"/>
    <w:rsid w:val="00A4674B"/>
    <w:rsid w:val="00A917B3"/>
    <w:rsid w:val="00AB4B51"/>
    <w:rsid w:val="00B066FC"/>
    <w:rsid w:val="00B10CC7"/>
    <w:rsid w:val="00B62458"/>
    <w:rsid w:val="00B65A79"/>
    <w:rsid w:val="00B778C8"/>
    <w:rsid w:val="00BB36EA"/>
    <w:rsid w:val="00BD33EE"/>
    <w:rsid w:val="00BE5392"/>
    <w:rsid w:val="00C47CED"/>
    <w:rsid w:val="00C60F0C"/>
    <w:rsid w:val="00C63C2A"/>
    <w:rsid w:val="00C805C9"/>
    <w:rsid w:val="00CA1679"/>
    <w:rsid w:val="00D05347"/>
    <w:rsid w:val="00D90138"/>
    <w:rsid w:val="00DB4952"/>
    <w:rsid w:val="00E73F76"/>
    <w:rsid w:val="00EA31D8"/>
    <w:rsid w:val="00EA5579"/>
    <w:rsid w:val="00EF1360"/>
    <w:rsid w:val="00EF3220"/>
    <w:rsid w:val="00EF7198"/>
    <w:rsid w:val="00F4188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semiHidden/>
    <w:rsid w:val="00EA31D8"/>
    <w:rPr>
      <w:i/>
      <w:iCs/>
    </w:rPr>
  </w:style>
  <w:style w:type="character" w:styleId="HTMLCode">
    <w:name w:val="HTML Code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semiHidden/>
    <w:rsid w:val="00EA31D8"/>
    <w:rPr>
      <w:color w:val="0000FF"/>
      <w:u w:val="single"/>
    </w:rPr>
  </w:style>
  <w:style w:type="character" w:styleId="FollowedHyperlink">
    <w:name w:val="FollowedHyperlink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3</Pages>
  <Words>943</Words>
  <Characters>5191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CERD/C/ISR/Q/14-16</vt:lpstr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CERD/C/ISR/Q/14-16</dc:title>
  <dc:subject>12-40577 FINAL</dc:subject>
  <dc:creator>Luz Zapata</dc:creator>
  <cp:keywords/>
  <dc:description/>
  <cp:lastModifiedBy>Maruchi Zeballos</cp:lastModifiedBy>
  <cp:revision>2</cp:revision>
  <cp:lastPrinted>2012-02-28T13:11:00Z</cp:lastPrinted>
  <dcterms:created xsi:type="dcterms:W3CDTF">2012-02-28T14:13:00Z</dcterms:created>
  <dcterms:modified xsi:type="dcterms:W3CDTF">2012-02-28T14:13:00Z</dcterms:modified>
</cp:coreProperties>
</file>