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70A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70AAC" w:rsidP="00670AAC">
            <w:pPr>
              <w:jc w:val="right"/>
            </w:pPr>
            <w:r w:rsidRPr="00670AAC">
              <w:rPr>
                <w:sz w:val="40"/>
              </w:rPr>
              <w:t>CERD</w:t>
            </w:r>
            <w:r>
              <w:t>/C/DZA/CO/20-21</w:t>
            </w:r>
          </w:p>
        </w:tc>
      </w:tr>
      <w:tr w:rsidR="002D5AAC" w:rsidRPr="00670AAC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3BDCC56" wp14:editId="0354E8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70AAC" w:rsidRDefault="00670AAC" w:rsidP="008D2AAD">
            <w:pPr>
              <w:spacing w:before="240"/>
              <w:rPr>
                <w:lang w:val="en-US"/>
              </w:rPr>
            </w:pPr>
            <w:r w:rsidRPr="00670AAC">
              <w:rPr>
                <w:lang w:val="en-US"/>
              </w:rPr>
              <w:t>Distr.: General</w:t>
            </w:r>
          </w:p>
          <w:p w:rsidR="00670AAC" w:rsidRPr="00670AAC" w:rsidRDefault="00670AAC" w:rsidP="00670AAC">
            <w:pPr>
              <w:spacing w:line="240" w:lineRule="exact"/>
              <w:rPr>
                <w:lang w:val="en-US"/>
              </w:rPr>
            </w:pPr>
            <w:r w:rsidRPr="00670AAC">
              <w:rPr>
                <w:lang w:val="en-US"/>
              </w:rPr>
              <w:t>21 December 2017</w:t>
            </w:r>
          </w:p>
          <w:p w:rsidR="00670AAC" w:rsidRPr="00670AAC" w:rsidRDefault="00670AAC" w:rsidP="00670AAC">
            <w:pPr>
              <w:spacing w:line="240" w:lineRule="exact"/>
              <w:rPr>
                <w:lang w:val="en-US"/>
              </w:rPr>
            </w:pPr>
            <w:r w:rsidRPr="00670AAC">
              <w:rPr>
                <w:lang w:val="en-US"/>
              </w:rPr>
              <w:t>Russian</w:t>
            </w:r>
          </w:p>
          <w:p w:rsidR="00670AAC" w:rsidRPr="00670AAC" w:rsidRDefault="00670AAC" w:rsidP="00670AAC">
            <w:pPr>
              <w:spacing w:line="240" w:lineRule="exact"/>
              <w:rPr>
                <w:lang w:val="en-US"/>
              </w:rPr>
            </w:pPr>
            <w:r w:rsidRPr="00670AAC">
              <w:rPr>
                <w:lang w:val="en-US"/>
              </w:rPr>
              <w:t>Original: French</w:t>
            </w:r>
          </w:p>
        </w:tc>
      </w:tr>
    </w:tbl>
    <w:p w:rsidR="00651DFA" w:rsidRPr="00651DFA" w:rsidRDefault="00651DFA" w:rsidP="00651DFA">
      <w:pPr>
        <w:spacing w:before="120"/>
        <w:rPr>
          <w:b/>
          <w:bCs/>
          <w:sz w:val="24"/>
          <w:szCs w:val="24"/>
        </w:rPr>
      </w:pPr>
      <w:r w:rsidRPr="00651DFA">
        <w:rPr>
          <w:b/>
          <w:bCs/>
          <w:sz w:val="24"/>
          <w:szCs w:val="24"/>
        </w:rPr>
        <w:t>Комитет по ликвидации расовой дискриминации</w:t>
      </w:r>
    </w:p>
    <w:p w:rsidR="00651DFA" w:rsidRPr="00E344AD" w:rsidRDefault="00651DFA" w:rsidP="00E344AD">
      <w:pPr>
        <w:pStyle w:val="HChGR"/>
        <w:rPr>
          <w:lang w:val="en-US"/>
        </w:rPr>
      </w:pPr>
      <w:r w:rsidRPr="00651DFA">
        <w:tab/>
      </w:r>
      <w:r w:rsidRPr="00651DFA">
        <w:tab/>
        <w:t>Заключительные замечания по объединенным двадцатому и двадцать первому периодическим докладам Алжира</w:t>
      </w:r>
      <w:r w:rsidR="00E344AD" w:rsidRPr="00E344A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651DFA" w:rsidRPr="00651DFA" w:rsidRDefault="00651DFA" w:rsidP="00651DFA">
      <w:pPr>
        <w:pStyle w:val="SingleTxtGR"/>
      </w:pPr>
      <w:r w:rsidRPr="00651DFA">
        <w:t>1.</w:t>
      </w:r>
      <w:r w:rsidRPr="00651DFA">
        <w:tab/>
        <w:t>Комитет рассмотрел объединенные двадцатый и двадцать первый пери</w:t>
      </w:r>
      <w:r w:rsidRPr="00651DFA">
        <w:t>о</w:t>
      </w:r>
      <w:r w:rsidRPr="00651DFA">
        <w:t>дические доклады (</w:t>
      </w:r>
      <w:r w:rsidRPr="00651DFA">
        <w:rPr>
          <w:lang w:val="fr-CH"/>
        </w:rPr>
        <w:t>CERD</w:t>
      </w:r>
      <w:r w:rsidRPr="00651DFA">
        <w:t>/</w:t>
      </w:r>
      <w:r w:rsidRPr="00651DFA">
        <w:rPr>
          <w:lang w:val="fr-CH"/>
        </w:rPr>
        <w:t>C</w:t>
      </w:r>
      <w:r w:rsidRPr="00651DFA">
        <w:t>/</w:t>
      </w:r>
      <w:r w:rsidRPr="00651DFA">
        <w:rPr>
          <w:lang w:val="fr-CH"/>
        </w:rPr>
        <w:t>DZA</w:t>
      </w:r>
      <w:r w:rsidRPr="00651DFA">
        <w:t xml:space="preserve">/20-21) на своих 2590-м и 2591-м заседаниях (см. </w:t>
      </w:r>
      <w:r w:rsidRPr="00651DFA">
        <w:rPr>
          <w:lang w:val="fr-CH"/>
        </w:rPr>
        <w:t>CERD</w:t>
      </w:r>
      <w:r w:rsidRPr="00651DFA">
        <w:t>/</w:t>
      </w:r>
      <w:r w:rsidRPr="00651DFA">
        <w:rPr>
          <w:lang w:val="fr-CH"/>
        </w:rPr>
        <w:t>C</w:t>
      </w:r>
      <w:r w:rsidRPr="00651DFA">
        <w:t>/</w:t>
      </w:r>
      <w:r w:rsidRPr="00651DFA">
        <w:rPr>
          <w:lang w:val="fr-CH"/>
        </w:rPr>
        <w:t>SR</w:t>
      </w:r>
      <w:r w:rsidRPr="00651DFA">
        <w:t>.2590 и 2591) 22 и 23 ноября 2017 года. На своем 2606-м зас</w:t>
      </w:r>
      <w:r w:rsidRPr="00651DFA">
        <w:t>е</w:t>
      </w:r>
      <w:r w:rsidRPr="00651DFA">
        <w:t>дании, состоявшемся 4 и 5 декабря 2017 года, он принял настоящие заключ</w:t>
      </w:r>
      <w:r w:rsidRPr="00651DFA">
        <w:t>и</w:t>
      </w:r>
      <w:r w:rsidRPr="00651DFA">
        <w:t>тельные замечания.</w:t>
      </w:r>
    </w:p>
    <w:p w:rsidR="00651DFA" w:rsidRPr="00651DFA" w:rsidRDefault="00651DFA" w:rsidP="00E344AD">
      <w:pPr>
        <w:pStyle w:val="H1GR"/>
      </w:pPr>
      <w:r w:rsidRPr="00651DFA">
        <w:tab/>
      </w:r>
      <w:r w:rsidRPr="00651DFA">
        <w:rPr>
          <w:lang w:val="fr-CH"/>
        </w:rPr>
        <w:t>A</w:t>
      </w:r>
      <w:r w:rsidRPr="00651DFA">
        <w:t>.</w:t>
      </w:r>
      <w:r w:rsidRPr="00651DFA">
        <w:tab/>
        <w:t>Введение</w:t>
      </w:r>
    </w:p>
    <w:p w:rsidR="00651DFA" w:rsidRPr="00651DFA" w:rsidRDefault="00651DFA" w:rsidP="00651DFA">
      <w:pPr>
        <w:pStyle w:val="SingleTxtGR"/>
      </w:pPr>
      <w:r w:rsidRPr="00651DFA">
        <w:t>2.</w:t>
      </w:r>
      <w:r w:rsidRPr="00651DFA">
        <w:tab/>
        <w:t>Комитет с удовлетворением отмечает представление объединенных дв</w:t>
      </w:r>
      <w:r w:rsidRPr="00651DFA">
        <w:t>а</w:t>
      </w:r>
      <w:r w:rsidRPr="00651DFA">
        <w:t>дцатого и двадцать первого периодических докладов государства-участника в соответствии с руководящими принципами подготовки докладов по Конвенции (</w:t>
      </w:r>
      <w:r w:rsidRPr="00651DFA">
        <w:rPr>
          <w:lang w:val="fr-FR"/>
        </w:rPr>
        <w:t>CERD</w:t>
      </w:r>
      <w:r w:rsidRPr="00651DFA">
        <w:t>/</w:t>
      </w:r>
      <w:r w:rsidRPr="00651DFA">
        <w:rPr>
          <w:lang w:val="fr-FR"/>
        </w:rPr>
        <w:t>C</w:t>
      </w:r>
      <w:r w:rsidRPr="00651DFA">
        <w:t>/2007/1). Он высоко оценивает состоявшийся откровенный и констру</w:t>
      </w:r>
      <w:r w:rsidRPr="00651DFA">
        <w:t>к</w:t>
      </w:r>
      <w:r w:rsidRPr="00651DFA">
        <w:t>тивный диалог с делегацией государства-участника и выражает ей признател</w:t>
      </w:r>
      <w:r w:rsidRPr="00651DFA">
        <w:t>ь</w:t>
      </w:r>
      <w:r w:rsidRPr="00651DFA">
        <w:t>ность за устную информацию, а также за представленную дополнительную письменную информацию.</w:t>
      </w:r>
    </w:p>
    <w:p w:rsidR="00651DFA" w:rsidRPr="00651DFA" w:rsidRDefault="00651DFA" w:rsidP="00E344AD">
      <w:pPr>
        <w:pStyle w:val="H1GR"/>
      </w:pPr>
      <w:r w:rsidRPr="00651DFA">
        <w:tab/>
      </w:r>
      <w:r w:rsidRPr="00651DFA">
        <w:rPr>
          <w:lang w:val="fr-CH"/>
        </w:rPr>
        <w:t>B</w:t>
      </w:r>
      <w:r w:rsidRPr="00651DFA">
        <w:t>.</w:t>
      </w:r>
      <w:r w:rsidRPr="00651DFA">
        <w:tab/>
        <w:t>Позитивные меры</w:t>
      </w:r>
    </w:p>
    <w:p w:rsidR="00651DFA" w:rsidRPr="00651DFA" w:rsidRDefault="00651DFA" w:rsidP="00651DFA">
      <w:pPr>
        <w:pStyle w:val="SingleTxtGR"/>
      </w:pPr>
      <w:r w:rsidRPr="00651DFA">
        <w:t>3.</w:t>
      </w:r>
      <w:r w:rsidRPr="00651DFA">
        <w:tab/>
        <w:t>Комитет приветствует принятие государством-участником следующих з</w:t>
      </w:r>
      <w:r w:rsidRPr="00651DFA">
        <w:t>а</w:t>
      </w:r>
      <w:r w:rsidRPr="00651DFA">
        <w:t>конодательных и политических мер, способствующих осуществлению Конве</w:t>
      </w:r>
      <w:r w:rsidRPr="00651DFA">
        <w:t>н</w:t>
      </w:r>
      <w:r w:rsidRPr="00651DFA">
        <w:t>ции:</w:t>
      </w:r>
    </w:p>
    <w:p w:rsidR="00651DFA" w:rsidRPr="00651DFA" w:rsidRDefault="00E344AD" w:rsidP="00651DFA">
      <w:pPr>
        <w:pStyle w:val="SingleTxtGR"/>
      </w:pPr>
      <w:r>
        <w:rPr>
          <w:lang w:val="fr-CH"/>
        </w:rPr>
        <w:tab/>
      </w:r>
      <w:r w:rsidR="00651DFA" w:rsidRPr="00651DFA">
        <w:rPr>
          <w:lang w:val="fr-CH"/>
        </w:rPr>
        <w:t>a</w:t>
      </w:r>
      <w:r w:rsidR="00651DFA" w:rsidRPr="00651DFA">
        <w:t>)</w:t>
      </w:r>
      <w:r w:rsidR="00651DFA" w:rsidRPr="00651DFA">
        <w:tab/>
        <w:t>создание Национального совета по правам человека в соответствии с ко</w:t>
      </w:r>
      <w:r w:rsidR="00651DFA" w:rsidRPr="00651DFA">
        <w:t>н</w:t>
      </w:r>
      <w:r w:rsidR="00651DFA" w:rsidRPr="00651DFA">
        <w:t>ституционной поправкой, принятой в марте 2016 года;</w:t>
      </w:r>
    </w:p>
    <w:p w:rsidR="00651DFA" w:rsidRPr="00651DFA" w:rsidRDefault="00E344AD" w:rsidP="00651DFA">
      <w:pPr>
        <w:pStyle w:val="SingleTxtGR"/>
      </w:pPr>
      <w:r>
        <w:rPr>
          <w:lang w:val="fr-CH"/>
        </w:rPr>
        <w:tab/>
      </w:r>
      <w:r w:rsidR="00651DFA" w:rsidRPr="00651DFA">
        <w:rPr>
          <w:lang w:val="fr-CH"/>
        </w:rPr>
        <w:t>b</w:t>
      </w:r>
      <w:r w:rsidR="00651DFA" w:rsidRPr="00651DFA">
        <w:t>)</w:t>
      </w:r>
      <w:r w:rsidR="00651DFA" w:rsidRPr="00651DFA">
        <w:tab/>
        <w:t xml:space="preserve">признание берберского языка </w:t>
      </w:r>
      <w:proofErr w:type="spellStart"/>
      <w:r w:rsidR="00651DFA" w:rsidRPr="00651DFA">
        <w:t>тамазиг</w:t>
      </w:r>
      <w:proofErr w:type="spellEnd"/>
      <w:r w:rsidR="00651DFA" w:rsidRPr="00651DFA">
        <w:t xml:space="preserve"> в качестве официального государственного языка, в 2016 году.</w:t>
      </w:r>
    </w:p>
    <w:p w:rsidR="00651DFA" w:rsidRPr="00651DFA" w:rsidRDefault="00651DFA" w:rsidP="00651DFA">
      <w:pPr>
        <w:pStyle w:val="SingleTxtGR"/>
      </w:pPr>
      <w:r w:rsidRPr="00651DFA">
        <w:t>4.</w:t>
      </w:r>
      <w:r w:rsidRPr="00651DFA">
        <w:tab/>
        <w:t>Комитет с удовлетворением отмечает ратификацию государством-участником Протокола к Африканской хартии прав человека и народов, каса</w:t>
      </w:r>
      <w:r w:rsidRPr="00651DFA">
        <w:t>ю</w:t>
      </w:r>
      <w:r w:rsidRPr="00651DFA">
        <w:t>щегося прав женщин в Африке, в сентябре 2016 года.</w:t>
      </w:r>
    </w:p>
    <w:p w:rsidR="00651DFA" w:rsidRPr="00651DFA" w:rsidRDefault="00651DFA" w:rsidP="00E344AD">
      <w:pPr>
        <w:pStyle w:val="H1GR"/>
      </w:pPr>
      <w:r w:rsidRPr="00651DFA">
        <w:lastRenderedPageBreak/>
        <w:tab/>
      </w:r>
      <w:r w:rsidRPr="00651DFA">
        <w:rPr>
          <w:lang w:val="fr-CH"/>
        </w:rPr>
        <w:t>C</w:t>
      </w:r>
      <w:r w:rsidRPr="00651DFA">
        <w:t>.</w:t>
      </w:r>
      <w:r w:rsidRPr="00651DFA">
        <w:tab/>
        <w:t>Вопросы, вызывающие озабоченность, и рекомендации</w:t>
      </w:r>
    </w:p>
    <w:p w:rsidR="00651DFA" w:rsidRPr="00651DFA" w:rsidRDefault="00651DFA" w:rsidP="00E344AD">
      <w:pPr>
        <w:pStyle w:val="H23GR"/>
      </w:pPr>
      <w:r w:rsidRPr="00651DFA">
        <w:tab/>
      </w:r>
      <w:r w:rsidRPr="00651DFA">
        <w:tab/>
        <w:t>Представление данных</w:t>
      </w:r>
    </w:p>
    <w:p w:rsidR="00651DFA" w:rsidRPr="00651DFA" w:rsidRDefault="00651DFA" w:rsidP="00E344AD">
      <w:pPr>
        <w:pStyle w:val="SingleTxtGR"/>
        <w:spacing w:line="230" w:lineRule="atLeast"/>
      </w:pPr>
      <w:r w:rsidRPr="00651DFA">
        <w:t>5.</w:t>
      </w:r>
      <w:r w:rsidRPr="00651DFA">
        <w:tab/>
        <w:t xml:space="preserve">Комитет принимает к сведению приведенные государством-участником причины, не позволяющие ему собирать данные об этнической принадлежности лиц, входящих в состав его населения. Тем не </w:t>
      </w:r>
      <w:proofErr w:type="gramStart"/>
      <w:r w:rsidRPr="00651DFA">
        <w:t>менее</w:t>
      </w:r>
      <w:proofErr w:type="gramEnd"/>
      <w:r w:rsidRPr="00651DFA">
        <w:t xml:space="preserve"> он выражает сожаление по поводу отсутствия в докладе государства-участника статистических и социал</w:t>
      </w:r>
      <w:r w:rsidRPr="00651DFA">
        <w:t>ь</w:t>
      </w:r>
      <w:r w:rsidRPr="00651DFA">
        <w:t xml:space="preserve">но-экономических данных об этнических группах страны, а также о </w:t>
      </w:r>
      <w:proofErr w:type="spellStart"/>
      <w:r w:rsidRPr="00651DFA">
        <w:t>негражд</w:t>
      </w:r>
      <w:r w:rsidRPr="00651DFA">
        <w:t>а</w:t>
      </w:r>
      <w:r w:rsidRPr="00651DFA">
        <w:t>нах</w:t>
      </w:r>
      <w:proofErr w:type="spellEnd"/>
      <w:r w:rsidRPr="00651DFA">
        <w:t>, в частности о проживающих на ее территории выходцах из стран к югу от Сахары (статья 1).</w:t>
      </w:r>
    </w:p>
    <w:p w:rsidR="00651DFA" w:rsidRPr="00651DFA" w:rsidRDefault="00651DFA" w:rsidP="00E344AD">
      <w:pPr>
        <w:pStyle w:val="SingleTxtGR"/>
        <w:spacing w:line="230" w:lineRule="atLeast"/>
        <w:rPr>
          <w:b/>
          <w:bCs/>
        </w:rPr>
      </w:pPr>
      <w:r w:rsidRPr="00651DFA">
        <w:rPr>
          <w:bCs/>
        </w:rPr>
        <w:t>6.</w:t>
      </w:r>
      <w:r w:rsidRPr="00651DFA">
        <w:rPr>
          <w:bCs/>
        </w:rPr>
        <w:tab/>
      </w:r>
      <w:proofErr w:type="gramStart"/>
      <w:r w:rsidRPr="00651DFA">
        <w:rPr>
          <w:b/>
          <w:bCs/>
        </w:rPr>
        <w:t xml:space="preserve">Комитет повторяет свою рекомендацию, вынесенную государству-участнику в его предыдущих заключительных замечаниях (см. </w:t>
      </w:r>
      <w:r w:rsidRPr="00651DFA">
        <w:rPr>
          <w:b/>
          <w:bCs/>
          <w:lang w:val="fr-CH"/>
        </w:rPr>
        <w:t>CERD</w:t>
      </w:r>
      <w:r w:rsidRPr="00651DFA">
        <w:rPr>
          <w:b/>
          <w:bCs/>
        </w:rPr>
        <w:t>/</w:t>
      </w:r>
      <w:r w:rsidRPr="00651DFA">
        <w:rPr>
          <w:b/>
          <w:bCs/>
          <w:lang w:val="fr-CH"/>
        </w:rPr>
        <w:t>C</w:t>
      </w:r>
      <w:r w:rsidRPr="00651DFA">
        <w:rPr>
          <w:b/>
          <w:bCs/>
        </w:rPr>
        <w:t>/</w:t>
      </w:r>
      <w:r w:rsidR="00E344AD" w:rsidRPr="00E344AD">
        <w:rPr>
          <w:b/>
          <w:bCs/>
        </w:rPr>
        <w:br/>
      </w:r>
      <w:r w:rsidRPr="00651DFA">
        <w:rPr>
          <w:b/>
          <w:bCs/>
          <w:lang w:val="fr-CH"/>
        </w:rPr>
        <w:t>DZA</w:t>
      </w:r>
      <w:r w:rsidRPr="00651DFA">
        <w:rPr>
          <w:b/>
          <w:bCs/>
        </w:rPr>
        <w:t>/</w:t>
      </w:r>
      <w:r w:rsidRPr="00651DFA">
        <w:rPr>
          <w:b/>
          <w:bCs/>
          <w:lang w:val="fr-CH"/>
        </w:rPr>
        <w:t>CO</w:t>
      </w:r>
      <w:r w:rsidRPr="00651DFA">
        <w:rPr>
          <w:b/>
          <w:bCs/>
        </w:rPr>
        <w:t xml:space="preserve">/15-19, пункт 10), предоставлять все соответствующие сведения социально-экономического и культурного характера и информацию об условиях жизни различных групп населения страны, а также </w:t>
      </w:r>
      <w:proofErr w:type="spellStart"/>
      <w:r w:rsidRPr="00651DFA">
        <w:rPr>
          <w:b/>
          <w:bCs/>
        </w:rPr>
        <w:t>н</w:t>
      </w:r>
      <w:r w:rsidRPr="00651DFA">
        <w:rPr>
          <w:b/>
          <w:bCs/>
        </w:rPr>
        <w:t>е</w:t>
      </w:r>
      <w:r w:rsidRPr="00651DFA">
        <w:rPr>
          <w:b/>
          <w:bCs/>
        </w:rPr>
        <w:t>граждан</w:t>
      </w:r>
      <w:proofErr w:type="spellEnd"/>
      <w:r w:rsidRPr="00651DFA">
        <w:rPr>
          <w:b/>
          <w:bCs/>
        </w:rPr>
        <w:t>, в частности выходцев из стран к югу от Сахары, проживающих на его те</w:t>
      </w:r>
      <w:r w:rsidRPr="00651DFA">
        <w:rPr>
          <w:b/>
          <w:bCs/>
        </w:rPr>
        <w:t>р</w:t>
      </w:r>
      <w:r w:rsidRPr="00651DFA">
        <w:rPr>
          <w:b/>
          <w:bCs/>
        </w:rPr>
        <w:t>ритории, в разбивке по полу, цвету кожи, происхождению или</w:t>
      </w:r>
      <w:proofErr w:type="gramEnd"/>
      <w:r w:rsidRPr="00651DFA">
        <w:rPr>
          <w:b/>
          <w:bCs/>
        </w:rPr>
        <w:t xml:space="preserve"> национал</w:t>
      </w:r>
      <w:r w:rsidRPr="00651DFA">
        <w:rPr>
          <w:b/>
          <w:bCs/>
        </w:rPr>
        <w:t>ь</w:t>
      </w:r>
      <w:r w:rsidRPr="00651DFA">
        <w:rPr>
          <w:b/>
          <w:bCs/>
        </w:rPr>
        <w:t>ной или этнической принадлежности, с тем чтобы Комитет мог оценить, в какой степени эти группы пользуются своими правами в соответствии с Конвенцией, наравне с остальным населением, и что госуда</w:t>
      </w:r>
      <w:r w:rsidRPr="00651DFA">
        <w:rPr>
          <w:b/>
          <w:bCs/>
        </w:rPr>
        <w:t>р</w:t>
      </w:r>
      <w:r w:rsidRPr="00651DFA">
        <w:rPr>
          <w:b/>
          <w:bCs/>
        </w:rPr>
        <w:t>ство-участник может принимать необходимые меры для предотвращения дискриминации по признаку национального или этнического происхождения, цвета кожи или происхождения.</w:t>
      </w:r>
    </w:p>
    <w:p w:rsidR="00651DFA" w:rsidRPr="00651DFA" w:rsidRDefault="00651DFA" w:rsidP="00E344AD">
      <w:pPr>
        <w:pStyle w:val="H23GR"/>
      </w:pPr>
      <w:r w:rsidRPr="00651DFA">
        <w:tab/>
      </w:r>
      <w:r w:rsidRPr="00651DFA">
        <w:tab/>
        <w:t>Определение расовой дискриминации</w:t>
      </w:r>
    </w:p>
    <w:p w:rsidR="00651DFA" w:rsidRPr="00651DFA" w:rsidRDefault="00651DFA" w:rsidP="002F63EB">
      <w:pPr>
        <w:pStyle w:val="SingleTxtGR"/>
        <w:spacing w:line="230" w:lineRule="atLeast"/>
      </w:pPr>
      <w:r w:rsidRPr="00651DFA">
        <w:t>7.</w:t>
      </w:r>
      <w:r w:rsidRPr="00651DFA">
        <w:tab/>
        <w:t>Комитет отмечает, что содержащееся в статье 295</w:t>
      </w:r>
      <w:r w:rsidR="002F63EB">
        <w:t>-бис</w:t>
      </w:r>
      <w:r w:rsidRPr="00651DFA">
        <w:rPr>
          <w:lang w:val="fr-CH"/>
        </w:rPr>
        <w:t> </w:t>
      </w:r>
      <w:r w:rsidRPr="00651DFA">
        <w:rPr>
          <w:iCs/>
        </w:rPr>
        <w:t>1 Уголовного к</w:t>
      </w:r>
      <w:r w:rsidRPr="00651DFA">
        <w:rPr>
          <w:iCs/>
        </w:rPr>
        <w:t>о</w:t>
      </w:r>
      <w:r w:rsidRPr="00651DFA">
        <w:rPr>
          <w:iCs/>
        </w:rPr>
        <w:t>декса определение дискриминации охватывает все элементы определения, к</w:t>
      </w:r>
      <w:r w:rsidRPr="00651DFA">
        <w:rPr>
          <w:iCs/>
        </w:rPr>
        <w:t>о</w:t>
      </w:r>
      <w:r w:rsidRPr="00651DFA">
        <w:rPr>
          <w:iCs/>
        </w:rPr>
        <w:t xml:space="preserve">торое дается в статье 1 Конвенции. </w:t>
      </w:r>
      <w:r w:rsidRPr="00651DFA">
        <w:t xml:space="preserve">Тем не </w:t>
      </w:r>
      <w:proofErr w:type="gramStart"/>
      <w:r w:rsidRPr="00651DFA">
        <w:t>менее</w:t>
      </w:r>
      <w:proofErr w:type="gramEnd"/>
      <w:r w:rsidRPr="00651DFA">
        <w:t xml:space="preserve"> Комитет выражает обеспок</w:t>
      </w:r>
      <w:r w:rsidRPr="00651DFA">
        <w:t>о</w:t>
      </w:r>
      <w:r w:rsidRPr="00651DFA">
        <w:t>енность в связи с тем, что это определение ограничивается уголовными делами. Он выражает сожаление по поводу отсутствия информации о согласовании определения со статьей 32 Конституции и другими соответствующими закон</w:t>
      </w:r>
      <w:r w:rsidRPr="00651DFA">
        <w:t>о</w:t>
      </w:r>
      <w:r w:rsidRPr="00651DFA">
        <w:t>дательн</w:t>
      </w:r>
      <w:r w:rsidRPr="00651DFA">
        <w:t>ы</w:t>
      </w:r>
      <w:r w:rsidRPr="00651DFA">
        <w:t>ми актами (статья 1).</w:t>
      </w:r>
    </w:p>
    <w:p w:rsidR="00651DFA" w:rsidRPr="00651DFA" w:rsidRDefault="00651DFA" w:rsidP="00E344AD">
      <w:pPr>
        <w:pStyle w:val="SingleTxtGR"/>
        <w:spacing w:line="230" w:lineRule="atLeast"/>
        <w:rPr>
          <w:b/>
          <w:bCs/>
        </w:rPr>
      </w:pPr>
      <w:r w:rsidRPr="00651DFA">
        <w:rPr>
          <w:bCs/>
        </w:rPr>
        <w:t>8.</w:t>
      </w:r>
      <w:r w:rsidRPr="00651DFA">
        <w:rPr>
          <w:bCs/>
        </w:rPr>
        <w:tab/>
      </w:r>
      <w:r w:rsidRPr="00651DFA">
        <w:rPr>
          <w:b/>
          <w:bCs/>
        </w:rPr>
        <w:t>Комитет рекомендует государству-участнику обеспечить, чтобы все элементы определения расовой дискриминации, которые содержатся в его Уголовном кодексе и соответствуют статье 1 Конвенции, были включены в его другие законодательные акты в целях обеспечения применения этого определения во всех соответствующих областях в той же степени, как и в области уголовного права.</w:t>
      </w:r>
    </w:p>
    <w:p w:rsidR="00651DFA" w:rsidRPr="00651DFA" w:rsidRDefault="00651DFA" w:rsidP="00E344AD">
      <w:pPr>
        <w:pStyle w:val="H23GR"/>
      </w:pPr>
      <w:r w:rsidRPr="00651DFA">
        <w:tab/>
      </w:r>
      <w:r w:rsidRPr="00651DFA">
        <w:tab/>
        <w:t>Национальный совет по правам человека</w:t>
      </w:r>
    </w:p>
    <w:p w:rsidR="00651DFA" w:rsidRPr="00651DFA" w:rsidRDefault="00651DFA" w:rsidP="00E344AD">
      <w:pPr>
        <w:pStyle w:val="SingleTxtGR"/>
        <w:spacing w:line="230" w:lineRule="atLeast"/>
      </w:pPr>
      <w:r w:rsidRPr="00651DFA">
        <w:t>9.</w:t>
      </w:r>
      <w:r w:rsidRPr="00651DFA">
        <w:tab/>
        <w:t>Комитет принимает к сведению учреждение на основании принятой в марте 2016 года конституционной поправки Национального совета по правам человека, который пришел на смену Национальной консультативной комиссии по поощрению и защите прав человека. Вместе с тем он сожалеет об отсу</w:t>
      </w:r>
      <w:r w:rsidRPr="00651DFA">
        <w:t>т</w:t>
      </w:r>
      <w:r w:rsidRPr="00651DFA">
        <w:t>ствии информации о функционировании Совета и о людских и финансовых р</w:t>
      </w:r>
      <w:r w:rsidRPr="00651DFA">
        <w:t>е</w:t>
      </w:r>
      <w:r w:rsidRPr="00651DFA">
        <w:t>сурсах, выделяемых для ее функционирования (статья 2).</w:t>
      </w:r>
    </w:p>
    <w:p w:rsidR="00651DFA" w:rsidRPr="00651DFA" w:rsidRDefault="00651DFA" w:rsidP="00E344AD">
      <w:pPr>
        <w:pStyle w:val="SingleTxtGR"/>
        <w:spacing w:line="230" w:lineRule="atLeast"/>
        <w:rPr>
          <w:b/>
        </w:rPr>
      </w:pPr>
      <w:r w:rsidRPr="00651DFA">
        <w:t>10.</w:t>
      </w:r>
      <w:r w:rsidRPr="00651DFA">
        <w:tab/>
      </w:r>
      <w:proofErr w:type="gramStart"/>
      <w:r w:rsidRPr="00651DFA">
        <w:rPr>
          <w:b/>
        </w:rPr>
        <w:t>С учетом своей общей рекомендации № 17 (1993) о создании наци</w:t>
      </w:r>
      <w:r w:rsidRPr="00651DFA">
        <w:rPr>
          <w:b/>
        </w:rPr>
        <w:t>о</w:t>
      </w:r>
      <w:r w:rsidRPr="00651DFA">
        <w:rPr>
          <w:b/>
        </w:rPr>
        <w:t>нальных институтов по содействию осуществлению Конвенции Комитет рекомендует государству-участнику принять все необходимые меры для гарантирования независимости нового Национального совета по правам человека и предоставить ему необходимые для его функционирования лю</w:t>
      </w:r>
      <w:r w:rsidRPr="00651DFA">
        <w:rPr>
          <w:b/>
        </w:rPr>
        <w:t>д</w:t>
      </w:r>
      <w:r w:rsidRPr="00651DFA">
        <w:rPr>
          <w:b/>
        </w:rPr>
        <w:t>ские и финансовые ресурсы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  <w:proofErr w:type="gramEnd"/>
      <w:r w:rsidRPr="00651DFA">
        <w:rPr>
          <w:b/>
        </w:rPr>
        <w:t xml:space="preserve"> Кроме того, он рекомендует прил</w:t>
      </w:r>
      <w:r w:rsidRPr="00651DFA">
        <w:rPr>
          <w:b/>
        </w:rPr>
        <w:t>о</w:t>
      </w:r>
      <w:r w:rsidRPr="00651DFA">
        <w:rPr>
          <w:b/>
        </w:rPr>
        <w:t>жить все возможные усилия для того, чтобы Национальному совету по правам человека был присвоен статус «А» при Международном координ</w:t>
      </w:r>
      <w:r w:rsidRPr="00651DFA">
        <w:rPr>
          <w:b/>
        </w:rPr>
        <w:t>а</w:t>
      </w:r>
      <w:r w:rsidRPr="00651DFA">
        <w:rPr>
          <w:b/>
        </w:rPr>
        <w:t>ционном комитете национальных учреждений по поощрению и защите прав человека.</w:t>
      </w:r>
    </w:p>
    <w:p w:rsidR="00651DFA" w:rsidRPr="00651DFA" w:rsidRDefault="00651DFA" w:rsidP="00E344AD">
      <w:pPr>
        <w:pStyle w:val="H23GR"/>
      </w:pPr>
      <w:r w:rsidRPr="00651DFA">
        <w:lastRenderedPageBreak/>
        <w:tab/>
      </w:r>
      <w:r w:rsidRPr="00651DFA">
        <w:tab/>
        <w:t>Ненавистнические высказывания и насилие расистского толка</w:t>
      </w:r>
    </w:p>
    <w:p w:rsidR="00651DFA" w:rsidRPr="00E344AD" w:rsidRDefault="00651DFA" w:rsidP="00651DFA">
      <w:pPr>
        <w:pStyle w:val="SingleTxtGR"/>
        <w:rPr>
          <w:spacing w:val="2"/>
        </w:rPr>
      </w:pPr>
      <w:r w:rsidRPr="00E344AD">
        <w:rPr>
          <w:spacing w:val="2"/>
        </w:rPr>
        <w:t>11.</w:t>
      </w:r>
      <w:r w:rsidRPr="00E344AD">
        <w:rPr>
          <w:spacing w:val="2"/>
        </w:rPr>
        <w:tab/>
        <w:t>Комитет выражает обеспокоенность сообщениями о ненавистнических в</w:t>
      </w:r>
      <w:r w:rsidRPr="00E344AD">
        <w:rPr>
          <w:spacing w:val="2"/>
        </w:rPr>
        <w:t>ы</w:t>
      </w:r>
      <w:r w:rsidRPr="00E344AD">
        <w:rPr>
          <w:spacing w:val="2"/>
        </w:rPr>
        <w:t xml:space="preserve">сказываниях публичных деятелей, в частности в отношении определенных групп </w:t>
      </w:r>
      <w:proofErr w:type="spellStart"/>
      <w:r w:rsidRPr="00E344AD">
        <w:rPr>
          <w:spacing w:val="2"/>
        </w:rPr>
        <w:t>амазигов</w:t>
      </w:r>
      <w:proofErr w:type="spellEnd"/>
      <w:r w:rsidRPr="00E344AD">
        <w:rPr>
          <w:spacing w:val="2"/>
        </w:rPr>
        <w:t>, а также мигрантов. Кроме того, он обеспокоен ростом расизма</w:t>
      </w:r>
      <w:r w:rsidRPr="00651DFA">
        <w:t xml:space="preserve"> </w:t>
      </w:r>
      <w:r w:rsidRPr="00E344AD">
        <w:rPr>
          <w:spacing w:val="2"/>
        </w:rPr>
        <w:t>и кс</w:t>
      </w:r>
      <w:r w:rsidRPr="00E344AD">
        <w:rPr>
          <w:spacing w:val="2"/>
        </w:rPr>
        <w:t>е</w:t>
      </w:r>
      <w:r w:rsidRPr="00E344AD">
        <w:rPr>
          <w:spacing w:val="2"/>
        </w:rPr>
        <w:t xml:space="preserve">нофобии и их </w:t>
      </w:r>
      <w:proofErr w:type="spellStart"/>
      <w:r w:rsidRPr="00E344AD">
        <w:rPr>
          <w:spacing w:val="2"/>
        </w:rPr>
        <w:t>банализацией</w:t>
      </w:r>
      <w:proofErr w:type="spellEnd"/>
      <w:r w:rsidRPr="00E344AD">
        <w:rPr>
          <w:spacing w:val="2"/>
        </w:rPr>
        <w:t>, что проявляется на стадионах и в средствах масс</w:t>
      </w:r>
      <w:r w:rsidRPr="00E344AD">
        <w:rPr>
          <w:spacing w:val="2"/>
        </w:rPr>
        <w:t>о</w:t>
      </w:r>
      <w:r w:rsidRPr="00E344AD">
        <w:rPr>
          <w:spacing w:val="2"/>
        </w:rPr>
        <w:t>вой информации, в том числе в социальных сетях, в отношении этих же групп лиц. Кроме того, Комитет обеспокоен тем, что эта ситуация создала условия, сп</w:t>
      </w:r>
      <w:r w:rsidRPr="00E344AD">
        <w:rPr>
          <w:spacing w:val="2"/>
        </w:rPr>
        <w:t>о</w:t>
      </w:r>
      <w:r w:rsidRPr="00E344AD">
        <w:rPr>
          <w:spacing w:val="2"/>
        </w:rPr>
        <w:t>собствующие совершению актов насилия по расовым мотивам (статьи 2 и 4).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12.</w:t>
      </w:r>
      <w:r w:rsidRPr="00651DFA">
        <w:tab/>
      </w:r>
      <w:r w:rsidRPr="00651DFA">
        <w:rPr>
          <w:b/>
        </w:rPr>
        <w:t>В свете своей общей рекомендации № 35 (2013) о борьбе с ненавис</w:t>
      </w:r>
      <w:r w:rsidRPr="00651DFA">
        <w:rPr>
          <w:b/>
        </w:rPr>
        <w:t>т</w:t>
      </w:r>
      <w:r w:rsidRPr="00651DFA">
        <w:rPr>
          <w:b/>
        </w:rPr>
        <w:t>ническими высказываниями расистского толка Комитет рекомендует гос</w:t>
      </w:r>
      <w:r w:rsidRPr="00651DFA">
        <w:rPr>
          <w:b/>
        </w:rPr>
        <w:t>у</w:t>
      </w:r>
      <w:r w:rsidRPr="00651DFA">
        <w:rPr>
          <w:b/>
        </w:rPr>
        <w:t xml:space="preserve">дарству-участнику осуждать и дистанцироваться от любых высказываний или ненавистнических речей со стороны публичных деятелей, в том числе в отношении определенных групп </w:t>
      </w:r>
      <w:proofErr w:type="spellStart"/>
      <w:r w:rsidRPr="00651DFA">
        <w:rPr>
          <w:b/>
        </w:rPr>
        <w:t>амазигов</w:t>
      </w:r>
      <w:proofErr w:type="spellEnd"/>
      <w:r w:rsidRPr="00651DFA">
        <w:rPr>
          <w:b/>
        </w:rPr>
        <w:t xml:space="preserve"> и любых групп или лиц, нах</w:t>
      </w:r>
      <w:r w:rsidRPr="00651DFA">
        <w:rPr>
          <w:b/>
        </w:rPr>
        <w:t>о</w:t>
      </w:r>
      <w:r w:rsidRPr="00651DFA">
        <w:rPr>
          <w:b/>
        </w:rPr>
        <w:t>дящихся в уязвимом положении. Он также рекомендует государству-участнику решительно бороться с расовой ненавистью, которая распр</w:t>
      </w:r>
      <w:r w:rsidRPr="00651DFA">
        <w:rPr>
          <w:b/>
        </w:rPr>
        <w:t>о</w:t>
      </w:r>
      <w:r w:rsidRPr="00651DFA">
        <w:rPr>
          <w:b/>
        </w:rPr>
        <w:t>страняется в средствах массовой информации, в том числе в социальных сетях и на спортивных стадионах. Кроме того, Комитет рекомендует гос</w:t>
      </w:r>
      <w:r w:rsidRPr="00651DFA">
        <w:rPr>
          <w:b/>
        </w:rPr>
        <w:t>у</w:t>
      </w:r>
      <w:r w:rsidRPr="00651DFA">
        <w:rPr>
          <w:b/>
        </w:rPr>
        <w:t>дарству-участнику принять эффективные меры для обеспечения того, чт</w:t>
      </w:r>
      <w:r w:rsidRPr="00651DFA">
        <w:rPr>
          <w:b/>
        </w:rPr>
        <w:t>о</w:t>
      </w:r>
      <w:r w:rsidRPr="00651DFA">
        <w:rPr>
          <w:b/>
        </w:rPr>
        <w:t xml:space="preserve">бы любые заявления или акты мотивированного расизмом насилия или подстрекательство к совершению таких актов, </w:t>
      </w:r>
      <w:r w:rsidR="0078170B">
        <w:rPr>
          <w:b/>
        </w:rPr>
        <w:t>в частности</w:t>
      </w:r>
      <w:r w:rsidRPr="00651DFA">
        <w:rPr>
          <w:b/>
        </w:rPr>
        <w:t xml:space="preserve"> направленных против любой расы или группы лиц другого цвета кожи или этнического происхождения, расследовались, преследовались и наказывались. Госуда</w:t>
      </w:r>
      <w:r w:rsidRPr="00651DFA">
        <w:rPr>
          <w:b/>
        </w:rPr>
        <w:t>р</w:t>
      </w:r>
      <w:r w:rsidRPr="00651DFA">
        <w:rPr>
          <w:b/>
        </w:rPr>
        <w:t>ству-участнику следует проводить среди своего населения информационно-просветительские кампании по борьбе с расизмом и ненавистническими высказываниями и в защиту прав мигрантов, а также поощрять иници</w:t>
      </w:r>
      <w:r w:rsidRPr="00651DFA">
        <w:rPr>
          <w:b/>
        </w:rPr>
        <w:t>а</w:t>
      </w:r>
      <w:r w:rsidRPr="00651DFA">
        <w:rPr>
          <w:b/>
        </w:rPr>
        <w:t>тивы, направленные на поощрение взаимопонимания и диалога между различными группами.</w:t>
      </w:r>
    </w:p>
    <w:p w:rsidR="00651DFA" w:rsidRPr="00651DFA" w:rsidRDefault="00651DFA" w:rsidP="00E344AD">
      <w:pPr>
        <w:pStyle w:val="H23GR"/>
      </w:pPr>
      <w:r w:rsidRPr="00651DFA">
        <w:tab/>
      </w:r>
      <w:r w:rsidRPr="00651DFA">
        <w:tab/>
        <w:t xml:space="preserve">Поощрение языка и культуры </w:t>
      </w:r>
      <w:proofErr w:type="spellStart"/>
      <w:r w:rsidRPr="00651DFA">
        <w:t>амазигов</w:t>
      </w:r>
      <w:proofErr w:type="spellEnd"/>
    </w:p>
    <w:p w:rsidR="00651DFA" w:rsidRPr="00651DFA" w:rsidRDefault="00651DFA" w:rsidP="00651DFA">
      <w:pPr>
        <w:pStyle w:val="SingleTxtGR"/>
      </w:pPr>
      <w:r w:rsidRPr="00651DFA">
        <w:t>13.</w:t>
      </w:r>
      <w:r w:rsidRPr="00651DFA">
        <w:tab/>
        <w:t xml:space="preserve">Комитет отмечает усилия государства-участника по содействию развитию языка и культуры </w:t>
      </w:r>
      <w:proofErr w:type="spellStart"/>
      <w:r w:rsidRPr="00651DFA">
        <w:t>амазигов</w:t>
      </w:r>
      <w:proofErr w:type="spellEnd"/>
      <w:r w:rsidRPr="00651DFA">
        <w:t xml:space="preserve">, в частности статью 4 Конституции, пересмотренной 6 марта 2016 года, в соответствии с которой </w:t>
      </w:r>
      <w:r w:rsidR="00E344AD">
        <w:t>«</w:t>
      </w:r>
      <w:r w:rsidRPr="00651DFA">
        <w:t xml:space="preserve">берберский язык </w:t>
      </w:r>
      <w:proofErr w:type="spellStart"/>
      <w:r w:rsidRPr="00651DFA">
        <w:t>тамазиг</w:t>
      </w:r>
      <w:proofErr w:type="spellEnd"/>
      <w:r w:rsidRPr="00651DFA">
        <w:t xml:space="preserve"> также является официальным государственным</w:t>
      </w:r>
      <w:r w:rsidR="00E344AD">
        <w:t xml:space="preserve"> языком»</w:t>
      </w:r>
      <w:r w:rsidRPr="00651DFA">
        <w:t xml:space="preserve"> и которая</w:t>
      </w:r>
      <w:r w:rsidR="0078170B">
        <w:t>,</w:t>
      </w:r>
      <w:r w:rsidRPr="00651DFA">
        <w:t xml:space="preserve"> кроме того</w:t>
      </w:r>
      <w:r w:rsidR="0078170B">
        <w:t>,</w:t>
      </w:r>
      <w:r w:rsidRPr="00651DFA">
        <w:t xml:space="preserve"> пред</w:t>
      </w:r>
      <w:r w:rsidRPr="00651DFA">
        <w:t>у</w:t>
      </w:r>
      <w:r w:rsidRPr="00651DFA">
        <w:t xml:space="preserve">сматривает создание Алжирской академии языка </w:t>
      </w:r>
      <w:proofErr w:type="spellStart"/>
      <w:r w:rsidRPr="00651DFA">
        <w:t>тамазиг</w:t>
      </w:r>
      <w:proofErr w:type="spellEnd"/>
      <w:r w:rsidRPr="00651DFA">
        <w:t xml:space="preserve">. Вместе с тем Комитет выражает обеспокоенность в связи с тем, что язык </w:t>
      </w:r>
      <w:proofErr w:type="spellStart"/>
      <w:r w:rsidRPr="00651DFA">
        <w:t>тамазиг</w:t>
      </w:r>
      <w:proofErr w:type="spellEnd"/>
      <w:r w:rsidRPr="00651DFA">
        <w:t xml:space="preserve"> до сих пор не и</w:t>
      </w:r>
      <w:r w:rsidRPr="00651DFA">
        <w:t>с</w:t>
      </w:r>
      <w:r w:rsidRPr="00651DFA">
        <w:t>пользуется во всех административных органах, судах, социальных и других государственных службах и что основной закон, предусмотренный в статье 4 Конституции, еще не был принят. Принимая во внимание взятое на себя гос</w:t>
      </w:r>
      <w:r w:rsidRPr="00651DFA">
        <w:t>у</w:t>
      </w:r>
      <w:r w:rsidRPr="00651DFA">
        <w:t>дарством-участником обязательство приложить необходимые усилия для обе</w:t>
      </w:r>
      <w:r w:rsidRPr="00651DFA">
        <w:t>с</w:t>
      </w:r>
      <w:r w:rsidRPr="00651DFA">
        <w:t xml:space="preserve">печения использования языка </w:t>
      </w:r>
      <w:proofErr w:type="spellStart"/>
      <w:r w:rsidRPr="00651DFA">
        <w:t>тамазиг</w:t>
      </w:r>
      <w:proofErr w:type="spellEnd"/>
      <w:r w:rsidRPr="00651DFA">
        <w:t xml:space="preserve">, Комитет отмечает, что этот официальный язык </w:t>
      </w:r>
      <w:proofErr w:type="gramStart"/>
      <w:r w:rsidRPr="00651DFA">
        <w:t>изучается</w:t>
      </w:r>
      <w:proofErr w:type="gramEnd"/>
      <w:r w:rsidRPr="00651DFA">
        <w:t xml:space="preserve"> начиная с четвертого года обучения в начальной школе, что он является факультативным для изучения языком и что алжирская академия языка </w:t>
      </w:r>
      <w:proofErr w:type="spellStart"/>
      <w:r w:rsidRPr="00651DFA">
        <w:t>тамазиг</w:t>
      </w:r>
      <w:proofErr w:type="spellEnd"/>
      <w:r w:rsidRPr="00651DFA">
        <w:t xml:space="preserve"> пока не создана. Он отмечает предпринятые государством-участником усилия в ответ на отказ </w:t>
      </w:r>
      <w:proofErr w:type="gramStart"/>
      <w:r w:rsidRPr="00651DFA">
        <w:t>работников системы регистрации актов гражданского состояния</w:t>
      </w:r>
      <w:proofErr w:type="gramEnd"/>
      <w:r w:rsidRPr="00651DFA">
        <w:t xml:space="preserve"> в регистрации отдельных имен </w:t>
      </w:r>
      <w:proofErr w:type="spellStart"/>
      <w:r w:rsidRPr="00651DFA">
        <w:t>амазигов</w:t>
      </w:r>
      <w:proofErr w:type="spellEnd"/>
      <w:r w:rsidRPr="00651DFA">
        <w:t>, но по-прежнему обеспок</w:t>
      </w:r>
      <w:r w:rsidRPr="00651DFA">
        <w:t>о</w:t>
      </w:r>
      <w:r w:rsidRPr="00651DFA">
        <w:t>ен тем, что некоторым семьям по-прежнему отказывают в регистрации имен их детей. Комитет также обеспокоен отдельными сообщениями о том, что некот</w:t>
      </w:r>
      <w:r w:rsidRPr="00651DFA">
        <w:t>о</w:t>
      </w:r>
      <w:r w:rsidRPr="00651DFA">
        <w:t xml:space="preserve">рые исторические объекты, имеющие культурную ценность для </w:t>
      </w:r>
      <w:proofErr w:type="spellStart"/>
      <w:r w:rsidRPr="00651DFA">
        <w:t>амазигов</w:t>
      </w:r>
      <w:proofErr w:type="spellEnd"/>
      <w:r w:rsidRPr="00651DFA">
        <w:t>, не были сохранены (статья 5).</w:t>
      </w:r>
    </w:p>
    <w:p w:rsidR="00651DFA" w:rsidRPr="00651DFA" w:rsidRDefault="00651DFA" w:rsidP="00651DFA">
      <w:pPr>
        <w:pStyle w:val="SingleTxtGR"/>
      </w:pPr>
      <w:r w:rsidRPr="00651DFA">
        <w:t>14.</w:t>
      </w:r>
      <w:r w:rsidRPr="00651DFA">
        <w:tab/>
      </w:r>
      <w:r w:rsidRPr="00651DFA">
        <w:rPr>
          <w:b/>
        </w:rPr>
        <w:t>Комитет рекомендует государству-участнику: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a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как можно скорее принять основной закон, предусмотренный в ст</w:t>
      </w:r>
      <w:r w:rsidR="00651DFA" w:rsidRPr="00651DFA">
        <w:rPr>
          <w:b/>
        </w:rPr>
        <w:t>а</w:t>
      </w:r>
      <w:r w:rsidR="00651DFA" w:rsidRPr="00651DFA">
        <w:rPr>
          <w:b/>
        </w:rPr>
        <w:t>тье 4 Конституции;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b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 xml:space="preserve">ускорить введение и эффективное использование берберского языка </w:t>
      </w:r>
      <w:proofErr w:type="spellStart"/>
      <w:r w:rsidR="00651DFA" w:rsidRPr="00651DFA">
        <w:rPr>
          <w:b/>
        </w:rPr>
        <w:t>тамазиг</w:t>
      </w:r>
      <w:proofErr w:type="spellEnd"/>
      <w:r w:rsidR="00651DFA" w:rsidRPr="00651DFA">
        <w:rPr>
          <w:b/>
        </w:rPr>
        <w:t xml:space="preserve"> в качестве официального языка в административных орг</w:t>
      </w:r>
      <w:r w:rsidR="00651DFA" w:rsidRPr="00651DFA">
        <w:rPr>
          <w:b/>
        </w:rPr>
        <w:t>а</w:t>
      </w:r>
      <w:r w:rsidR="00651DFA" w:rsidRPr="00651DFA">
        <w:rPr>
          <w:b/>
        </w:rPr>
        <w:t>нах, с</w:t>
      </w:r>
      <w:r w:rsidR="00651DFA" w:rsidRPr="00651DFA">
        <w:rPr>
          <w:b/>
        </w:rPr>
        <w:t>у</w:t>
      </w:r>
      <w:r w:rsidR="00651DFA" w:rsidRPr="00651DFA">
        <w:rPr>
          <w:b/>
        </w:rPr>
        <w:t>дах, социальных и других государственных службах;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lastRenderedPageBreak/>
        <w:tab/>
      </w:r>
      <w:r w:rsidR="00651DFA" w:rsidRPr="00651DFA">
        <w:rPr>
          <w:b/>
          <w:lang w:val="fr-CH"/>
        </w:rPr>
        <w:t>c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 xml:space="preserve">создать академию языка </w:t>
      </w:r>
      <w:proofErr w:type="spellStart"/>
      <w:r w:rsidR="00651DFA" w:rsidRPr="00651DFA">
        <w:rPr>
          <w:b/>
        </w:rPr>
        <w:t>тамазиг</w:t>
      </w:r>
      <w:proofErr w:type="spellEnd"/>
      <w:r w:rsidR="00651DFA" w:rsidRPr="00651DFA">
        <w:rPr>
          <w:b/>
        </w:rPr>
        <w:t xml:space="preserve"> и выделить надлежащие р</w:t>
      </w:r>
      <w:r w:rsidR="00651DFA" w:rsidRPr="00651DFA">
        <w:rPr>
          <w:b/>
        </w:rPr>
        <w:t>е</w:t>
      </w:r>
      <w:r w:rsidR="00651DFA" w:rsidRPr="00651DFA">
        <w:rPr>
          <w:b/>
        </w:rPr>
        <w:t>сурсы для ее функционирования;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d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 xml:space="preserve">обеспечить, чтобы все сотрудники службы регистрации актов гражданского состояния регистрировали имена </w:t>
      </w:r>
      <w:proofErr w:type="spellStart"/>
      <w:r w:rsidR="00651DFA" w:rsidRPr="00651DFA">
        <w:rPr>
          <w:b/>
        </w:rPr>
        <w:t>амазигов</w:t>
      </w:r>
      <w:proofErr w:type="spellEnd"/>
      <w:r w:rsidR="00651DFA" w:rsidRPr="00651DFA">
        <w:rPr>
          <w:b/>
        </w:rPr>
        <w:t xml:space="preserve"> без какой-либо дискриминации;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e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принять необходимые меры для защиты культурного наследия государства-участника, в том числе исторических и археологических об</w:t>
      </w:r>
      <w:r w:rsidR="00651DFA" w:rsidRPr="00651DFA">
        <w:rPr>
          <w:b/>
        </w:rPr>
        <w:t>ъ</w:t>
      </w:r>
      <w:r w:rsidR="00651DFA" w:rsidRPr="00651DFA">
        <w:rPr>
          <w:b/>
        </w:rPr>
        <w:t xml:space="preserve">ектов, имеющих культурную ценность для </w:t>
      </w:r>
      <w:proofErr w:type="spellStart"/>
      <w:r w:rsidR="00651DFA" w:rsidRPr="00651DFA">
        <w:rPr>
          <w:b/>
        </w:rPr>
        <w:t>амазигов</w:t>
      </w:r>
      <w:proofErr w:type="spellEnd"/>
      <w:r w:rsidR="00651DFA" w:rsidRPr="00651DFA">
        <w:rPr>
          <w:b/>
        </w:rPr>
        <w:t>.</w:t>
      </w:r>
    </w:p>
    <w:p w:rsidR="00651DFA" w:rsidRPr="00651DFA" w:rsidRDefault="00651DFA" w:rsidP="00E344AD">
      <w:pPr>
        <w:pStyle w:val="H23GR"/>
      </w:pPr>
      <w:r w:rsidRPr="00651DFA">
        <w:tab/>
      </w:r>
      <w:r w:rsidRPr="00651DFA">
        <w:tab/>
        <w:t>Региональные экономические различия</w:t>
      </w:r>
    </w:p>
    <w:p w:rsidR="00651DFA" w:rsidRPr="00651DFA" w:rsidRDefault="00651DFA" w:rsidP="00651DFA">
      <w:pPr>
        <w:pStyle w:val="SingleTxtGR"/>
      </w:pPr>
      <w:r w:rsidRPr="00651DFA">
        <w:t>15.</w:t>
      </w:r>
      <w:r w:rsidRPr="00651DFA">
        <w:tab/>
        <w:t>Комитет выражает сожаление по поводу того, что государство-участник не представило ему информацию о принятых мерах для уменьшения реги</w:t>
      </w:r>
      <w:r w:rsidRPr="00651DFA">
        <w:t>о</w:t>
      </w:r>
      <w:r w:rsidRPr="00651DFA">
        <w:t xml:space="preserve">нальных различий, которые продолжают сказываться на районах, в которых проживают </w:t>
      </w:r>
      <w:proofErr w:type="spellStart"/>
      <w:r w:rsidRPr="00651DFA">
        <w:t>амазиги</w:t>
      </w:r>
      <w:proofErr w:type="spellEnd"/>
      <w:r w:rsidRPr="00651DFA">
        <w:t>, как об этом просил Комитет в своих предыдущих заключ</w:t>
      </w:r>
      <w:r w:rsidRPr="00651DFA">
        <w:t>и</w:t>
      </w:r>
      <w:r w:rsidRPr="00651DFA">
        <w:t xml:space="preserve">тельных замечаниях (см. </w:t>
      </w:r>
      <w:r w:rsidRPr="00651DFA">
        <w:rPr>
          <w:lang w:val="fr-CH"/>
        </w:rPr>
        <w:t>CERD</w:t>
      </w:r>
      <w:r w:rsidRPr="00651DFA">
        <w:t>/</w:t>
      </w:r>
      <w:r w:rsidRPr="00651DFA">
        <w:rPr>
          <w:lang w:val="fr-CH"/>
        </w:rPr>
        <w:t>C</w:t>
      </w:r>
      <w:r w:rsidRPr="00651DFA">
        <w:t>/</w:t>
      </w:r>
      <w:r w:rsidRPr="00651DFA">
        <w:rPr>
          <w:lang w:val="fr-CH"/>
        </w:rPr>
        <w:t>DZA</w:t>
      </w:r>
      <w:r w:rsidRPr="00651DFA">
        <w:t>/</w:t>
      </w:r>
      <w:r w:rsidRPr="00651DFA">
        <w:rPr>
          <w:lang w:val="fr-CH"/>
        </w:rPr>
        <w:t>CO</w:t>
      </w:r>
      <w:r w:rsidRPr="00651DFA">
        <w:t>/15-19, пункт</w:t>
      </w:r>
      <w:r w:rsidR="00E344AD">
        <w:t xml:space="preserve"> </w:t>
      </w:r>
      <w:r w:rsidRPr="00651DFA">
        <w:t xml:space="preserve">15). Он по-прежнему обеспокоен продолжающейся </w:t>
      </w:r>
      <w:proofErr w:type="spellStart"/>
      <w:r w:rsidRPr="00651DFA">
        <w:t>маргинализацией</w:t>
      </w:r>
      <w:proofErr w:type="spellEnd"/>
      <w:r w:rsidRPr="00651DFA">
        <w:t>, с которой сталкиваются эти р</w:t>
      </w:r>
      <w:r w:rsidRPr="00651DFA">
        <w:t>е</w:t>
      </w:r>
      <w:r w:rsidRPr="00651DFA">
        <w:t>гионы, и административными препятствиями для частных инвестиций в этих регионах (статья 5).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16.</w:t>
      </w:r>
      <w:r w:rsidRPr="00651DFA">
        <w:tab/>
      </w:r>
      <w:r w:rsidRPr="00651DFA">
        <w:rPr>
          <w:b/>
        </w:rPr>
        <w:t>Комитет вновь повторяет свою рекомендацию государству-участнику, сформулированную в его предыдущих</w:t>
      </w:r>
      <w:r w:rsidR="00E344AD">
        <w:rPr>
          <w:b/>
        </w:rPr>
        <w:t xml:space="preserve"> заключительных замечаниях (см. </w:t>
      </w:r>
      <w:r w:rsidRPr="00651DFA">
        <w:rPr>
          <w:b/>
          <w:lang w:val="fr-CH"/>
        </w:rPr>
        <w:t>CERD</w:t>
      </w:r>
      <w:r w:rsidRPr="00651DFA">
        <w:rPr>
          <w:b/>
        </w:rPr>
        <w:t>/</w:t>
      </w:r>
      <w:r w:rsidRPr="00651DFA">
        <w:rPr>
          <w:b/>
          <w:lang w:val="fr-CH"/>
        </w:rPr>
        <w:t>C</w:t>
      </w:r>
      <w:r w:rsidRPr="00651DFA">
        <w:rPr>
          <w:b/>
        </w:rPr>
        <w:t>/</w:t>
      </w:r>
      <w:r w:rsidRPr="00651DFA">
        <w:rPr>
          <w:b/>
          <w:lang w:val="fr-CH"/>
        </w:rPr>
        <w:t>DZA</w:t>
      </w:r>
      <w:r w:rsidRPr="00651DFA">
        <w:rPr>
          <w:b/>
        </w:rPr>
        <w:t>/</w:t>
      </w:r>
      <w:r w:rsidRPr="00651DFA">
        <w:rPr>
          <w:b/>
          <w:lang w:val="fr-CH"/>
        </w:rPr>
        <w:t>CO</w:t>
      </w:r>
      <w:r w:rsidRPr="00651DFA">
        <w:rPr>
          <w:b/>
        </w:rPr>
        <w:t xml:space="preserve">/15-19, пункт 16), об активизации своих усилий по инвестированию в наиболее </w:t>
      </w:r>
      <w:proofErr w:type="spellStart"/>
      <w:r w:rsidRPr="00651DFA">
        <w:rPr>
          <w:b/>
        </w:rPr>
        <w:t>маргинализированные</w:t>
      </w:r>
      <w:proofErr w:type="spellEnd"/>
      <w:r w:rsidRPr="00651DFA">
        <w:rPr>
          <w:b/>
        </w:rPr>
        <w:t xml:space="preserve"> регионы, в частности регионы, в которых проживают </w:t>
      </w:r>
      <w:proofErr w:type="spellStart"/>
      <w:r w:rsidRPr="00651DFA">
        <w:rPr>
          <w:b/>
        </w:rPr>
        <w:t>амазиги</w:t>
      </w:r>
      <w:proofErr w:type="spellEnd"/>
      <w:r w:rsidRPr="00651DFA">
        <w:rPr>
          <w:b/>
        </w:rPr>
        <w:t xml:space="preserve">. </w:t>
      </w:r>
      <w:proofErr w:type="gramStart"/>
      <w:r w:rsidRPr="00651DFA">
        <w:rPr>
          <w:b/>
        </w:rPr>
        <w:t>В свете своей общей рекоменд</w:t>
      </w:r>
      <w:r w:rsidRPr="00651DFA">
        <w:rPr>
          <w:b/>
        </w:rPr>
        <w:t>а</w:t>
      </w:r>
      <w:r w:rsidRPr="00651DFA">
        <w:rPr>
          <w:b/>
        </w:rPr>
        <w:t>ции 32 (2009) о значении и сфере применения специальных мер, пред</w:t>
      </w:r>
      <w:r w:rsidRPr="00651DFA">
        <w:rPr>
          <w:b/>
        </w:rPr>
        <w:t>у</w:t>
      </w:r>
      <w:r w:rsidRPr="00651DFA">
        <w:rPr>
          <w:b/>
        </w:rPr>
        <w:t>смотренных в Международной конвенции о ликвидации всех форм расовой дискриминации, Комитет рекомендует государству-участнику рассмотреть вопрос о принятии специальных мер, направленных на достижение для населения, проживающего в этих регионах, такого же уровня жизни, что и у остальн</w:t>
      </w:r>
      <w:r w:rsidRPr="00651DFA">
        <w:rPr>
          <w:b/>
        </w:rPr>
        <w:t>о</w:t>
      </w:r>
      <w:r w:rsidRPr="00651DFA">
        <w:rPr>
          <w:b/>
        </w:rPr>
        <w:t>го населения страны.</w:t>
      </w:r>
      <w:proofErr w:type="gramEnd"/>
    </w:p>
    <w:p w:rsidR="00651DFA" w:rsidRPr="00651DFA" w:rsidRDefault="00651DFA" w:rsidP="00E344AD">
      <w:pPr>
        <w:pStyle w:val="H23GR"/>
      </w:pPr>
      <w:r w:rsidRPr="00651DFA">
        <w:tab/>
      </w:r>
      <w:r w:rsidRPr="00651DFA">
        <w:tab/>
        <w:t xml:space="preserve">Насилие в регионе </w:t>
      </w:r>
      <w:proofErr w:type="spellStart"/>
      <w:r w:rsidRPr="00651DFA">
        <w:t>Мзаб</w:t>
      </w:r>
      <w:proofErr w:type="spellEnd"/>
    </w:p>
    <w:p w:rsidR="00651DFA" w:rsidRPr="00651DFA" w:rsidRDefault="00651DFA" w:rsidP="00651DFA">
      <w:pPr>
        <w:pStyle w:val="SingleTxtGR"/>
      </w:pPr>
      <w:r w:rsidRPr="00651DFA">
        <w:t>17.</w:t>
      </w:r>
      <w:r w:rsidRPr="00651DFA">
        <w:tab/>
        <w:t xml:space="preserve">Комитет обеспокоен неоднократными актами насилия между </w:t>
      </w:r>
      <w:proofErr w:type="spellStart"/>
      <w:r w:rsidRPr="00651DFA">
        <w:t>мозабит</w:t>
      </w:r>
      <w:r w:rsidRPr="00651DFA">
        <w:t>а</w:t>
      </w:r>
      <w:r w:rsidRPr="00651DFA">
        <w:t>ми-ибадитами</w:t>
      </w:r>
      <w:proofErr w:type="spellEnd"/>
      <w:r w:rsidRPr="00651DFA">
        <w:t xml:space="preserve"> и представителями арабского клана </w:t>
      </w:r>
      <w:proofErr w:type="spellStart"/>
      <w:r w:rsidRPr="00651DFA">
        <w:t>шаамбие</w:t>
      </w:r>
      <w:proofErr w:type="spellEnd"/>
      <w:r w:rsidRPr="00651DFA">
        <w:t xml:space="preserve"> (сунниты), которые, в частности, происходили в 2013 и 2015 годах и привели к гибели людей и ун</w:t>
      </w:r>
      <w:r w:rsidRPr="00651DFA">
        <w:t>и</w:t>
      </w:r>
      <w:r w:rsidRPr="00651DFA">
        <w:t xml:space="preserve">чтожению имущества, в частности в общине </w:t>
      </w:r>
      <w:proofErr w:type="spellStart"/>
      <w:r w:rsidRPr="00651DFA">
        <w:t>мозабитов</w:t>
      </w:r>
      <w:proofErr w:type="spellEnd"/>
      <w:r w:rsidRPr="00651DFA">
        <w:t>. Он также обеспокоен сообщениями о причастности сил безопасности к этим актам насилия и о бе</w:t>
      </w:r>
      <w:r w:rsidRPr="00651DFA">
        <w:t>з</w:t>
      </w:r>
      <w:r w:rsidRPr="00651DFA">
        <w:t>наказанности, которой пользовались некоторые группы после этих инцидентов. Отмечая информацию, полученную в ходе диалога с делегацией государства-участника, Комитет вместе с тем выражает сожаление неполным характером этих сведений, в частности в отношении принятых мер по расследованию имевших место событий и наказания виновных в совершении этих актов лиц, а также мер по недопущению их повторения (статьи 2 и 5).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18.</w:t>
      </w:r>
      <w:r w:rsidRPr="00651DFA">
        <w:tab/>
      </w:r>
      <w:r w:rsidRPr="00651DFA">
        <w:rPr>
          <w:b/>
        </w:rPr>
        <w:t>Комитет рекомендует государству-участнику представить информ</w:t>
      </w:r>
      <w:r w:rsidRPr="00651DFA">
        <w:rPr>
          <w:b/>
        </w:rPr>
        <w:t>а</w:t>
      </w:r>
      <w:r w:rsidRPr="00651DFA">
        <w:rPr>
          <w:b/>
        </w:rPr>
        <w:t xml:space="preserve">цию о коренных причинах насилия в регионе </w:t>
      </w:r>
      <w:proofErr w:type="spellStart"/>
      <w:r w:rsidRPr="00651DFA">
        <w:rPr>
          <w:b/>
        </w:rPr>
        <w:t>Мзаб</w:t>
      </w:r>
      <w:proofErr w:type="spellEnd"/>
      <w:r w:rsidRPr="00651DFA">
        <w:rPr>
          <w:b/>
        </w:rPr>
        <w:t xml:space="preserve"> и принять необходимые меры дл</w:t>
      </w:r>
      <w:r w:rsidR="00E344AD">
        <w:rPr>
          <w:b/>
        </w:rPr>
        <w:t>я недопущения его повторения. Он</w:t>
      </w:r>
      <w:r w:rsidRPr="00651DFA">
        <w:rPr>
          <w:b/>
        </w:rPr>
        <w:t xml:space="preserve"> также рекомендует государству-участнику представить ему информацию о расследовании таких актов насилия, о судебном преследовании виновных и вынесенных мерах нак</w:t>
      </w:r>
      <w:r w:rsidRPr="00651DFA">
        <w:rPr>
          <w:b/>
        </w:rPr>
        <w:t>а</w:t>
      </w:r>
      <w:r w:rsidRPr="00651DFA">
        <w:rPr>
          <w:b/>
        </w:rPr>
        <w:t>зания, которые позволили бы бороться с безнаказанностью отдельных групп. Он также рекомендует государству-участнику дать указание своим силам безопасности обеспечивать защиту в ходе такого рода столкновений во избежание напряженности и проявлений ненависти среди этих групп. Наконец, Комитет рекомендует государству-участнику принять меры по поощрению диалога, терпимости и взаимопонимания между различными группами.</w:t>
      </w:r>
    </w:p>
    <w:p w:rsidR="00651DFA" w:rsidRPr="00651DFA" w:rsidRDefault="00651DFA" w:rsidP="00E344AD">
      <w:pPr>
        <w:pStyle w:val="H23GR"/>
      </w:pPr>
      <w:r w:rsidRPr="00651DFA">
        <w:lastRenderedPageBreak/>
        <w:tab/>
      </w:r>
      <w:r w:rsidRPr="00651DFA">
        <w:tab/>
        <w:t xml:space="preserve">Положение </w:t>
      </w:r>
      <w:proofErr w:type="spellStart"/>
      <w:r w:rsidRPr="00651DFA">
        <w:t>неграждан</w:t>
      </w:r>
      <w:proofErr w:type="spellEnd"/>
    </w:p>
    <w:p w:rsidR="00651DFA" w:rsidRPr="00651DFA" w:rsidRDefault="00651DFA" w:rsidP="00651DFA">
      <w:pPr>
        <w:pStyle w:val="SingleTxtGR"/>
      </w:pPr>
      <w:r w:rsidRPr="00651DFA">
        <w:t>19.</w:t>
      </w:r>
      <w:r w:rsidRPr="00651DFA">
        <w:tab/>
        <w:t>Принимая к сведению информацию, представленную делегацией гос</w:t>
      </w:r>
      <w:r w:rsidRPr="00651DFA">
        <w:t>у</w:t>
      </w:r>
      <w:r w:rsidRPr="00651DFA">
        <w:t>дарства-участника, Комитет выражает обеспокоенность отсутствием ясности в отношении установления уголовной ответственности за незаконную миграцию в соответствии с законом № 08-11 от 25 июня 2008 года о порядке въезда, пр</w:t>
      </w:r>
      <w:r w:rsidRPr="00651DFA">
        <w:t>е</w:t>
      </w:r>
      <w:r w:rsidRPr="00651DFA">
        <w:t>бывания и передвижения мигрантов в Алжире. Комитет также обеспокоен ар</w:t>
      </w:r>
      <w:r w:rsidRPr="00651DFA">
        <w:t>е</w:t>
      </w:r>
      <w:r w:rsidRPr="00651DFA">
        <w:t xml:space="preserve">стами мигрантов, в частности мигрантов из стран к югу от Сахары, имевшими место в 2016 и 2017 годах в рамках политики государства-участника в области борьбы с преступностью, </w:t>
      </w:r>
      <w:proofErr w:type="gramStart"/>
      <w:r w:rsidRPr="00651DFA">
        <w:t>попрошайничеством</w:t>
      </w:r>
      <w:proofErr w:type="gramEnd"/>
      <w:r w:rsidRPr="00651DFA">
        <w:t xml:space="preserve"> и незаконной миграцией, н</w:t>
      </w:r>
      <w:r w:rsidRPr="00651DFA">
        <w:t>е</w:t>
      </w:r>
      <w:r w:rsidRPr="00651DFA">
        <w:t>смотря на тот факт, что некоторые из этих мигрантов имеют урегулированный статус проживания. Он также обеспокоен тем, что некоторые из этих лиц с</w:t>
      </w:r>
      <w:r w:rsidRPr="00651DFA">
        <w:t>о</w:t>
      </w:r>
      <w:r w:rsidRPr="00651DFA">
        <w:t>держались под стражей в неприемлемых условиях и подверглись коллективной высылке. Комитет с сожалением отмечает отсутствие информации о соблюд</w:t>
      </w:r>
      <w:r w:rsidRPr="00651DFA">
        <w:t>е</w:t>
      </w:r>
      <w:r w:rsidRPr="00651DFA">
        <w:t>нии принципа недопущения принудительного возвращения в ходе высылки этих иностранцев. Он также обеспокоен сообщениями о том, что мигранты, особенно из стран к югу от Сахары, по-прежнему не могут пользоваться своими экономическими, социальными и культурными правами и становятся жертвами злоупотреблений на рынке труда. Комитет также обеспокоен сообщениями о том, что некоторые мигранты, особенно из стран Африки к югу от Сахары, сталкиваются с препятствиями в плане с</w:t>
      </w:r>
      <w:r w:rsidR="0078170B">
        <w:t>воего перемещения по территории</w:t>
      </w:r>
      <w:r w:rsidR="0078170B">
        <w:br/>
      </w:r>
      <w:r w:rsidRPr="00651DFA">
        <w:t>государства-участника, в частности по причине установления для транспор</w:t>
      </w:r>
      <w:r w:rsidRPr="00651DFA">
        <w:t>т</w:t>
      </w:r>
      <w:r w:rsidRPr="00651DFA">
        <w:t>ных компаний и владельцев такси запрета на их перевозку (статьи 2 и 5).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20.</w:t>
      </w:r>
      <w:r w:rsidRPr="00651DFA">
        <w:tab/>
      </w:r>
      <w:r w:rsidRPr="00651DFA">
        <w:rPr>
          <w:b/>
        </w:rPr>
        <w:t xml:space="preserve">В свете своей общей рекомендации № 30 (2004) о дискриминации в отношении </w:t>
      </w:r>
      <w:proofErr w:type="spellStart"/>
      <w:r w:rsidRPr="00651DFA">
        <w:rPr>
          <w:b/>
        </w:rPr>
        <w:t>неграждан</w:t>
      </w:r>
      <w:proofErr w:type="spellEnd"/>
      <w:r w:rsidRPr="00651DFA">
        <w:rPr>
          <w:b/>
        </w:rPr>
        <w:t xml:space="preserve"> Комитет рекомендует государству-участнику: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a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обеспечить, чтобы любые акты дискриминации или насилия на расовой почве регистрировались и расследовались, а виновные подверг</w:t>
      </w:r>
      <w:r w:rsidR="00651DFA" w:rsidRPr="00651DFA">
        <w:rPr>
          <w:b/>
        </w:rPr>
        <w:t>а</w:t>
      </w:r>
      <w:r w:rsidR="00651DFA" w:rsidRPr="00651DFA">
        <w:rPr>
          <w:b/>
        </w:rPr>
        <w:t>лись судебному преследованию и несли ответственность, а жертвы получ</w:t>
      </w:r>
      <w:r w:rsidR="00651DFA" w:rsidRPr="00651DFA">
        <w:rPr>
          <w:b/>
        </w:rPr>
        <w:t>а</w:t>
      </w:r>
      <w:r w:rsidR="00651DFA" w:rsidRPr="00651DFA">
        <w:rPr>
          <w:b/>
        </w:rPr>
        <w:t>ли компенсацию;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b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положить конец практике коллективной высылки, гарантир</w:t>
      </w:r>
      <w:r w:rsidR="00651DFA" w:rsidRPr="00651DFA">
        <w:rPr>
          <w:b/>
        </w:rPr>
        <w:t>о</w:t>
      </w:r>
      <w:r w:rsidR="00651DFA" w:rsidRPr="00651DFA">
        <w:rPr>
          <w:b/>
        </w:rPr>
        <w:t xml:space="preserve">вать уважение принципа </w:t>
      </w:r>
      <w:proofErr w:type="spellStart"/>
      <w:r w:rsidR="00651DFA" w:rsidRPr="00651DFA">
        <w:rPr>
          <w:b/>
        </w:rPr>
        <w:t>невыдворения</w:t>
      </w:r>
      <w:proofErr w:type="spellEnd"/>
      <w:r w:rsidR="00651DFA" w:rsidRPr="00651DFA">
        <w:rPr>
          <w:b/>
        </w:rPr>
        <w:t>, изучать в каждом конкретном случае положение лиц, которые могут быть высланы, и обеспечить, чтобы лица, подлежащие высылке, содержались в достойных условиях, а их о</w:t>
      </w:r>
      <w:r w:rsidR="00651DFA" w:rsidRPr="00651DFA">
        <w:rPr>
          <w:b/>
        </w:rPr>
        <w:t>с</w:t>
      </w:r>
      <w:r w:rsidR="00651DFA" w:rsidRPr="00651DFA">
        <w:rPr>
          <w:b/>
        </w:rPr>
        <w:t>новные права соблюдались;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c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принять необходимые меры к тому, чтобы мигранты имели р</w:t>
      </w:r>
      <w:r w:rsidR="00651DFA" w:rsidRPr="00651DFA">
        <w:rPr>
          <w:b/>
        </w:rPr>
        <w:t>е</w:t>
      </w:r>
      <w:r w:rsidR="00651DFA" w:rsidRPr="00651DFA">
        <w:rPr>
          <w:b/>
        </w:rPr>
        <w:t>альную возможность пользоваться своими экономическими, социальными и кул</w:t>
      </w:r>
      <w:r w:rsidR="00651DFA" w:rsidRPr="00651DFA">
        <w:rPr>
          <w:b/>
        </w:rPr>
        <w:t>ь</w:t>
      </w:r>
      <w:r w:rsidR="00651DFA" w:rsidRPr="00651DFA">
        <w:rPr>
          <w:b/>
        </w:rPr>
        <w:t>турными правами;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d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не допускать расовую дискриминацию в отношении мигрантов, в частности из стран к югу от Сахары, в сфере занятости, в том числе п</w:t>
      </w:r>
      <w:r w:rsidR="00651DFA" w:rsidRPr="00651DFA">
        <w:rPr>
          <w:b/>
        </w:rPr>
        <w:t>у</w:t>
      </w:r>
      <w:r w:rsidR="00651DFA" w:rsidRPr="00651DFA">
        <w:rPr>
          <w:b/>
        </w:rPr>
        <w:t>тем усиления инспектирования их условий работы и преследования раб</w:t>
      </w:r>
      <w:r w:rsidR="00651DFA" w:rsidRPr="00651DFA">
        <w:rPr>
          <w:b/>
        </w:rPr>
        <w:t>о</w:t>
      </w:r>
      <w:r w:rsidR="00651DFA" w:rsidRPr="00651DFA">
        <w:rPr>
          <w:b/>
        </w:rPr>
        <w:t>тодателей за экономическую эксплуатацию работников;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e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представить информацию о действующем законодательстве в области незаконной миграции и, в частности, уточнить, является ли такая м</w:t>
      </w:r>
      <w:r w:rsidR="00651DFA" w:rsidRPr="00651DFA">
        <w:rPr>
          <w:b/>
        </w:rPr>
        <w:t>и</w:t>
      </w:r>
      <w:r w:rsidR="00651DFA" w:rsidRPr="00651DFA">
        <w:rPr>
          <w:b/>
        </w:rPr>
        <w:t>грация уголовным преступлением;</w:t>
      </w:r>
    </w:p>
    <w:p w:rsidR="00651DFA" w:rsidRPr="00651DFA" w:rsidRDefault="00E344AD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f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устранить любые препятствия на пути передвижения мигра</w:t>
      </w:r>
      <w:r w:rsidR="00651DFA" w:rsidRPr="00651DFA">
        <w:rPr>
          <w:b/>
        </w:rPr>
        <w:t>н</w:t>
      </w:r>
      <w:r w:rsidR="00651DFA" w:rsidRPr="00651DFA">
        <w:rPr>
          <w:b/>
        </w:rPr>
        <w:t>тов, в частности из стран к югу от Сахары, по своей территории, в том числе отменить запрет транспортным компаниям и владельцам такси на их пер</w:t>
      </w:r>
      <w:r w:rsidR="00651DFA" w:rsidRPr="00651DFA">
        <w:rPr>
          <w:b/>
        </w:rPr>
        <w:t>е</w:t>
      </w:r>
      <w:r w:rsidR="00651DFA" w:rsidRPr="00651DFA">
        <w:rPr>
          <w:b/>
        </w:rPr>
        <w:t>возку.</w:t>
      </w:r>
    </w:p>
    <w:p w:rsidR="00651DFA" w:rsidRPr="00651DFA" w:rsidRDefault="00651DFA" w:rsidP="00E344AD">
      <w:pPr>
        <w:pStyle w:val="H23GR"/>
      </w:pPr>
      <w:r w:rsidRPr="00651DFA">
        <w:tab/>
      </w:r>
      <w:r w:rsidRPr="00651DFA">
        <w:tab/>
        <w:t>Положение беженцев, просителей убежища и апатридов</w:t>
      </w:r>
    </w:p>
    <w:p w:rsidR="00651DFA" w:rsidRPr="00651DFA" w:rsidRDefault="00651DFA" w:rsidP="00651DFA">
      <w:pPr>
        <w:pStyle w:val="SingleTxtGR"/>
      </w:pPr>
      <w:r w:rsidRPr="00651DFA">
        <w:t>21.</w:t>
      </w:r>
      <w:r w:rsidRPr="00651DFA">
        <w:tab/>
        <w:t>Комитет отмечает, что положение просителей убежища, беженцев и апа</w:t>
      </w:r>
      <w:r w:rsidRPr="00651DFA">
        <w:t>т</w:t>
      </w:r>
      <w:r w:rsidRPr="00651DFA">
        <w:t>ридов по-прежнему регулируется указом № 63-274 от 25 июля 1963 года, кас</w:t>
      </w:r>
      <w:r w:rsidRPr="00651DFA">
        <w:t>а</w:t>
      </w:r>
      <w:r w:rsidRPr="00651DFA">
        <w:t>ющимся механизмов применения Конвенции о статусе беженцев. Вместе с тем Комитет обеспокоен:</w:t>
      </w:r>
    </w:p>
    <w:p w:rsidR="00651DFA" w:rsidRPr="00651DFA" w:rsidRDefault="00E344AD" w:rsidP="00651DFA">
      <w:pPr>
        <w:pStyle w:val="SingleTxtGR"/>
      </w:pPr>
      <w:r>
        <w:lastRenderedPageBreak/>
        <w:tab/>
      </w:r>
      <w:r w:rsidR="00651DFA" w:rsidRPr="00651DFA">
        <w:rPr>
          <w:lang w:val="fr-CH"/>
        </w:rPr>
        <w:t>a</w:t>
      </w:r>
      <w:r w:rsidR="00651DFA" w:rsidRPr="00651DFA">
        <w:t>)</w:t>
      </w:r>
      <w:r w:rsidR="00651DFA" w:rsidRPr="00651DFA">
        <w:tab/>
        <w:t>тем фактом, что установленные указом правовые и институци</w:t>
      </w:r>
      <w:r w:rsidR="00651DFA" w:rsidRPr="00651DFA">
        <w:t>о</w:t>
      </w:r>
      <w:r w:rsidR="00651DFA" w:rsidRPr="00651DFA">
        <w:t>нальные рамки не являются ни всеобъемлющими, ни достаточными и не позв</w:t>
      </w:r>
      <w:r w:rsidR="00651DFA" w:rsidRPr="00651DFA">
        <w:t>о</w:t>
      </w:r>
      <w:r w:rsidR="00651DFA" w:rsidRPr="00651DFA">
        <w:t>ляют обеспечить эффективную защиту прав просителей убежища, беженцев и апатридов;</w:t>
      </w:r>
    </w:p>
    <w:p w:rsidR="00651DFA" w:rsidRPr="00651DFA" w:rsidRDefault="00E344AD" w:rsidP="00651DFA">
      <w:pPr>
        <w:pStyle w:val="SingleTxtGR"/>
      </w:pPr>
      <w:r>
        <w:tab/>
      </w:r>
      <w:r w:rsidR="00651DFA" w:rsidRPr="00651DFA">
        <w:rPr>
          <w:lang w:val="fr-CH"/>
        </w:rPr>
        <w:t>b</w:t>
      </w:r>
      <w:r w:rsidR="00651DFA" w:rsidRPr="00651DFA">
        <w:t>)</w:t>
      </w:r>
      <w:r w:rsidR="00651DFA" w:rsidRPr="00651DFA">
        <w:tab/>
        <w:t>информацией об арестах, заключении под стражу и высылке о</w:t>
      </w:r>
      <w:r w:rsidR="00651DFA" w:rsidRPr="00651DFA">
        <w:t>т</w:t>
      </w:r>
      <w:r w:rsidR="00651DFA" w:rsidRPr="00651DFA">
        <w:t>дельных просителей убежища и беженцев из стран к югу от Сахары без ра</w:t>
      </w:r>
      <w:r w:rsidR="00651DFA" w:rsidRPr="00651DFA">
        <w:t>с</w:t>
      </w:r>
      <w:r w:rsidR="00651DFA" w:rsidRPr="00651DFA">
        <w:t>смотрения их положения на индивидуальной основе;</w:t>
      </w:r>
    </w:p>
    <w:p w:rsidR="00651DFA" w:rsidRPr="00651DFA" w:rsidRDefault="00E344AD" w:rsidP="00651DFA">
      <w:pPr>
        <w:pStyle w:val="SingleTxtGR"/>
      </w:pPr>
      <w:r>
        <w:tab/>
      </w:r>
      <w:r w:rsidR="00651DFA" w:rsidRPr="00651DFA">
        <w:rPr>
          <w:lang w:val="fr-CH"/>
        </w:rPr>
        <w:t>c</w:t>
      </w:r>
      <w:r w:rsidR="00651DFA" w:rsidRPr="00651DFA">
        <w:t>)</w:t>
      </w:r>
      <w:r w:rsidR="00651DFA" w:rsidRPr="00651DFA">
        <w:tab/>
        <w:t>тем фактом, что государство-участник не представило статистич</w:t>
      </w:r>
      <w:r w:rsidR="00651DFA" w:rsidRPr="00651DFA">
        <w:t>е</w:t>
      </w:r>
      <w:r w:rsidR="00651DFA" w:rsidRPr="00651DFA">
        <w:t>ских данных о количестве просителей убежища, беженцев и апатридов, прож</w:t>
      </w:r>
      <w:r w:rsidR="00651DFA" w:rsidRPr="00651DFA">
        <w:t>и</w:t>
      </w:r>
      <w:r w:rsidR="00651DFA" w:rsidRPr="00651DFA">
        <w:t>вающих на его территории, а также о возможности осуществления ими экон</w:t>
      </w:r>
      <w:r w:rsidR="00651DFA" w:rsidRPr="00651DFA">
        <w:t>о</w:t>
      </w:r>
      <w:r w:rsidR="00651DFA" w:rsidRPr="00651DFA">
        <w:t>мических, социальных и культурных прав (статья 5).</w:t>
      </w:r>
    </w:p>
    <w:p w:rsidR="00651DFA" w:rsidRPr="00651DFA" w:rsidRDefault="00651DFA" w:rsidP="00651DFA">
      <w:pPr>
        <w:pStyle w:val="SingleTxtGR"/>
        <w:rPr>
          <w:b/>
          <w:bCs/>
        </w:rPr>
      </w:pPr>
      <w:r w:rsidRPr="00651DFA">
        <w:t>22.</w:t>
      </w:r>
      <w:r w:rsidRPr="00651DFA">
        <w:tab/>
      </w:r>
      <w:r w:rsidRPr="00651DFA">
        <w:rPr>
          <w:b/>
          <w:bCs/>
        </w:rPr>
        <w:t>Комитет рекомендует государству-участнику:</w:t>
      </w:r>
    </w:p>
    <w:p w:rsidR="00651DFA" w:rsidRPr="00E344AD" w:rsidRDefault="00E344AD" w:rsidP="00651DFA">
      <w:pPr>
        <w:pStyle w:val="SingleTxtGR"/>
        <w:rPr>
          <w:b/>
          <w:spacing w:val="0"/>
        </w:rPr>
      </w:pPr>
      <w:r w:rsidRPr="002F63EB">
        <w:rPr>
          <w:b/>
          <w:spacing w:val="0"/>
        </w:rPr>
        <w:tab/>
      </w:r>
      <w:r w:rsidR="00651DFA" w:rsidRPr="002F63EB">
        <w:rPr>
          <w:b/>
          <w:spacing w:val="0"/>
          <w:lang w:val="fr-CH"/>
        </w:rPr>
        <w:t>a</w:t>
      </w:r>
      <w:r w:rsidR="00651DFA" w:rsidRPr="002F63EB">
        <w:rPr>
          <w:b/>
          <w:spacing w:val="0"/>
        </w:rPr>
        <w:t>)</w:t>
      </w:r>
      <w:r w:rsidR="00651DFA" w:rsidRPr="002F63EB">
        <w:rPr>
          <w:b/>
          <w:spacing w:val="0"/>
        </w:rPr>
        <w:tab/>
        <w:t>ускорить принятие проекта закона о беженцах и апатридах, с тем чтобы создать всеобъемлющую и надлежащую законодательную и институц</w:t>
      </w:r>
      <w:r w:rsidR="00651DFA" w:rsidRPr="002F63EB">
        <w:rPr>
          <w:b/>
          <w:spacing w:val="0"/>
        </w:rPr>
        <w:t>и</w:t>
      </w:r>
      <w:r w:rsidR="00651DFA" w:rsidRPr="002F63EB">
        <w:rPr>
          <w:b/>
          <w:spacing w:val="0"/>
        </w:rPr>
        <w:t>ональную основу, которая бы обеспечивала регулирование</w:t>
      </w:r>
      <w:r w:rsidR="00651DFA" w:rsidRPr="00E344AD">
        <w:rPr>
          <w:b/>
          <w:spacing w:val="2"/>
        </w:rPr>
        <w:t xml:space="preserve"> </w:t>
      </w:r>
      <w:r w:rsidR="00651DFA" w:rsidRPr="00E344AD">
        <w:rPr>
          <w:b/>
          <w:spacing w:val="0"/>
        </w:rPr>
        <w:t>положения с предоставлением убежища на территории страны и соответствовала межд</w:t>
      </w:r>
      <w:r w:rsidR="00651DFA" w:rsidRPr="00E344AD">
        <w:rPr>
          <w:b/>
          <w:spacing w:val="0"/>
        </w:rPr>
        <w:t>у</w:t>
      </w:r>
      <w:r w:rsidR="00651DFA" w:rsidRPr="00E344AD">
        <w:rPr>
          <w:b/>
          <w:spacing w:val="0"/>
        </w:rPr>
        <w:t>народным стандартам, как это было рекомендовано Комитетом в его</w:t>
      </w:r>
      <w:r w:rsidR="00651DFA" w:rsidRPr="00651DFA">
        <w:rPr>
          <w:b/>
        </w:rPr>
        <w:t xml:space="preserve"> </w:t>
      </w:r>
      <w:r w:rsidR="00651DFA" w:rsidRPr="00E344AD">
        <w:rPr>
          <w:b/>
          <w:spacing w:val="0"/>
        </w:rPr>
        <w:t>пред</w:t>
      </w:r>
      <w:r w:rsidR="00651DFA" w:rsidRPr="00E344AD">
        <w:rPr>
          <w:b/>
          <w:spacing w:val="0"/>
        </w:rPr>
        <w:t>ы</w:t>
      </w:r>
      <w:r w:rsidR="00651DFA" w:rsidRPr="00E344AD">
        <w:rPr>
          <w:b/>
          <w:spacing w:val="0"/>
        </w:rPr>
        <w:t xml:space="preserve">дущих заключительных замечаниях (см. </w:t>
      </w:r>
      <w:r w:rsidR="00651DFA" w:rsidRPr="00E344AD">
        <w:rPr>
          <w:b/>
          <w:spacing w:val="0"/>
          <w:lang w:val="fr-CH"/>
        </w:rPr>
        <w:t>CERD</w:t>
      </w:r>
      <w:r w:rsidR="00651DFA" w:rsidRPr="00E344AD">
        <w:rPr>
          <w:b/>
          <w:spacing w:val="0"/>
        </w:rPr>
        <w:t>/</w:t>
      </w:r>
      <w:r w:rsidR="00651DFA" w:rsidRPr="00E344AD">
        <w:rPr>
          <w:b/>
          <w:spacing w:val="0"/>
          <w:lang w:val="fr-CH"/>
        </w:rPr>
        <w:t>C</w:t>
      </w:r>
      <w:r w:rsidR="00651DFA" w:rsidRPr="00E344AD">
        <w:rPr>
          <w:b/>
          <w:spacing w:val="0"/>
        </w:rPr>
        <w:t>/</w:t>
      </w:r>
      <w:r w:rsidR="00651DFA" w:rsidRPr="00E344AD">
        <w:rPr>
          <w:b/>
          <w:spacing w:val="0"/>
          <w:lang w:val="fr-CH"/>
        </w:rPr>
        <w:t>DZA</w:t>
      </w:r>
      <w:r w:rsidR="00651DFA" w:rsidRPr="00E344AD">
        <w:rPr>
          <w:b/>
          <w:spacing w:val="0"/>
        </w:rPr>
        <w:t>/</w:t>
      </w:r>
      <w:r w:rsidR="00651DFA" w:rsidRPr="00E344AD">
        <w:rPr>
          <w:b/>
          <w:spacing w:val="0"/>
          <w:lang w:val="fr-CH"/>
        </w:rPr>
        <w:t>CO</w:t>
      </w:r>
      <w:r w:rsidR="00651DFA" w:rsidRPr="00E344AD">
        <w:rPr>
          <w:b/>
          <w:spacing w:val="0"/>
        </w:rPr>
        <w:t>/15-19, пункт</w:t>
      </w:r>
      <w:r w:rsidRPr="00E344AD">
        <w:rPr>
          <w:b/>
          <w:spacing w:val="0"/>
        </w:rPr>
        <w:t xml:space="preserve"> </w:t>
      </w:r>
      <w:r w:rsidR="00651DFA" w:rsidRPr="00E344AD">
        <w:rPr>
          <w:b/>
          <w:spacing w:val="0"/>
        </w:rPr>
        <w:t>18);</w:t>
      </w:r>
    </w:p>
    <w:p w:rsidR="00651DFA" w:rsidRPr="00651DFA" w:rsidRDefault="002F63EB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b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 xml:space="preserve">не допускать дискриминационные аресты, заключение под стражу и высылку просителей убежища и беженцев и соблюдать принцип </w:t>
      </w:r>
      <w:proofErr w:type="spellStart"/>
      <w:r w:rsidR="00651DFA" w:rsidRPr="00651DFA">
        <w:rPr>
          <w:b/>
        </w:rPr>
        <w:t>невыдв</w:t>
      </w:r>
      <w:r w:rsidR="00651DFA" w:rsidRPr="00651DFA">
        <w:rPr>
          <w:b/>
        </w:rPr>
        <w:t>о</w:t>
      </w:r>
      <w:r w:rsidR="00651DFA" w:rsidRPr="00651DFA">
        <w:rPr>
          <w:b/>
        </w:rPr>
        <w:t>рения</w:t>
      </w:r>
      <w:proofErr w:type="spellEnd"/>
      <w:r w:rsidR="00651DFA" w:rsidRPr="00651DFA">
        <w:rPr>
          <w:b/>
        </w:rPr>
        <w:t>;</w:t>
      </w:r>
    </w:p>
    <w:p w:rsidR="00651DFA" w:rsidRPr="00651DFA" w:rsidRDefault="002F63EB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c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гарантировать права просителей убежища, беженцев и апатр</w:t>
      </w:r>
      <w:r w:rsidR="00651DFA" w:rsidRPr="00651DFA">
        <w:rPr>
          <w:b/>
        </w:rPr>
        <w:t>и</w:t>
      </w:r>
      <w:r w:rsidR="00651DFA" w:rsidRPr="00651DFA">
        <w:rPr>
          <w:b/>
        </w:rPr>
        <w:t>дов без какой-либо дискриминации;</w:t>
      </w:r>
    </w:p>
    <w:p w:rsidR="00651DFA" w:rsidRPr="00651DFA" w:rsidRDefault="002F63EB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d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представить Комитету данные о количестве просителей уб</w:t>
      </w:r>
      <w:r w:rsidR="00651DFA" w:rsidRPr="00651DFA">
        <w:rPr>
          <w:b/>
        </w:rPr>
        <w:t>е</w:t>
      </w:r>
      <w:r w:rsidR="00651DFA" w:rsidRPr="00651DFA">
        <w:rPr>
          <w:b/>
        </w:rPr>
        <w:t>жища, беженцев и апатридов, в том числе о полученных и отклоненных просьбах, а также указать число апелляций в отношении таких отказов.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Торговля людьми</w:t>
      </w:r>
    </w:p>
    <w:p w:rsidR="00651DFA" w:rsidRPr="00651DFA" w:rsidRDefault="00651DFA" w:rsidP="00651DFA">
      <w:pPr>
        <w:pStyle w:val="SingleTxtGR"/>
      </w:pPr>
      <w:r w:rsidRPr="00651DFA">
        <w:t>23.</w:t>
      </w:r>
      <w:r w:rsidRPr="00651DFA">
        <w:tab/>
        <w:t>Комитет принимает к сведению представленные государством-</w:t>
      </w:r>
      <w:proofErr w:type="spellStart"/>
      <w:r w:rsidRPr="00651DFA">
        <w:t>участ</w:t>
      </w:r>
      <w:proofErr w:type="spellEnd"/>
      <w:r w:rsidR="002F63EB">
        <w:t>-</w:t>
      </w:r>
      <w:proofErr w:type="spellStart"/>
      <w:r w:rsidRPr="00651DFA">
        <w:t>ником</w:t>
      </w:r>
      <w:proofErr w:type="spellEnd"/>
      <w:r w:rsidRPr="00651DFA">
        <w:t xml:space="preserve"> разъяснения и статистические данные, а также информацию о законод</w:t>
      </w:r>
      <w:r w:rsidRPr="00651DFA">
        <w:t>а</w:t>
      </w:r>
      <w:r w:rsidRPr="00651DFA">
        <w:t>тельных мерах по борьбе с торговлей людьми и защите жертв, в частности ст</w:t>
      </w:r>
      <w:r w:rsidRPr="00651DFA">
        <w:t>а</w:t>
      </w:r>
      <w:r w:rsidRPr="00651DFA">
        <w:t>тьи 303-бис</w:t>
      </w:r>
      <w:r w:rsidRPr="00651DFA">
        <w:rPr>
          <w:i/>
        </w:rPr>
        <w:t xml:space="preserve"> </w:t>
      </w:r>
      <w:r w:rsidRPr="00651DFA">
        <w:rPr>
          <w:iCs/>
        </w:rPr>
        <w:t xml:space="preserve">4 – </w:t>
      </w:r>
      <w:r w:rsidRPr="00651DFA">
        <w:t>303-бис</w:t>
      </w:r>
      <w:r w:rsidRPr="00651DFA">
        <w:rPr>
          <w:i/>
        </w:rPr>
        <w:t xml:space="preserve"> </w:t>
      </w:r>
      <w:r w:rsidRPr="00651DFA">
        <w:rPr>
          <w:iCs/>
        </w:rPr>
        <w:t>10</w:t>
      </w:r>
      <w:r w:rsidRPr="00651DFA">
        <w:t xml:space="preserve"> и 343 Уголовного кодекса и положения Уголовного кодекса, касающиеся незаконного ввоза мигрантов. Вместе с тем Комитет обе</w:t>
      </w:r>
      <w:r w:rsidRPr="00651DFA">
        <w:t>с</w:t>
      </w:r>
      <w:r w:rsidRPr="00651DFA">
        <w:t>покоен сохранением в государстве-участнике торговли людьми, в частности в</w:t>
      </w:r>
      <w:r w:rsidRPr="00651DFA">
        <w:t>ы</w:t>
      </w:r>
      <w:r w:rsidRPr="00651DFA">
        <w:t>ходцами из стран к югу от Сахары, для целей эксплуатации в качестве дома</w:t>
      </w:r>
      <w:r w:rsidRPr="00651DFA">
        <w:t>ш</w:t>
      </w:r>
      <w:r w:rsidRPr="00651DFA">
        <w:t xml:space="preserve">ней прислуги, </w:t>
      </w:r>
      <w:proofErr w:type="gramStart"/>
      <w:r w:rsidRPr="00651DFA">
        <w:t>попрошайничества</w:t>
      </w:r>
      <w:proofErr w:type="gramEnd"/>
      <w:r w:rsidRPr="00651DFA">
        <w:t xml:space="preserve"> и проституции (статья 5).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24.</w:t>
      </w:r>
      <w:r w:rsidRPr="00651DFA">
        <w:tab/>
      </w:r>
      <w:r w:rsidRPr="00651DFA">
        <w:rPr>
          <w:b/>
        </w:rPr>
        <w:t xml:space="preserve">Комитет рекомендует государству-участнику продолжать свои усилия в этой области и принять национальную стратегию по борьбе с торговлей людьми. </w:t>
      </w:r>
      <w:proofErr w:type="gramStart"/>
      <w:r w:rsidRPr="00651DFA">
        <w:rPr>
          <w:b/>
        </w:rPr>
        <w:t>От</w:t>
      </w:r>
      <w:proofErr w:type="gramEnd"/>
      <w:r w:rsidRPr="00651DFA">
        <w:rPr>
          <w:b/>
        </w:rPr>
        <w:t xml:space="preserve"> также рекомендует ему:</w:t>
      </w:r>
    </w:p>
    <w:p w:rsidR="00651DFA" w:rsidRPr="00651DFA" w:rsidRDefault="002F63EB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a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активизировать борьбу с торговлей людьми, в частности в</w:t>
      </w:r>
      <w:r w:rsidR="00651DFA" w:rsidRPr="00651DFA">
        <w:rPr>
          <w:b/>
        </w:rPr>
        <w:t>ы</w:t>
      </w:r>
      <w:r w:rsidR="00651DFA" w:rsidRPr="00651DFA">
        <w:rPr>
          <w:b/>
        </w:rPr>
        <w:t>ходцами из стран к югу от Сахары, обеспечив эффективное применение своего з</w:t>
      </w:r>
      <w:r w:rsidR="00651DFA" w:rsidRPr="00651DFA">
        <w:rPr>
          <w:b/>
        </w:rPr>
        <w:t>а</w:t>
      </w:r>
      <w:r w:rsidR="00651DFA" w:rsidRPr="00651DFA">
        <w:rPr>
          <w:b/>
        </w:rPr>
        <w:t>конодательства во всех случаях;</w:t>
      </w:r>
    </w:p>
    <w:p w:rsidR="00651DFA" w:rsidRPr="00651DFA" w:rsidRDefault="002F63EB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b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расследовать все доведенные до его сведения случаи торговли людьми, привлекать виновных к ответственности и применять в отнош</w:t>
      </w:r>
      <w:r w:rsidR="00651DFA" w:rsidRPr="00651DFA">
        <w:rPr>
          <w:b/>
        </w:rPr>
        <w:t>е</w:t>
      </w:r>
      <w:r w:rsidR="00651DFA" w:rsidRPr="00651DFA">
        <w:rPr>
          <w:b/>
        </w:rPr>
        <w:t>нии них надлежащие меры наказания, а также обеспечить предоставление жертвам компенсации;</w:t>
      </w:r>
    </w:p>
    <w:p w:rsidR="00651DFA" w:rsidRPr="00651DFA" w:rsidRDefault="002F63EB" w:rsidP="00651DFA">
      <w:pPr>
        <w:pStyle w:val="SingleTxtGR"/>
        <w:rPr>
          <w:b/>
        </w:rPr>
      </w:pPr>
      <w:r>
        <w:rPr>
          <w:b/>
        </w:rPr>
        <w:tab/>
      </w:r>
      <w:r w:rsidR="00651DFA" w:rsidRPr="00651DFA">
        <w:rPr>
          <w:b/>
          <w:lang w:val="fr-CH"/>
        </w:rPr>
        <w:t>c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укрепить меры по предоставлению защиты и помощи жертвам и облегчению процедуры подачи жалоб, в частности обеспечивая, в сотру</w:t>
      </w:r>
      <w:r w:rsidR="00651DFA" w:rsidRPr="00651DFA">
        <w:rPr>
          <w:b/>
        </w:rPr>
        <w:t>д</w:t>
      </w:r>
      <w:r w:rsidR="00651DFA" w:rsidRPr="00651DFA">
        <w:rPr>
          <w:b/>
        </w:rPr>
        <w:t>ничестве с организациями гражданского общества, чтобы жертвы имели эффективный доступ к юридической и психологической помощи и соц</w:t>
      </w:r>
      <w:r w:rsidR="00651DFA" w:rsidRPr="00651DFA">
        <w:rPr>
          <w:b/>
        </w:rPr>
        <w:t>и</w:t>
      </w:r>
      <w:r w:rsidR="00651DFA" w:rsidRPr="00651DFA">
        <w:rPr>
          <w:b/>
        </w:rPr>
        <w:t>альным услугам, включая жилье;</w:t>
      </w:r>
    </w:p>
    <w:p w:rsidR="00651DFA" w:rsidRPr="00651DFA" w:rsidRDefault="002F63EB" w:rsidP="002F63EB">
      <w:pPr>
        <w:pStyle w:val="SingleTxtGR"/>
        <w:pageBreakBefore/>
        <w:rPr>
          <w:b/>
        </w:rPr>
      </w:pPr>
      <w:r>
        <w:rPr>
          <w:b/>
        </w:rPr>
        <w:lastRenderedPageBreak/>
        <w:tab/>
      </w:r>
      <w:r w:rsidR="00651DFA" w:rsidRPr="00651DFA">
        <w:rPr>
          <w:b/>
          <w:lang w:val="fr-CH"/>
        </w:rPr>
        <w:t>d</w:t>
      </w:r>
      <w:r w:rsidR="00651DFA" w:rsidRPr="00651DFA">
        <w:rPr>
          <w:b/>
        </w:rPr>
        <w:t>)</w:t>
      </w:r>
      <w:r w:rsidR="00651DFA" w:rsidRPr="00651DFA">
        <w:rPr>
          <w:b/>
        </w:rPr>
        <w:tab/>
        <w:t>продолжать проводить подготовку и повышать информирова</w:t>
      </w:r>
      <w:r w:rsidR="00651DFA" w:rsidRPr="00651DFA">
        <w:rPr>
          <w:b/>
        </w:rPr>
        <w:t>н</w:t>
      </w:r>
      <w:r w:rsidR="00651DFA" w:rsidRPr="00651DFA">
        <w:rPr>
          <w:b/>
        </w:rPr>
        <w:t>ность должностных лиц, занимающихся правоохранительной деятельн</w:t>
      </w:r>
      <w:r w:rsidR="00651DFA" w:rsidRPr="00651DFA">
        <w:rPr>
          <w:b/>
        </w:rPr>
        <w:t>о</w:t>
      </w:r>
      <w:r w:rsidR="00651DFA" w:rsidRPr="00651DFA">
        <w:rPr>
          <w:b/>
        </w:rPr>
        <w:t>стью, в том числе иммиграционных сотрудников на границах, по вопросам выя</w:t>
      </w:r>
      <w:r w:rsidR="00651DFA" w:rsidRPr="00651DFA">
        <w:rPr>
          <w:b/>
        </w:rPr>
        <w:t>в</w:t>
      </w:r>
      <w:r w:rsidR="00651DFA" w:rsidRPr="00651DFA">
        <w:rPr>
          <w:b/>
        </w:rPr>
        <w:t>ления жертв торговли людьми.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Представление данных о жалобах на расовую дискриминацию</w:t>
      </w:r>
    </w:p>
    <w:p w:rsidR="00651DFA" w:rsidRPr="00651DFA" w:rsidRDefault="00651DFA" w:rsidP="00651DFA">
      <w:pPr>
        <w:pStyle w:val="SingleTxtGR"/>
      </w:pPr>
      <w:r w:rsidRPr="00651DFA">
        <w:t>25.</w:t>
      </w:r>
      <w:r w:rsidRPr="00651DFA">
        <w:tab/>
      </w:r>
      <w:proofErr w:type="gramStart"/>
      <w:r w:rsidRPr="00651DFA">
        <w:t>Отмечая, что государство-участник включило определение расовой ди</w:t>
      </w:r>
      <w:r w:rsidRPr="00651DFA">
        <w:t>с</w:t>
      </w:r>
      <w:r w:rsidRPr="00651DFA">
        <w:t>криминации в свое законодательство, в частности в закон № 14-01 от 4 февраля 2014 года, Комитет вместе с тем с сожалением отмечает, что государство-участник представило ему очень мало подробных данных о жалобах, судебном преследовании, санкциях и возмещении ущерба в связи со случаями расовой дискриминации (статьи 2, 4 и 6).</w:t>
      </w:r>
      <w:proofErr w:type="gramEnd"/>
    </w:p>
    <w:p w:rsidR="00651DFA" w:rsidRPr="00651DFA" w:rsidRDefault="00651DFA" w:rsidP="00651DFA">
      <w:pPr>
        <w:pStyle w:val="SingleTxtGR"/>
        <w:rPr>
          <w:bCs/>
        </w:rPr>
      </w:pPr>
      <w:r w:rsidRPr="00651DFA">
        <w:rPr>
          <w:bCs/>
        </w:rPr>
        <w:t>26.</w:t>
      </w:r>
      <w:r w:rsidRPr="00651DFA">
        <w:rPr>
          <w:bCs/>
        </w:rPr>
        <w:tab/>
      </w:r>
      <w:proofErr w:type="gramStart"/>
      <w:r w:rsidRPr="00651DFA">
        <w:rPr>
          <w:b/>
        </w:rPr>
        <w:t>Комитет напоми</w:t>
      </w:r>
      <w:r w:rsidR="0078170B">
        <w:rPr>
          <w:b/>
        </w:rPr>
        <w:t>нает государству-участнику, что</w:t>
      </w:r>
      <w:r w:rsidRPr="00651DFA">
        <w:rPr>
          <w:b/>
        </w:rPr>
        <w:t xml:space="preserve"> в соответствии с его общей рекомендацией № </w:t>
      </w:r>
      <w:r w:rsidRPr="00651DFA">
        <w:rPr>
          <w:b/>
          <w:bCs/>
        </w:rPr>
        <w:t>31 (2005) о предупреждении расовой дискримин</w:t>
      </w:r>
      <w:r w:rsidRPr="00651DFA">
        <w:rPr>
          <w:b/>
          <w:bCs/>
        </w:rPr>
        <w:t>а</w:t>
      </w:r>
      <w:r w:rsidRPr="00651DFA">
        <w:rPr>
          <w:b/>
          <w:bCs/>
        </w:rPr>
        <w:t>ции в процессе отправления и функционировани</w:t>
      </w:r>
      <w:r w:rsidR="0078170B">
        <w:rPr>
          <w:b/>
          <w:bCs/>
        </w:rPr>
        <w:t>я системы уголовного правосудия</w:t>
      </w:r>
      <w:r w:rsidRPr="00651DFA">
        <w:rPr>
          <w:b/>
          <w:bCs/>
        </w:rPr>
        <w:t xml:space="preserve"> отсутствие жалоб и судебных исков со стороны жертв расовой дискриминации может, в частности, свидетельствовать о недостаточной информированности о существующих средствах правовой защиты, нед</w:t>
      </w:r>
      <w:r w:rsidRPr="00651DFA">
        <w:rPr>
          <w:b/>
          <w:bCs/>
        </w:rPr>
        <w:t>о</w:t>
      </w:r>
      <w:r w:rsidRPr="00651DFA">
        <w:rPr>
          <w:b/>
          <w:bCs/>
        </w:rPr>
        <w:t>статочном желании властей преследовать в судебном порядке виновных в совершении этих актов, отсутствии доверия</w:t>
      </w:r>
      <w:proofErr w:type="gramEnd"/>
      <w:r w:rsidRPr="00651DFA">
        <w:rPr>
          <w:b/>
          <w:bCs/>
        </w:rPr>
        <w:t xml:space="preserve"> к системе уголовного правос</w:t>
      </w:r>
      <w:r w:rsidRPr="00651DFA">
        <w:rPr>
          <w:b/>
          <w:bCs/>
        </w:rPr>
        <w:t>у</w:t>
      </w:r>
      <w:r w:rsidRPr="00651DFA">
        <w:rPr>
          <w:b/>
          <w:bCs/>
        </w:rPr>
        <w:t>дия или об опасениях пострадавших подвергнуться репрессиям. Комитет настоятельно призывает государство-участник:</w:t>
      </w:r>
    </w:p>
    <w:p w:rsidR="00651DFA" w:rsidRPr="00651DFA" w:rsidRDefault="002F63EB" w:rsidP="00651DFA">
      <w:pPr>
        <w:pStyle w:val="SingleTxtGR"/>
        <w:rPr>
          <w:b/>
          <w:bCs/>
        </w:rPr>
      </w:pPr>
      <w:r>
        <w:rPr>
          <w:b/>
          <w:bCs/>
        </w:rPr>
        <w:tab/>
      </w:r>
      <w:r w:rsidR="00651DFA" w:rsidRPr="00651DFA">
        <w:rPr>
          <w:b/>
          <w:bCs/>
          <w:lang w:val="fr-FR"/>
        </w:rPr>
        <w:t>a</w:t>
      </w:r>
      <w:r w:rsidR="00651DFA" w:rsidRPr="00651DFA">
        <w:rPr>
          <w:b/>
          <w:bCs/>
        </w:rPr>
        <w:t>)</w:t>
      </w:r>
      <w:r w:rsidR="00651DFA" w:rsidRPr="00651DFA">
        <w:rPr>
          <w:b/>
          <w:bCs/>
        </w:rPr>
        <w:tab/>
        <w:t>облегчить процедуру представления жалоб в безопасных усл</w:t>
      </w:r>
      <w:r w:rsidR="00651DFA" w:rsidRPr="00651DFA">
        <w:rPr>
          <w:b/>
          <w:bCs/>
        </w:rPr>
        <w:t>о</w:t>
      </w:r>
      <w:r w:rsidR="00651DFA" w:rsidRPr="00651DFA">
        <w:rPr>
          <w:b/>
          <w:bCs/>
        </w:rPr>
        <w:t>виях, не допускающих репрессий, и представить в своем следующем д</w:t>
      </w:r>
      <w:r w:rsidR="00651DFA" w:rsidRPr="00651DFA">
        <w:rPr>
          <w:b/>
          <w:bCs/>
        </w:rPr>
        <w:t>о</w:t>
      </w:r>
      <w:r w:rsidR="00651DFA" w:rsidRPr="00651DFA">
        <w:rPr>
          <w:b/>
          <w:bCs/>
        </w:rPr>
        <w:t>кладе стат</w:t>
      </w:r>
      <w:r w:rsidR="00651DFA" w:rsidRPr="00651DFA">
        <w:rPr>
          <w:b/>
          <w:bCs/>
        </w:rPr>
        <w:t>и</w:t>
      </w:r>
      <w:r w:rsidR="00651DFA" w:rsidRPr="00651DFA">
        <w:rPr>
          <w:b/>
          <w:bCs/>
        </w:rPr>
        <w:t>стические данные о полученных жалобах, возбужденных делах, санкциях в отношении виновных в совершении таких актов расовой ди</w:t>
      </w:r>
      <w:r w:rsidR="00651DFA" w:rsidRPr="00651DFA">
        <w:rPr>
          <w:b/>
          <w:bCs/>
        </w:rPr>
        <w:t>с</w:t>
      </w:r>
      <w:r w:rsidR="00651DFA" w:rsidRPr="00651DFA">
        <w:rPr>
          <w:b/>
          <w:bCs/>
        </w:rPr>
        <w:t>криминации, а также о предоставленном жертвам возмещении;</w:t>
      </w:r>
    </w:p>
    <w:p w:rsidR="00651DFA" w:rsidRPr="00651DFA" w:rsidRDefault="002F63EB" w:rsidP="00651DFA">
      <w:pPr>
        <w:pStyle w:val="SingleTxtGR"/>
        <w:rPr>
          <w:b/>
          <w:bCs/>
        </w:rPr>
      </w:pPr>
      <w:r>
        <w:rPr>
          <w:b/>
          <w:bCs/>
        </w:rPr>
        <w:tab/>
      </w:r>
      <w:r w:rsidR="00651DFA" w:rsidRPr="00651DFA">
        <w:rPr>
          <w:b/>
          <w:bCs/>
          <w:lang w:val="fr-FR"/>
        </w:rPr>
        <w:t>b</w:t>
      </w:r>
      <w:r w:rsidR="00651DFA" w:rsidRPr="00651DFA">
        <w:rPr>
          <w:b/>
          <w:bCs/>
        </w:rPr>
        <w:t>)</w:t>
      </w:r>
      <w:r w:rsidR="00651DFA" w:rsidRPr="00651DFA">
        <w:rPr>
          <w:b/>
          <w:bCs/>
        </w:rPr>
        <w:tab/>
        <w:t>продолжать подготовку магистратов, судей и прокуроров и с</w:t>
      </w:r>
      <w:r w:rsidR="00651DFA" w:rsidRPr="00651DFA">
        <w:rPr>
          <w:b/>
          <w:bCs/>
        </w:rPr>
        <w:t>о</w:t>
      </w:r>
      <w:r w:rsidR="00651DFA" w:rsidRPr="00651DFA">
        <w:rPr>
          <w:b/>
          <w:bCs/>
        </w:rPr>
        <w:t>трудн</w:t>
      </w:r>
      <w:r w:rsidR="00651DFA" w:rsidRPr="00651DFA">
        <w:rPr>
          <w:b/>
          <w:bCs/>
        </w:rPr>
        <w:t>и</w:t>
      </w:r>
      <w:r w:rsidR="00651DFA" w:rsidRPr="00651DFA">
        <w:rPr>
          <w:b/>
          <w:bCs/>
        </w:rPr>
        <w:t>ков полиции по вопросам национального законодательства о борьбе с р</w:t>
      </w:r>
      <w:r w:rsidR="00651DFA" w:rsidRPr="00651DFA">
        <w:rPr>
          <w:b/>
          <w:bCs/>
        </w:rPr>
        <w:t>а</w:t>
      </w:r>
      <w:r w:rsidR="00651DFA" w:rsidRPr="00651DFA">
        <w:rPr>
          <w:b/>
          <w:bCs/>
        </w:rPr>
        <w:t>совой дискриминацией;</w:t>
      </w:r>
    </w:p>
    <w:p w:rsidR="00651DFA" w:rsidRPr="00651DFA" w:rsidRDefault="002F63EB" w:rsidP="00651DFA">
      <w:pPr>
        <w:pStyle w:val="SingleTxtGR"/>
        <w:rPr>
          <w:b/>
          <w:bCs/>
        </w:rPr>
      </w:pPr>
      <w:r>
        <w:rPr>
          <w:b/>
          <w:bCs/>
        </w:rPr>
        <w:tab/>
      </w:r>
      <w:r w:rsidR="00651DFA" w:rsidRPr="00651DFA">
        <w:rPr>
          <w:b/>
          <w:bCs/>
          <w:lang w:val="fr-FR"/>
        </w:rPr>
        <w:t>c</w:t>
      </w:r>
      <w:r w:rsidR="00651DFA" w:rsidRPr="00651DFA">
        <w:rPr>
          <w:b/>
          <w:bCs/>
        </w:rPr>
        <w:t>)</w:t>
      </w:r>
      <w:r w:rsidR="00651DFA" w:rsidRPr="00651DFA">
        <w:rPr>
          <w:b/>
          <w:bCs/>
        </w:rPr>
        <w:tab/>
        <w:t>обеспечить широкое распространение этого законодательства и ознакомление с ним населения, включая мигрантов, беженцев и жителей отдаленных районов, с тем чтобы они были осведомлены о своих правах, в том числе обо всех имеющихся средствах правовой защиты в отношении расовой дискриминации.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Препятствия на пути регистрации неправительственных орга</w:t>
      </w:r>
      <w:r w:rsidR="002F63EB">
        <w:t>низаций и </w:t>
      </w:r>
      <w:r w:rsidRPr="00651DFA">
        <w:t>ассоциаций</w:t>
      </w:r>
    </w:p>
    <w:p w:rsidR="00651DFA" w:rsidRPr="00651DFA" w:rsidRDefault="00651DFA" w:rsidP="00651DFA">
      <w:pPr>
        <w:pStyle w:val="SingleTxtGR"/>
      </w:pPr>
      <w:r w:rsidRPr="00651DFA">
        <w:t>27.</w:t>
      </w:r>
      <w:r w:rsidRPr="00651DFA">
        <w:tab/>
        <w:t>Принимая к сведению представленную государством-участником инфо</w:t>
      </w:r>
      <w:r w:rsidRPr="00651DFA">
        <w:t>р</w:t>
      </w:r>
      <w:r w:rsidRPr="00651DFA">
        <w:t>мацию, Комитет вместе с тем обеспокоен сообщениями об административных препятствиях на пути регистрации и аккредитации неправительственных орг</w:t>
      </w:r>
      <w:r w:rsidRPr="00651DFA">
        <w:t>а</w:t>
      </w:r>
      <w:r w:rsidRPr="00651DFA">
        <w:t xml:space="preserve">низаций и ассоциаций, в частности занимающихся защитой прав </w:t>
      </w:r>
      <w:proofErr w:type="spellStart"/>
      <w:r w:rsidRPr="00651DFA">
        <w:t>амазигов</w:t>
      </w:r>
      <w:proofErr w:type="spellEnd"/>
      <w:r w:rsidRPr="00651DFA">
        <w:t xml:space="preserve"> (ст</w:t>
      </w:r>
      <w:r w:rsidRPr="00651DFA">
        <w:t>а</w:t>
      </w:r>
      <w:r w:rsidRPr="00651DFA">
        <w:t>тья 5).</w:t>
      </w:r>
    </w:p>
    <w:p w:rsidR="00651DFA" w:rsidRPr="00651DFA" w:rsidRDefault="00651DFA" w:rsidP="00651DFA">
      <w:pPr>
        <w:pStyle w:val="SingleTxtGR"/>
      </w:pPr>
      <w:r w:rsidRPr="00651DFA">
        <w:t>28.</w:t>
      </w:r>
      <w:r w:rsidRPr="00651DFA">
        <w:tab/>
      </w:r>
      <w:r w:rsidRPr="00651DFA">
        <w:rPr>
          <w:b/>
        </w:rPr>
        <w:t>Комитет рекомендует государству-участнику обеспечить эффекти</w:t>
      </w:r>
      <w:r w:rsidRPr="00651DFA">
        <w:rPr>
          <w:b/>
        </w:rPr>
        <w:t>в</w:t>
      </w:r>
      <w:r w:rsidRPr="00651DFA">
        <w:rPr>
          <w:b/>
        </w:rPr>
        <w:t xml:space="preserve">ное применение своего законодательства и принимать меры к тому, чтобы административные препоны не препятствовали созданию и регистрации неправительственных организаций и ассоциаций, в том числе тех, которые отстаивают права </w:t>
      </w:r>
      <w:proofErr w:type="spellStart"/>
      <w:r w:rsidRPr="00651DFA">
        <w:rPr>
          <w:b/>
        </w:rPr>
        <w:t>амазигов</w:t>
      </w:r>
      <w:proofErr w:type="spellEnd"/>
      <w:r w:rsidRPr="00651DFA">
        <w:rPr>
          <w:b/>
        </w:rPr>
        <w:t>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Правозащитники</w:t>
      </w:r>
    </w:p>
    <w:p w:rsidR="00651DFA" w:rsidRPr="00651DFA" w:rsidRDefault="00651DFA" w:rsidP="00651DFA">
      <w:pPr>
        <w:pStyle w:val="SingleTxtGR"/>
      </w:pPr>
      <w:r w:rsidRPr="00651DFA">
        <w:t>29.</w:t>
      </w:r>
      <w:r w:rsidRPr="00651DFA">
        <w:tab/>
        <w:t>Комитет также обеспокоен сообщениями о случаях запугивания, ареста и заключения под стражу отдельных правозащитников, а также конфискации у них паспортов.</w:t>
      </w:r>
    </w:p>
    <w:p w:rsidR="00651DFA" w:rsidRPr="00651DFA" w:rsidRDefault="00651DFA" w:rsidP="00651DFA">
      <w:pPr>
        <w:pStyle w:val="SingleTxtGR"/>
      </w:pPr>
      <w:r w:rsidRPr="00651DFA">
        <w:lastRenderedPageBreak/>
        <w:t>30.</w:t>
      </w:r>
      <w:r w:rsidRPr="00651DFA">
        <w:tab/>
      </w:r>
      <w:r w:rsidRPr="00651DFA">
        <w:rPr>
          <w:b/>
        </w:rPr>
        <w:t>Комитет рекомендует государству-участнику обеспечить, чтобы пр</w:t>
      </w:r>
      <w:r w:rsidRPr="00651DFA">
        <w:rPr>
          <w:b/>
        </w:rPr>
        <w:t>а</w:t>
      </w:r>
      <w:r w:rsidRPr="00651DFA">
        <w:rPr>
          <w:b/>
        </w:rPr>
        <w:t>возащитники не подвергались дискриминационным мерам, в том числе запугиванию, аресту, заключению под стражу или конфискации паспорта.</w:t>
      </w:r>
    </w:p>
    <w:p w:rsidR="00651DFA" w:rsidRPr="00651DFA" w:rsidRDefault="00651DFA" w:rsidP="002F63EB">
      <w:pPr>
        <w:pStyle w:val="H1GR"/>
      </w:pPr>
      <w:r w:rsidRPr="00651DFA">
        <w:tab/>
      </w:r>
      <w:r w:rsidRPr="00651DFA">
        <w:rPr>
          <w:lang w:val="fr-FR"/>
        </w:rPr>
        <w:t>D</w:t>
      </w:r>
      <w:r w:rsidRPr="00651DFA">
        <w:t>.</w:t>
      </w:r>
      <w:r w:rsidRPr="00651DFA">
        <w:tab/>
        <w:t>Другие рекомендации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Ратификация других договоров</w:t>
      </w:r>
    </w:p>
    <w:p w:rsidR="00651DFA" w:rsidRPr="00651DFA" w:rsidRDefault="00651DFA" w:rsidP="00651DFA">
      <w:pPr>
        <w:pStyle w:val="SingleTxtGR"/>
        <w:rPr>
          <w:b/>
        </w:rPr>
      </w:pPr>
      <w:r w:rsidRPr="00651DFA" w:rsidDel="00B12EA1">
        <w:t>31.</w:t>
      </w:r>
      <w:r w:rsidRPr="00651DFA" w:rsidDel="00B12EA1">
        <w:tab/>
      </w:r>
      <w:proofErr w:type="gramStart"/>
      <w:r w:rsidRPr="00651DFA">
        <w:rPr>
          <w:b/>
        </w:rPr>
        <w:t>Учитывая неделимость всех прав человека, Комитет призывает гос</w:t>
      </w:r>
      <w:r w:rsidRPr="00651DFA">
        <w:rPr>
          <w:b/>
        </w:rPr>
        <w:t>у</w:t>
      </w:r>
      <w:r w:rsidRPr="00651DFA">
        <w:rPr>
          <w:b/>
        </w:rPr>
        <w:t>дарство-участник рассмотреть возможность ратификации тех междунаро</w:t>
      </w:r>
      <w:r w:rsidRPr="00651DFA">
        <w:rPr>
          <w:b/>
        </w:rPr>
        <w:t>д</w:t>
      </w:r>
      <w:r w:rsidRPr="00651DFA">
        <w:rPr>
          <w:b/>
        </w:rPr>
        <w:t>ных договоров по правам человека, котор</w:t>
      </w:r>
      <w:r w:rsidR="0078170B">
        <w:rPr>
          <w:b/>
        </w:rPr>
        <w:t>ые оно еще не ратифицировало, в </w:t>
      </w:r>
      <w:bookmarkStart w:id="0" w:name="_GoBack"/>
      <w:bookmarkEnd w:id="0"/>
      <w:r w:rsidRPr="00651DFA">
        <w:rPr>
          <w:b/>
        </w:rPr>
        <w:t>частности договоров, положения которых непосредственно касаются о</w:t>
      </w:r>
      <w:r w:rsidRPr="00651DFA">
        <w:rPr>
          <w:b/>
        </w:rPr>
        <w:t>б</w:t>
      </w:r>
      <w:r w:rsidRPr="00651DFA">
        <w:rPr>
          <w:b/>
        </w:rPr>
        <w:t>щин, которые могут подвергаться расовой дискриминации.</w:t>
      </w:r>
      <w:proofErr w:type="gramEnd"/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 xml:space="preserve">Последующие меры в связи с </w:t>
      </w:r>
      <w:proofErr w:type="spellStart"/>
      <w:r w:rsidRPr="00651DFA">
        <w:t>Дурбанской</w:t>
      </w:r>
      <w:proofErr w:type="spellEnd"/>
      <w:r w:rsidRPr="00651DFA">
        <w:t xml:space="preserve"> декларацией и Программой действий</w:t>
      </w:r>
    </w:p>
    <w:p w:rsidR="00651DFA" w:rsidRPr="00651DFA" w:rsidRDefault="00651DFA" w:rsidP="00651DFA">
      <w:pPr>
        <w:pStyle w:val="SingleTxtGR"/>
      </w:pPr>
      <w:r w:rsidRPr="00651DFA">
        <w:t>32.</w:t>
      </w:r>
      <w:r w:rsidRPr="00651DFA">
        <w:tab/>
      </w:r>
      <w:proofErr w:type="gramStart"/>
      <w:r w:rsidRPr="00651DFA">
        <w:rPr>
          <w:b/>
        </w:rPr>
        <w:t xml:space="preserve">В свете своей общей рекомендации </w:t>
      </w:r>
      <w:r w:rsidRPr="00651DFA">
        <w:t>№ </w:t>
      </w:r>
      <w:r w:rsidRPr="00651DFA">
        <w:rPr>
          <w:b/>
          <w:bCs/>
        </w:rPr>
        <w:t xml:space="preserve">33 (2009) о последующих мерах в связи с Конференцией по обзору </w:t>
      </w:r>
      <w:proofErr w:type="spellStart"/>
      <w:r w:rsidRPr="00651DFA">
        <w:rPr>
          <w:b/>
          <w:bCs/>
        </w:rPr>
        <w:t>Дурбанского</w:t>
      </w:r>
      <w:proofErr w:type="spellEnd"/>
      <w:r w:rsidRPr="00651DFA">
        <w:rPr>
          <w:b/>
          <w:bCs/>
        </w:rPr>
        <w:t xml:space="preserve"> процесса Комитет рекоме</w:t>
      </w:r>
      <w:r w:rsidRPr="00651DFA">
        <w:rPr>
          <w:b/>
          <w:bCs/>
        </w:rPr>
        <w:t>н</w:t>
      </w:r>
      <w:r w:rsidRPr="00651DFA">
        <w:rPr>
          <w:b/>
          <w:bCs/>
        </w:rPr>
        <w:t xml:space="preserve">дует государству-участнику при осуществлении Конвенции предпринять шаги по выполнению </w:t>
      </w:r>
      <w:proofErr w:type="spellStart"/>
      <w:r w:rsidRPr="00651DFA">
        <w:rPr>
          <w:b/>
          <w:bCs/>
        </w:rPr>
        <w:t>Дурбанской</w:t>
      </w:r>
      <w:proofErr w:type="spellEnd"/>
      <w:r w:rsidRPr="00651DFA">
        <w:rPr>
          <w:b/>
          <w:bCs/>
        </w:rPr>
        <w:t xml:space="preserve">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</w:t>
      </w:r>
      <w:r w:rsidRPr="00651DFA">
        <w:rPr>
          <w:b/>
          <w:bCs/>
        </w:rPr>
        <w:t>р</w:t>
      </w:r>
      <w:r w:rsidRPr="00651DFA">
        <w:rPr>
          <w:b/>
          <w:bCs/>
        </w:rPr>
        <w:t xml:space="preserve">пимости, с учетом итогового документа Конференции по обзору </w:t>
      </w:r>
      <w:proofErr w:type="spellStart"/>
      <w:r w:rsidRPr="00651DFA">
        <w:rPr>
          <w:b/>
          <w:bCs/>
        </w:rPr>
        <w:t>Дурбанск</w:t>
      </w:r>
      <w:r w:rsidRPr="00651DFA">
        <w:rPr>
          <w:b/>
          <w:bCs/>
        </w:rPr>
        <w:t>о</w:t>
      </w:r>
      <w:r w:rsidRPr="00651DFA">
        <w:rPr>
          <w:b/>
          <w:bCs/>
        </w:rPr>
        <w:t>го</w:t>
      </w:r>
      <w:proofErr w:type="spellEnd"/>
      <w:proofErr w:type="gramEnd"/>
      <w:r w:rsidRPr="00651DFA">
        <w:rPr>
          <w:b/>
          <w:bCs/>
        </w:rPr>
        <w:t xml:space="preserve"> </w:t>
      </w:r>
      <w:proofErr w:type="gramStart"/>
      <w:r w:rsidRPr="00651DFA">
        <w:rPr>
          <w:b/>
          <w:bCs/>
        </w:rPr>
        <w:t>процесса, состоявшейся в Женеве в апреле 2009 года.</w:t>
      </w:r>
      <w:proofErr w:type="gramEnd"/>
      <w:r w:rsidRPr="00651DFA">
        <w:rPr>
          <w:b/>
          <w:bCs/>
        </w:rPr>
        <w:t xml:space="preserve"> </w:t>
      </w:r>
      <w:r w:rsidRPr="00651DFA">
        <w:rPr>
          <w:b/>
        </w:rPr>
        <w:t>Комитет просит государство-участник включить в его следующий периодический доклад конкретную информацию об утвержденных планах действий и других м</w:t>
      </w:r>
      <w:r w:rsidRPr="00651DFA">
        <w:rPr>
          <w:b/>
        </w:rPr>
        <w:t>е</w:t>
      </w:r>
      <w:r w:rsidRPr="00651DFA">
        <w:rPr>
          <w:b/>
        </w:rPr>
        <w:t xml:space="preserve">рах, принятых с целью осуществления </w:t>
      </w:r>
      <w:proofErr w:type="spellStart"/>
      <w:r w:rsidRPr="00651DFA">
        <w:rPr>
          <w:b/>
        </w:rPr>
        <w:t>Дурбанской</w:t>
      </w:r>
      <w:proofErr w:type="spellEnd"/>
      <w:r w:rsidRPr="00651DFA">
        <w:rPr>
          <w:b/>
        </w:rPr>
        <w:t xml:space="preserve"> декларации и Пр</w:t>
      </w:r>
      <w:r w:rsidRPr="00651DFA">
        <w:rPr>
          <w:b/>
        </w:rPr>
        <w:t>о</w:t>
      </w:r>
      <w:r w:rsidRPr="00651DFA">
        <w:rPr>
          <w:b/>
        </w:rPr>
        <w:t>граммы действий на национальном уровне.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Международное десятилетие лиц африканского происхождения</w:t>
      </w:r>
    </w:p>
    <w:p w:rsidR="00651DFA" w:rsidRPr="00651DFA" w:rsidRDefault="00651DFA" w:rsidP="00651DFA">
      <w:pPr>
        <w:pStyle w:val="SingleTxtGR"/>
      </w:pPr>
      <w:r w:rsidRPr="00651DFA">
        <w:t>33.</w:t>
      </w:r>
      <w:r w:rsidRPr="00651DFA">
        <w:tab/>
      </w:r>
      <w:r w:rsidRPr="00651DFA">
        <w:rPr>
          <w:b/>
        </w:rPr>
        <w:t>В свете резолюции</w:t>
      </w:r>
      <w:r w:rsidRPr="00651DFA">
        <w:t xml:space="preserve"> </w:t>
      </w:r>
      <w:r w:rsidRPr="00651DFA">
        <w:rPr>
          <w:b/>
          <w:bCs/>
        </w:rPr>
        <w:t>68/237 Генеральной Ассамблеи, в которой Асса</w:t>
      </w:r>
      <w:r w:rsidRPr="00651DFA">
        <w:rPr>
          <w:b/>
          <w:bCs/>
        </w:rPr>
        <w:t>м</w:t>
      </w:r>
      <w:r w:rsidRPr="00651DFA">
        <w:rPr>
          <w:b/>
          <w:bCs/>
        </w:rPr>
        <w:t xml:space="preserve">блея провозгласила </w:t>
      </w:r>
      <w:r w:rsidR="002F63EB">
        <w:rPr>
          <w:b/>
          <w:bCs/>
        </w:rPr>
        <w:t>2015–</w:t>
      </w:r>
      <w:r w:rsidRPr="00651DFA">
        <w:rPr>
          <w:b/>
          <w:bCs/>
        </w:rPr>
        <w:t>2024 годы Международным десятилетием лиц африканского происхождения, и резолюции 69/16 о программе меропри</w:t>
      </w:r>
      <w:r w:rsidRPr="00651DFA">
        <w:rPr>
          <w:b/>
          <w:bCs/>
        </w:rPr>
        <w:t>я</w:t>
      </w:r>
      <w:r w:rsidRPr="00651DFA">
        <w:rPr>
          <w:b/>
          <w:bCs/>
        </w:rPr>
        <w:t>тий по проведению Десятилетия Комитет рекомендует государству-участнику подготовить и осуществить соответствующую программу мер и стратегий. Комитет просит его включить в свой следующий доклад точную информ</w:t>
      </w:r>
      <w:r w:rsidRPr="00651DFA">
        <w:rPr>
          <w:b/>
          <w:bCs/>
        </w:rPr>
        <w:t>а</w:t>
      </w:r>
      <w:r w:rsidRPr="00651DFA">
        <w:rPr>
          <w:b/>
          <w:bCs/>
        </w:rPr>
        <w:t>цию о конкретных мерах, принятых в этой связи, с учетом общей рекомендации № 34 (2011) о расовой дискриминации в отношении лиц а</w:t>
      </w:r>
      <w:r w:rsidRPr="00651DFA">
        <w:rPr>
          <w:b/>
          <w:bCs/>
        </w:rPr>
        <w:t>ф</w:t>
      </w:r>
      <w:r w:rsidRPr="00651DFA">
        <w:rPr>
          <w:b/>
          <w:bCs/>
        </w:rPr>
        <w:t>рика</w:t>
      </w:r>
      <w:r w:rsidRPr="00651DFA">
        <w:rPr>
          <w:b/>
          <w:bCs/>
        </w:rPr>
        <w:t>н</w:t>
      </w:r>
      <w:r w:rsidRPr="00651DFA">
        <w:rPr>
          <w:b/>
          <w:bCs/>
        </w:rPr>
        <w:t>ского происхождения.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Консультации с гражданским обществом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34.</w:t>
      </w:r>
      <w:r w:rsidRPr="00651DFA">
        <w:tab/>
      </w:r>
      <w:r w:rsidRPr="00651DFA">
        <w:rPr>
          <w:b/>
        </w:rPr>
        <w:t>Комитет рекомендует государству-участнику продолжать и расш</w:t>
      </w:r>
      <w:r w:rsidRPr="00651DFA">
        <w:rPr>
          <w:b/>
        </w:rPr>
        <w:t>и</w:t>
      </w:r>
      <w:r w:rsidRPr="00651DFA">
        <w:rPr>
          <w:b/>
        </w:rPr>
        <w:t>рять диалог с организациями гражданского общества, осуществляющими деятельность в области защиты прав человека, в частности с организац</w:t>
      </w:r>
      <w:r w:rsidRPr="00651DFA">
        <w:rPr>
          <w:b/>
        </w:rPr>
        <w:t>и</w:t>
      </w:r>
      <w:r w:rsidRPr="00651DFA">
        <w:rPr>
          <w:b/>
        </w:rPr>
        <w:t>ями, ведущими борьбу против расовой дискриминации, в рамках составл</w:t>
      </w:r>
      <w:r w:rsidRPr="00651DFA">
        <w:rPr>
          <w:b/>
        </w:rPr>
        <w:t>е</w:t>
      </w:r>
      <w:r w:rsidRPr="00651DFA">
        <w:rPr>
          <w:b/>
        </w:rPr>
        <w:t xml:space="preserve">ния следующего периодического доклада и </w:t>
      </w:r>
      <w:proofErr w:type="gramStart"/>
      <w:r w:rsidRPr="00651DFA">
        <w:rPr>
          <w:b/>
        </w:rPr>
        <w:t>принятия</w:t>
      </w:r>
      <w:proofErr w:type="gramEnd"/>
      <w:r w:rsidRPr="00651DFA">
        <w:rPr>
          <w:b/>
        </w:rPr>
        <w:t xml:space="preserve"> последующих мер по настоящим заключительным замечаниям.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Поправка к статье 8 Конвенции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35.</w:t>
      </w:r>
      <w:r w:rsidRPr="00651DFA">
        <w:tab/>
      </w:r>
      <w:r w:rsidRPr="00651DFA">
        <w:rPr>
          <w:b/>
        </w:rPr>
        <w:t>Комитет рекомендует государству-участнику ратифицировать п</w:t>
      </w:r>
      <w:r w:rsidRPr="00651DFA">
        <w:rPr>
          <w:b/>
        </w:rPr>
        <w:t>о</w:t>
      </w:r>
      <w:r w:rsidRPr="00651DFA">
        <w:rPr>
          <w:b/>
        </w:rPr>
        <w:t>правку к пункту 6 статьи 8 Конвенции, принятую 15 января 1992 года на четырнадцатом совещании государств – участников Конвенции и одобре</w:t>
      </w:r>
      <w:r w:rsidRPr="00651DFA">
        <w:rPr>
          <w:b/>
        </w:rPr>
        <w:t>н</w:t>
      </w:r>
      <w:r w:rsidRPr="00651DFA">
        <w:rPr>
          <w:b/>
        </w:rPr>
        <w:t>ную Генеральной Ассамблеей в ее резолюции 47/111.</w:t>
      </w:r>
    </w:p>
    <w:p w:rsidR="00651DFA" w:rsidRPr="00651DFA" w:rsidRDefault="00651DFA" w:rsidP="002F63EB">
      <w:pPr>
        <w:pStyle w:val="H23GR"/>
      </w:pPr>
      <w:r w:rsidRPr="00651DFA">
        <w:lastRenderedPageBreak/>
        <w:tab/>
      </w:r>
      <w:r w:rsidRPr="00651DFA">
        <w:tab/>
        <w:t>Общий базовый документ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36.</w:t>
      </w:r>
      <w:r w:rsidRPr="00651DFA">
        <w:tab/>
      </w:r>
      <w:proofErr w:type="gramStart"/>
      <w:r w:rsidRPr="00651DFA">
        <w:rPr>
          <w:b/>
        </w:rPr>
        <w:t>Комитет рекомендует государству-участнику подготовить обновле</w:t>
      </w:r>
      <w:r w:rsidRPr="00651DFA">
        <w:rPr>
          <w:b/>
        </w:rPr>
        <w:t>н</w:t>
      </w:r>
      <w:r w:rsidRPr="00651DFA">
        <w:rPr>
          <w:b/>
        </w:rPr>
        <w:t>ный вариант своего базового документа 2004 года в соответствии с согл</w:t>
      </w:r>
      <w:r w:rsidRPr="00651DFA">
        <w:rPr>
          <w:b/>
        </w:rPr>
        <w:t>а</w:t>
      </w:r>
      <w:r w:rsidRPr="00651DFA">
        <w:rPr>
          <w:b/>
        </w:rPr>
        <w:t>сованными руководящими принципами подготовки докладов для органов, созданных в соответствии с международными договорами по правам чел</w:t>
      </w:r>
      <w:r w:rsidRPr="00651DFA">
        <w:rPr>
          <w:b/>
        </w:rPr>
        <w:t>о</w:t>
      </w:r>
      <w:r w:rsidRPr="00651DFA">
        <w:rPr>
          <w:b/>
        </w:rPr>
        <w:t>века (</w:t>
      </w:r>
      <w:r w:rsidRPr="00651DFA">
        <w:rPr>
          <w:b/>
          <w:lang w:val="fr-CH"/>
        </w:rPr>
        <w:t>HRI</w:t>
      </w:r>
      <w:r w:rsidRPr="00651DFA">
        <w:rPr>
          <w:b/>
        </w:rPr>
        <w:t>/</w:t>
      </w:r>
      <w:r w:rsidRPr="00651DFA">
        <w:rPr>
          <w:b/>
          <w:lang w:val="fr-CH"/>
        </w:rPr>
        <w:t>GEN</w:t>
      </w:r>
      <w:r w:rsidRPr="00651DFA">
        <w:rPr>
          <w:b/>
        </w:rPr>
        <w:t>/2/</w:t>
      </w:r>
      <w:proofErr w:type="spellStart"/>
      <w:r w:rsidRPr="00651DFA">
        <w:rPr>
          <w:b/>
          <w:lang w:val="fr-CH"/>
        </w:rPr>
        <w:t>Rev</w:t>
      </w:r>
      <w:proofErr w:type="spellEnd"/>
      <w:r w:rsidRPr="00651DFA">
        <w:rPr>
          <w:b/>
        </w:rPr>
        <w:t xml:space="preserve">.6, глава </w:t>
      </w:r>
      <w:r w:rsidRPr="00651DFA">
        <w:rPr>
          <w:b/>
          <w:lang w:val="fr-CH"/>
        </w:rPr>
        <w:t>I</w:t>
      </w:r>
      <w:r w:rsidRPr="00651DFA">
        <w:rPr>
          <w:b/>
        </w:rPr>
        <w:t xml:space="preserve">), в частности Руководящими принципами подготовки общего базового документа, принятыми на пятом </w:t>
      </w:r>
      <w:proofErr w:type="spellStart"/>
      <w:r w:rsidRPr="00651DFA">
        <w:rPr>
          <w:b/>
        </w:rPr>
        <w:t>межкомите</w:t>
      </w:r>
      <w:r w:rsidRPr="00651DFA">
        <w:rPr>
          <w:b/>
        </w:rPr>
        <w:t>т</w:t>
      </w:r>
      <w:r w:rsidRPr="00651DFA">
        <w:rPr>
          <w:b/>
        </w:rPr>
        <w:t>ском</w:t>
      </w:r>
      <w:proofErr w:type="spellEnd"/>
      <w:r w:rsidRPr="00651DFA">
        <w:rPr>
          <w:b/>
        </w:rPr>
        <w:t xml:space="preserve"> совещании договорных органов по правам человека в июне 2006 года.</w:t>
      </w:r>
      <w:proofErr w:type="gramEnd"/>
      <w:r w:rsidRPr="00651DFA">
        <w:rPr>
          <w:b/>
        </w:rPr>
        <w:t xml:space="preserve"> В свете резолюции 68/268 Генеральной Ассамблеи Комитет настоятельно призывает государство-участник соблюдать установленное для объема т</w:t>
      </w:r>
      <w:r w:rsidRPr="00651DFA">
        <w:rPr>
          <w:b/>
        </w:rPr>
        <w:t>а</w:t>
      </w:r>
      <w:r w:rsidRPr="00651DFA">
        <w:rPr>
          <w:b/>
        </w:rPr>
        <w:t>ких документов ограничение в 42 400 слов.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Последующие меры по выполнению настоящих заключительных замечаний</w:t>
      </w:r>
    </w:p>
    <w:p w:rsidR="00651DFA" w:rsidRPr="00651DFA" w:rsidRDefault="00651DFA" w:rsidP="00651DFA">
      <w:pPr>
        <w:pStyle w:val="SingleTxtGR"/>
        <w:rPr>
          <w:bCs/>
        </w:rPr>
      </w:pPr>
      <w:r w:rsidRPr="00651DFA">
        <w:rPr>
          <w:bCs/>
        </w:rPr>
        <w:t>37.</w:t>
      </w:r>
      <w:r w:rsidRPr="00651DFA">
        <w:rPr>
          <w:bCs/>
        </w:rPr>
        <w:tab/>
      </w:r>
      <w:r w:rsidRPr="00651DFA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</w:t>
      </w:r>
      <w:r w:rsidRPr="00651DFA">
        <w:rPr>
          <w:b/>
        </w:rPr>
        <w:t>а</w:t>
      </w:r>
      <w:r w:rsidRPr="00651DFA">
        <w:rPr>
          <w:b/>
        </w:rPr>
        <w:t>ний информацию о выполнении им рекомендаций, содержащихся в пун</w:t>
      </w:r>
      <w:r w:rsidRPr="00651DFA">
        <w:rPr>
          <w:b/>
        </w:rPr>
        <w:t>к</w:t>
      </w:r>
      <w:r w:rsidRPr="00651DFA">
        <w:rPr>
          <w:b/>
        </w:rPr>
        <w:t>тах</w:t>
      </w:r>
      <w:r w:rsidRPr="00651DFA">
        <w:t xml:space="preserve"> </w:t>
      </w:r>
      <w:r w:rsidRPr="00651DFA">
        <w:rPr>
          <w:b/>
          <w:bCs/>
        </w:rPr>
        <w:t xml:space="preserve">18, 20 </w:t>
      </w:r>
      <w:r w:rsidRPr="00651DFA">
        <w:rPr>
          <w:b/>
          <w:bCs/>
          <w:lang w:val="fr-FR"/>
        </w:rPr>
        <w:t>c</w:t>
      </w:r>
      <w:r w:rsidRPr="00651DFA">
        <w:rPr>
          <w:b/>
          <w:bCs/>
        </w:rPr>
        <w:t xml:space="preserve">) и 24 </w:t>
      </w:r>
      <w:r w:rsidRPr="00651DFA">
        <w:rPr>
          <w:b/>
          <w:bCs/>
          <w:lang w:val="fr-FR"/>
        </w:rPr>
        <w:t>a</w:t>
      </w:r>
      <w:r w:rsidRPr="00651DFA">
        <w:rPr>
          <w:b/>
          <w:bCs/>
        </w:rPr>
        <w:t>).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Пункты, имеющие особое значение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38.</w:t>
      </w:r>
      <w:r w:rsidRPr="00651DFA">
        <w:tab/>
      </w:r>
      <w:r w:rsidRPr="00651DFA">
        <w:rPr>
          <w:b/>
        </w:rPr>
        <w:t>Комитет хотел бы также обратить внимание государства-участника на особое значение рекомендаций, содержащихся в пунктах 10, 22, 26 и 28 выше, и просит государство-участник представить в его следующем пери</w:t>
      </w:r>
      <w:r w:rsidRPr="00651DFA">
        <w:rPr>
          <w:b/>
        </w:rPr>
        <w:t>о</w:t>
      </w:r>
      <w:r w:rsidRPr="00651DFA">
        <w:rPr>
          <w:b/>
        </w:rPr>
        <w:t>дическом докладе подробную информацию о конкретных мерах, принятых им для выполнения этих рекомендаций.</w:t>
      </w:r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Распространение информации</w:t>
      </w:r>
    </w:p>
    <w:p w:rsidR="00651DFA" w:rsidRPr="00651DFA" w:rsidRDefault="00651DFA" w:rsidP="00651DFA">
      <w:pPr>
        <w:pStyle w:val="SingleTxtGR"/>
        <w:rPr>
          <w:b/>
        </w:rPr>
      </w:pPr>
      <w:r w:rsidRPr="00651DFA">
        <w:t>39.</w:t>
      </w:r>
      <w:r w:rsidRPr="00651DFA">
        <w:tab/>
      </w:r>
      <w:proofErr w:type="gramStart"/>
      <w:r w:rsidRPr="00651DFA">
        <w:rPr>
          <w:b/>
        </w:rPr>
        <w:t>Комитет рекомендует государству-участнику обеспечить наличие и доступность для общественности его докладов в момент их представления, а также публикацию в надлежащем порядке заключительных замечаний Комитета по этим докладам на официальном и, при необходимости, на др</w:t>
      </w:r>
      <w:r w:rsidRPr="00651DFA">
        <w:rPr>
          <w:b/>
        </w:rPr>
        <w:t>у</w:t>
      </w:r>
      <w:r w:rsidRPr="00651DFA">
        <w:rPr>
          <w:b/>
        </w:rPr>
        <w:t>гих широко используемых языках.</w:t>
      </w:r>
      <w:proofErr w:type="gramEnd"/>
    </w:p>
    <w:p w:rsidR="00651DFA" w:rsidRPr="00651DFA" w:rsidRDefault="00651DFA" w:rsidP="002F63EB">
      <w:pPr>
        <w:pStyle w:val="H23GR"/>
      </w:pPr>
      <w:r w:rsidRPr="00651DFA">
        <w:tab/>
      </w:r>
      <w:r w:rsidRPr="00651DFA">
        <w:tab/>
        <w:t>Подготовка следующего периодического доклада</w:t>
      </w:r>
    </w:p>
    <w:p w:rsidR="00651DFA" w:rsidRPr="002F63EB" w:rsidRDefault="00651DFA" w:rsidP="00651DFA">
      <w:pPr>
        <w:pStyle w:val="SingleTxtGR"/>
        <w:rPr>
          <w:spacing w:val="2"/>
        </w:rPr>
      </w:pPr>
      <w:r w:rsidRPr="00651DFA">
        <w:t>40.</w:t>
      </w:r>
      <w:r w:rsidRPr="00651DFA">
        <w:tab/>
      </w:r>
      <w:r w:rsidRPr="00651DFA">
        <w:rPr>
          <w:b/>
        </w:rPr>
        <w:t>Комитет рекомендует государству-участнику представить свои об</w:t>
      </w:r>
      <w:r w:rsidRPr="00651DFA">
        <w:rPr>
          <w:b/>
        </w:rPr>
        <w:t>ъ</w:t>
      </w:r>
      <w:r w:rsidRPr="00651DFA">
        <w:rPr>
          <w:b/>
        </w:rPr>
        <w:t>единенные двадцать второй – двадцать четвертый периодические доклады к 15 марта 2021 года с учетом руководящих принципов подготовки докл</w:t>
      </w:r>
      <w:r w:rsidRPr="00651DFA">
        <w:rPr>
          <w:b/>
        </w:rPr>
        <w:t>а</w:t>
      </w:r>
      <w:r w:rsidRPr="00651DFA">
        <w:rPr>
          <w:b/>
        </w:rPr>
        <w:t>дов по Конвенции, утвержденных Комитетом на его семьдесят первой се</w:t>
      </w:r>
      <w:r w:rsidRPr="00651DFA">
        <w:rPr>
          <w:b/>
        </w:rPr>
        <w:t>с</w:t>
      </w:r>
      <w:r w:rsidRPr="00651DFA">
        <w:rPr>
          <w:b/>
        </w:rPr>
        <w:t>сии (</w:t>
      </w:r>
      <w:r w:rsidRPr="00651DFA">
        <w:rPr>
          <w:b/>
          <w:lang w:val="fr-CH"/>
        </w:rPr>
        <w:t>CERD</w:t>
      </w:r>
      <w:r w:rsidRPr="00651DFA">
        <w:rPr>
          <w:b/>
        </w:rPr>
        <w:t>/</w:t>
      </w:r>
      <w:r w:rsidRPr="00651DFA">
        <w:rPr>
          <w:b/>
          <w:lang w:val="fr-CH"/>
        </w:rPr>
        <w:t>C</w:t>
      </w:r>
      <w:r w:rsidRPr="00651DFA">
        <w:rPr>
          <w:b/>
        </w:rPr>
        <w:t xml:space="preserve">/2007/1), отразив в них все вопросы, поднятые в настоящих заключительных замечаниях. </w:t>
      </w:r>
      <w:r w:rsidRPr="00651DFA">
        <w:rPr>
          <w:b/>
          <w:bCs/>
        </w:rPr>
        <w:t xml:space="preserve">В соответствии с резолюцией 68/268 </w:t>
      </w:r>
      <w:r w:rsidRPr="002F63EB">
        <w:rPr>
          <w:b/>
          <w:bCs/>
          <w:spacing w:val="2"/>
        </w:rPr>
        <w:t>Ген</w:t>
      </w:r>
      <w:r w:rsidRPr="002F63EB">
        <w:rPr>
          <w:b/>
          <w:bCs/>
          <w:spacing w:val="2"/>
        </w:rPr>
        <w:t>е</w:t>
      </w:r>
      <w:r w:rsidRPr="002F63EB">
        <w:rPr>
          <w:b/>
          <w:bCs/>
          <w:spacing w:val="2"/>
        </w:rPr>
        <w:t>ральной Ассамблеи Комитет настоятельно призывает государство-участник соблюдать ограничение в 21 200 слов для периодических докл</w:t>
      </w:r>
      <w:r w:rsidRPr="002F63EB">
        <w:rPr>
          <w:b/>
          <w:bCs/>
          <w:spacing w:val="2"/>
        </w:rPr>
        <w:t>а</w:t>
      </w:r>
      <w:r w:rsidRPr="002F63EB">
        <w:rPr>
          <w:b/>
          <w:bCs/>
          <w:spacing w:val="2"/>
        </w:rPr>
        <w:t>дов.</w:t>
      </w:r>
    </w:p>
    <w:p w:rsidR="00381C24" w:rsidRPr="00651DFA" w:rsidRDefault="00651DFA" w:rsidP="00651DF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51DFA" w:rsidSect="00670AA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6E" w:rsidRPr="00A312BC" w:rsidRDefault="00743B6E" w:rsidP="00A312BC"/>
  </w:endnote>
  <w:endnote w:type="continuationSeparator" w:id="0">
    <w:p w:rsidR="00743B6E" w:rsidRPr="00A312BC" w:rsidRDefault="00743B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AC" w:rsidRPr="00670AAC" w:rsidRDefault="00670AAC">
    <w:pPr>
      <w:pStyle w:val="a8"/>
    </w:pPr>
    <w:r w:rsidRPr="00670AAC">
      <w:rPr>
        <w:b/>
        <w:sz w:val="18"/>
      </w:rPr>
      <w:fldChar w:fldCharType="begin"/>
    </w:r>
    <w:r w:rsidRPr="00670AAC">
      <w:rPr>
        <w:b/>
        <w:sz w:val="18"/>
      </w:rPr>
      <w:instrText xml:space="preserve"> PAGE  \* MERGEFORMAT </w:instrText>
    </w:r>
    <w:r w:rsidRPr="00670AAC">
      <w:rPr>
        <w:b/>
        <w:sz w:val="18"/>
      </w:rPr>
      <w:fldChar w:fldCharType="separate"/>
    </w:r>
    <w:r w:rsidR="003111F1">
      <w:rPr>
        <w:b/>
        <w:noProof/>
        <w:sz w:val="18"/>
      </w:rPr>
      <w:t>8</w:t>
    </w:r>
    <w:r w:rsidRPr="00670AAC">
      <w:rPr>
        <w:b/>
        <w:sz w:val="18"/>
      </w:rPr>
      <w:fldChar w:fldCharType="end"/>
    </w:r>
    <w:r>
      <w:rPr>
        <w:b/>
        <w:sz w:val="18"/>
      </w:rPr>
      <w:tab/>
    </w:r>
    <w:r>
      <w:t>GE.17-23035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AC" w:rsidRPr="00670AAC" w:rsidRDefault="00670AAC" w:rsidP="00670AAC">
    <w:pPr>
      <w:pStyle w:val="a8"/>
      <w:tabs>
        <w:tab w:val="clear" w:pos="9639"/>
        <w:tab w:val="right" w:pos="9638"/>
      </w:tabs>
      <w:rPr>
        <w:b/>
        <w:sz w:val="18"/>
      </w:rPr>
    </w:pPr>
    <w:r>
      <w:t>GE.17-23035</w:t>
    </w:r>
    <w:r>
      <w:tab/>
    </w:r>
    <w:r w:rsidRPr="00670AAC">
      <w:rPr>
        <w:b/>
        <w:sz w:val="18"/>
      </w:rPr>
      <w:fldChar w:fldCharType="begin"/>
    </w:r>
    <w:r w:rsidRPr="00670AAC">
      <w:rPr>
        <w:b/>
        <w:sz w:val="18"/>
      </w:rPr>
      <w:instrText xml:space="preserve"> PAGE  \* MERGEFORMAT </w:instrText>
    </w:r>
    <w:r w:rsidRPr="00670AAC">
      <w:rPr>
        <w:b/>
        <w:sz w:val="18"/>
      </w:rPr>
      <w:fldChar w:fldCharType="separate"/>
    </w:r>
    <w:r w:rsidR="003111F1">
      <w:rPr>
        <w:b/>
        <w:noProof/>
        <w:sz w:val="18"/>
      </w:rPr>
      <w:t>9</w:t>
    </w:r>
    <w:r w:rsidRPr="00670A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70AAC" w:rsidRDefault="00670AAC" w:rsidP="00670AAC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079B48E2" wp14:editId="6B47C8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17-23035  (R)</w:t>
    </w:r>
    <w:r>
      <w:rPr>
        <w:lang w:val="en-US"/>
      </w:rPr>
      <w:t xml:space="preserve">  030118  040118</w:t>
    </w:r>
    <w:r>
      <w:br/>
    </w:r>
    <w:r w:rsidRPr="00670AAC">
      <w:rPr>
        <w:rFonts w:ascii="C39T30Lfz" w:hAnsi="C39T30Lfz"/>
        <w:spacing w:val="0"/>
        <w:w w:val="100"/>
        <w:sz w:val="56"/>
      </w:rPr>
      <w:t></w:t>
    </w:r>
    <w:r w:rsidRPr="00670AAC">
      <w:rPr>
        <w:rFonts w:ascii="C39T30Lfz" w:hAnsi="C39T30Lfz"/>
        <w:spacing w:val="0"/>
        <w:w w:val="100"/>
        <w:sz w:val="56"/>
      </w:rPr>
      <w:t></w:t>
    </w:r>
    <w:r w:rsidRPr="00670AAC">
      <w:rPr>
        <w:rFonts w:ascii="C39T30Lfz" w:hAnsi="C39T30Lfz"/>
        <w:spacing w:val="0"/>
        <w:w w:val="100"/>
        <w:sz w:val="56"/>
      </w:rPr>
      <w:t></w:t>
    </w:r>
    <w:r w:rsidRPr="00670AAC">
      <w:rPr>
        <w:rFonts w:ascii="C39T30Lfz" w:hAnsi="C39T30Lfz"/>
        <w:spacing w:val="0"/>
        <w:w w:val="100"/>
        <w:sz w:val="56"/>
      </w:rPr>
      <w:t></w:t>
    </w:r>
    <w:r w:rsidRPr="00670AAC">
      <w:rPr>
        <w:rFonts w:ascii="C39T30Lfz" w:hAnsi="C39T30Lfz"/>
        <w:spacing w:val="0"/>
        <w:w w:val="100"/>
        <w:sz w:val="56"/>
      </w:rPr>
      <w:t></w:t>
    </w:r>
    <w:r w:rsidRPr="00670AAC">
      <w:rPr>
        <w:rFonts w:ascii="C39T30Lfz" w:hAnsi="C39T30Lfz"/>
        <w:spacing w:val="0"/>
        <w:w w:val="100"/>
        <w:sz w:val="56"/>
      </w:rPr>
      <w:t></w:t>
    </w:r>
    <w:r w:rsidRPr="00670AAC">
      <w:rPr>
        <w:rFonts w:ascii="C39T30Lfz" w:hAnsi="C39T30Lfz"/>
        <w:spacing w:val="0"/>
        <w:w w:val="100"/>
        <w:sz w:val="56"/>
      </w:rPr>
      <w:t></w:t>
    </w:r>
    <w:r w:rsidRPr="00670AAC">
      <w:rPr>
        <w:rFonts w:ascii="C39T30Lfz" w:hAnsi="C39T30Lfz"/>
        <w:spacing w:val="0"/>
        <w:w w:val="100"/>
        <w:sz w:val="56"/>
      </w:rPr>
      <w:t></w:t>
    </w:r>
    <w:r w:rsidRPr="00670AA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RD/C/DZA/CO/20-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DZA/CO/20-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6E" w:rsidRPr="001075E9" w:rsidRDefault="00743B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43B6E" w:rsidRDefault="00743B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344AD" w:rsidRPr="00E344AD" w:rsidRDefault="00E344AD" w:rsidP="00E344AD">
      <w:pPr>
        <w:pStyle w:val="ad"/>
        <w:rPr>
          <w:sz w:val="20"/>
          <w:lang w:val="ru-RU"/>
        </w:rPr>
      </w:pPr>
      <w:r>
        <w:tab/>
      </w:r>
      <w:r w:rsidRPr="00E344AD">
        <w:rPr>
          <w:rStyle w:val="aa"/>
          <w:sz w:val="20"/>
          <w:vertAlign w:val="baseline"/>
          <w:lang w:val="ru-RU"/>
        </w:rPr>
        <w:t>*</w:t>
      </w:r>
      <w:r w:rsidRPr="00E344AD">
        <w:rPr>
          <w:rStyle w:val="aa"/>
          <w:vertAlign w:val="baseline"/>
          <w:lang w:val="ru-RU"/>
        </w:rPr>
        <w:tab/>
      </w:r>
      <w:r w:rsidRPr="00E344AD">
        <w:rPr>
          <w:lang w:val="ru-RU"/>
        </w:rPr>
        <w:t>Приняты Комитетом на его девяносто четвертой сессии (20 ноября – 8 декабря</w:t>
      </w:r>
      <w:r>
        <w:rPr>
          <w:lang w:val="ru-RU"/>
        </w:rPr>
        <w:t xml:space="preserve"> 2017</w:t>
      </w:r>
      <w:r>
        <w:rPr>
          <w:lang w:val="en-US"/>
        </w:rPr>
        <w:t> </w:t>
      </w:r>
      <w:r w:rsidRPr="00E344AD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AC" w:rsidRPr="00670AAC" w:rsidRDefault="00670AAC">
    <w:pPr>
      <w:pStyle w:val="a5"/>
    </w:pPr>
    <w:fldSimple w:instr=" TITLE  \* MERGEFORMAT ">
      <w:r w:rsidR="003111F1">
        <w:t>CERD/C/DZA/CO/20-21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AC" w:rsidRPr="00670AAC" w:rsidRDefault="00670AAC" w:rsidP="00670AAC">
    <w:pPr>
      <w:pStyle w:val="a5"/>
      <w:jc w:val="right"/>
    </w:pPr>
    <w:fldSimple w:instr=" TITLE  \* MERGEFORMAT ">
      <w:r w:rsidR="003111F1">
        <w:t>CERD/C/DZA/CO/20-21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E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2FD0"/>
    <w:rsid w:val="001C7A89"/>
    <w:rsid w:val="002A2EFC"/>
    <w:rsid w:val="002B74B1"/>
    <w:rsid w:val="002C0E18"/>
    <w:rsid w:val="002D5AAC"/>
    <w:rsid w:val="002E5067"/>
    <w:rsid w:val="002F405F"/>
    <w:rsid w:val="002F63EB"/>
    <w:rsid w:val="002F7EEC"/>
    <w:rsid w:val="00301299"/>
    <w:rsid w:val="00305C08"/>
    <w:rsid w:val="00307FB6"/>
    <w:rsid w:val="003111F1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51DFA"/>
    <w:rsid w:val="0067000F"/>
    <w:rsid w:val="00670AAC"/>
    <w:rsid w:val="00681A10"/>
    <w:rsid w:val="006A1ED8"/>
    <w:rsid w:val="006C2031"/>
    <w:rsid w:val="006D461A"/>
    <w:rsid w:val="006F35EE"/>
    <w:rsid w:val="007021FF"/>
    <w:rsid w:val="00706B3D"/>
    <w:rsid w:val="00712895"/>
    <w:rsid w:val="00743B6E"/>
    <w:rsid w:val="00757357"/>
    <w:rsid w:val="0078170B"/>
    <w:rsid w:val="007C46C9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44AD"/>
    <w:rsid w:val="00E73F76"/>
    <w:rsid w:val="00EA2C9F"/>
    <w:rsid w:val="00EA420E"/>
    <w:rsid w:val="00ED0BDA"/>
    <w:rsid w:val="00EF1360"/>
    <w:rsid w:val="00EF3220"/>
    <w:rsid w:val="00F0540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9</Pages>
  <Words>3288</Words>
  <Characters>22753</Characters>
  <Application>Microsoft Office Word</Application>
  <DocSecurity>0</DocSecurity>
  <Lines>438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CERD/C/DZA/CO/20-21</vt:lpstr>
      <vt:lpstr>A/</vt:lpstr>
    </vt:vector>
  </TitlesOfParts>
  <Company>DCM</Company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CERD/C/DZA/CO/20-21</dc:title>
  <dc:subject/>
  <dc:creator>Uliana Antipova</dc:creator>
  <cp:keywords/>
  <cp:lastModifiedBy>Uliana Antipova</cp:lastModifiedBy>
  <cp:revision>3</cp:revision>
  <cp:lastPrinted>2018-01-04T08:30:00Z</cp:lastPrinted>
  <dcterms:created xsi:type="dcterms:W3CDTF">2018-01-04T08:30:00Z</dcterms:created>
  <dcterms:modified xsi:type="dcterms:W3CDTF">2018-01-04T08:31:00Z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