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0D40" w:rsidRPr="00136674"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136674" w:rsidRDefault="002E0D40" w:rsidP="00593658">
            <w:pPr>
              <w:spacing w:after="80" w:line="300" w:lineRule="exact"/>
              <w:rPr>
                <w:sz w:val="28"/>
              </w:rPr>
            </w:pPr>
            <w:r w:rsidRPr="00136674">
              <w:rPr>
                <w:sz w:val="28"/>
              </w:rPr>
              <w:t>Nations Unies</w:t>
            </w:r>
          </w:p>
        </w:tc>
        <w:tc>
          <w:tcPr>
            <w:tcW w:w="6095" w:type="dxa"/>
            <w:gridSpan w:val="2"/>
            <w:tcBorders>
              <w:bottom w:val="single" w:sz="4" w:space="0" w:color="auto"/>
            </w:tcBorders>
            <w:vAlign w:val="bottom"/>
          </w:tcPr>
          <w:p w:rsidR="002E0D40" w:rsidRPr="00136674" w:rsidRDefault="00AA07B5" w:rsidP="002B0573">
            <w:pPr>
              <w:jc w:val="right"/>
            </w:pPr>
            <w:r w:rsidRPr="00136674">
              <w:rPr>
                <w:sz w:val="40"/>
              </w:rPr>
              <w:t>CERD</w:t>
            </w:r>
            <w:r w:rsidRPr="00136674">
              <w:t>/C/</w:t>
            </w:r>
            <w:r w:rsidR="002B0573" w:rsidRPr="00136674">
              <w:t>DZA</w:t>
            </w:r>
            <w:r w:rsidRPr="00136674">
              <w:t>/Q/1</w:t>
            </w:r>
            <w:r w:rsidR="002B0573" w:rsidRPr="00136674">
              <w:t>5</w:t>
            </w:r>
            <w:r w:rsidRPr="00136674">
              <w:t>-1</w:t>
            </w:r>
            <w:r w:rsidR="002B0573" w:rsidRPr="00136674">
              <w:t>9</w:t>
            </w:r>
          </w:p>
        </w:tc>
      </w:tr>
      <w:tr w:rsidR="002E0D40" w:rsidRPr="00136674" w:rsidTr="00593658">
        <w:trPr>
          <w:trHeight w:hRule="exact" w:val="2835"/>
        </w:trPr>
        <w:tc>
          <w:tcPr>
            <w:tcW w:w="1276" w:type="dxa"/>
            <w:tcBorders>
              <w:top w:val="single" w:sz="4" w:space="0" w:color="auto"/>
              <w:bottom w:val="single" w:sz="12" w:space="0" w:color="auto"/>
            </w:tcBorders>
          </w:tcPr>
          <w:p w:rsidR="002E0D40" w:rsidRPr="00136674" w:rsidRDefault="00DF5E6B" w:rsidP="00593658">
            <w:pPr>
              <w:spacing w:before="120"/>
              <w:jc w:val="center"/>
            </w:pPr>
            <w:r w:rsidRPr="0013667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136674" w:rsidRDefault="002E0D40" w:rsidP="00593658">
            <w:pPr>
              <w:spacing w:before="120" w:line="380" w:lineRule="exact"/>
              <w:rPr>
                <w:b/>
                <w:sz w:val="40"/>
                <w:szCs w:val="40"/>
              </w:rPr>
            </w:pPr>
            <w:r w:rsidRPr="00136674">
              <w:rPr>
                <w:b/>
                <w:sz w:val="34"/>
                <w:szCs w:val="34"/>
              </w:rPr>
              <w:t>Convention internationale sur</w:t>
            </w:r>
            <w:r w:rsidRPr="00136674">
              <w:rPr>
                <w:b/>
                <w:sz w:val="34"/>
                <w:szCs w:val="34"/>
              </w:rPr>
              <w:br/>
              <w:t>l’élimination de toutes les formes</w:t>
            </w:r>
            <w:r w:rsidRPr="00136674">
              <w:rPr>
                <w:b/>
                <w:sz w:val="34"/>
                <w:szCs w:val="34"/>
              </w:rPr>
              <w:br/>
              <w:t>de discrimination raciale</w:t>
            </w:r>
          </w:p>
        </w:tc>
        <w:tc>
          <w:tcPr>
            <w:tcW w:w="2835" w:type="dxa"/>
            <w:tcBorders>
              <w:top w:val="single" w:sz="4" w:space="0" w:color="auto"/>
              <w:bottom w:val="single" w:sz="12" w:space="0" w:color="auto"/>
            </w:tcBorders>
          </w:tcPr>
          <w:p w:rsidR="002E0D40" w:rsidRPr="00136674" w:rsidRDefault="00356EA6" w:rsidP="00593658">
            <w:pPr>
              <w:spacing w:before="240"/>
            </w:pPr>
            <w:r w:rsidRPr="00136674">
              <w:t>Distr. générale</w:t>
            </w:r>
          </w:p>
          <w:p w:rsidR="00AA07B5" w:rsidRPr="00136674" w:rsidRDefault="00586876" w:rsidP="00AA07B5">
            <w:pPr>
              <w:spacing w:line="240" w:lineRule="exact"/>
            </w:pPr>
            <w:r w:rsidRPr="00136674">
              <w:t>7</w:t>
            </w:r>
            <w:r w:rsidR="00B94590" w:rsidRPr="00136674">
              <w:t xml:space="preserve"> janvier 2013</w:t>
            </w:r>
          </w:p>
          <w:p w:rsidR="00AA07B5" w:rsidRPr="00136674" w:rsidRDefault="00AA07B5" w:rsidP="00AA07B5">
            <w:pPr>
              <w:spacing w:line="240" w:lineRule="exact"/>
            </w:pPr>
          </w:p>
          <w:p w:rsidR="00AA07B5" w:rsidRPr="00136674" w:rsidRDefault="00AA07B5" w:rsidP="00AA07B5">
            <w:pPr>
              <w:spacing w:line="240" w:lineRule="exact"/>
            </w:pPr>
            <w:r w:rsidRPr="00136674">
              <w:t xml:space="preserve">Original: français </w:t>
            </w:r>
          </w:p>
        </w:tc>
      </w:tr>
    </w:tbl>
    <w:p w:rsidR="0078670C" w:rsidRPr="00136674" w:rsidRDefault="0078670C" w:rsidP="0078670C">
      <w:pPr>
        <w:spacing w:before="120"/>
        <w:rPr>
          <w:b/>
          <w:sz w:val="24"/>
          <w:szCs w:val="24"/>
        </w:rPr>
      </w:pPr>
      <w:r w:rsidRPr="00136674">
        <w:rPr>
          <w:b/>
          <w:sz w:val="24"/>
          <w:szCs w:val="24"/>
        </w:rPr>
        <w:t>Comité pour l’élimination de la discrimination raciale</w:t>
      </w:r>
    </w:p>
    <w:p w:rsidR="002C2100" w:rsidRPr="00136674" w:rsidRDefault="002C2100" w:rsidP="002C2100">
      <w:pPr>
        <w:pStyle w:val="SingleTxtG"/>
        <w:spacing w:after="0"/>
        <w:ind w:left="0"/>
        <w:rPr>
          <w:b/>
          <w:lang w:val="fr-FR"/>
        </w:rPr>
      </w:pPr>
      <w:r w:rsidRPr="00136674">
        <w:rPr>
          <w:b/>
          <w:bCs/>
        </w:rPr>
        <w:t>Quatre-vingt-</w:t>
      </w:r>
      <w:r w:rsidR="002B0573" w:rsidRPr="00136674">
        <w:rPr>
          <w:b/>
          <w:bCs/>
        </w:rPr>
        <w:t>deuxième</w:t>
      </w:r>
      <w:r w:rsidRPr="00136674">
        <w:rPr>
          <w:b/>
          <w:lang w:val="fr-FR"/>
        </w:rPr>
        <w:t xml:space="preserve"> session</w:t>
      </w:r>
    </w:p>
    <w:p w:rsidR="002C2100" w:rsidRPr="00136674" w:rsidRDefault="002B0573" w:rsidP="002C2100">
      <w:r w:rsidRPr="00136674">
        <w:t>11 février</w:t>
      </w:r>
      <w:r w:rsidR="002C2100" w:rsidRPr="00136674">
        <w:t>-1 </w:t>
      </w:r>
      <w:r w:rsidRPr="00136674">
        <w:t>mars</w:t>
      </w:r>
      <w:r w:rsidR="002C2100" w:rsidRPr="00136674">
        <w:t xml:space="preserve"> 201</w:t>
      </w:r>
      <w:r w:rsidRPr="00136674">
        <w:t>3</w:t>
      </w:r>
    </w:p>
    <w:p w:rsidR="00B94590" w:rsidRPr="00136674" w:rsidRDefault="00B94590" w:rsidP="00B94590">
      <w:pPr>
        <w:rPr>
          <w:color w:val="000000"/>
          <w:sz w:val="18"/>
          <w:szCs w:val="18"/>
          <w:lang w:val="fr-FR" w:eastAsia="en-GB"/>
        </w:rPr>
      </w:pPr>
      <w:r w:rsidRPr="00136674">
        <w:rPr>
          <w:color w:val="000000"/>
          <w:sz w:val="18"/>
          <w:szCs w:val="18"/>
          <w:lang w:val="fr-FR" w:eastAsia="en-GB"/>
        </w:rPr>
        <w:t>Point 4 de l’ordre du jour</w:t>
      </w:r>
      <w:r w:rsidR="00771207">
        <w:rPr>
          <w:color w:val="000000"/>
          <w:sz w:val="18"/>
          <w:szCs w:val="18"/>
          <w:lang w:val="fr-FR" w:eastAsia="en-GB"/>
        </w:rPr>
        <w:t xml:space="preserve"> provisoire</w:t>
      </w:r>
    </w:p>
    <w:p w:rsidR="00B94590" w:rsidRPr="00136674" w:rsidRDefault="00B94590" w:rsidP="00B94590">
      <w:pPr>
        <w:rPr>
          <w:b/>
          <w:color w:val="000000"/>
          <w:sz w:val="24"/>
          <w:szCs w:val="24"/>
          <w:lang w:val="fr-FR" w:eastAsia="en-GB"/>
        </w:rPr>
      </w:pPr>
      <w:r w:rsidRPr="00136674">
        <w:rPr>
          <w:b/>
        </w:rPr>
        <w:t xml:space="preserve">Examen des rapports, observations et renseignements soumis </w:t>
      </w:r>
      <w:r w:rsidRPr="00136674">
        <w:rPr>
          <w:b/>
        </w:rPr>
        <w:br/>
        <w:t>par les États parties en application de l’article 9 de la Convention</w:t>
      </w:r>
    </w:p>
    <w:p w:rsidR="00771207" w:rsidRDefault="002C2100" w:rsidP="00771207">
      <w:pPr>
        <w:pStyle w:val="HChG"/>
        <w:rPr>
          <w:lang w:val="fr-FR"/>
        </w:rPr>
      </w:pPr>
      <w:r w:rsidRPr="00136674">
        <w:rPr>
          <w:lang w:val="fr-FR"/>
        </w:rPr>
        <w:tab/>
      </w:r>
      <w:r w:rsidRPr="00136674">
        <w:rPr>
          <w:lang w:val="fr-FR"/>
        </w:rPr>
        <w:tab/>
      </w:r>
    </w:p>
    <w:p w:rsidR="002C2100" w:rsidRDefault="00771207" w:rsidP="00771207">
      <w:pPr>
        <w:pStyle w:val="HChG"/>
      </w:pPr>
      <w:r>
        <w:rPr>
          <w:lang w:val="fr-FR"/>
        </w:rPr>
        <w:tab/>
      </w:r>
      <w:r>
        <w:rPr>
          <w:lang w:val="fr-FR"/>
        </w:rPr>
        <w:tab/>
      </w:r>
      <w:r w:rsidR="002C2100" w:rsidRPr="00136674">
        <w:rPr>
          <w:lang w:val="fr-FR"/>
        </w:rPr>
        <w:t xml:space="preserve">Liste des thèmes à traiter à l’occasion de l’examen </w:t>
      </w:r>
      <w:r w:rsidR="002C2100" w:rsidRPr="00136674">
        <w:t xml:space="preserve">des </w:t>
      </w:r>
      <w:r w:rsidR="002B0573" w:rsidRPr="00136674">
        <w:t>quinzième</w:t>
      </w:r>
      <w:r w:rsidR="00B11EAE" w:rsidRPr="00136674">
        <w:t xml:space="preserve"> </w:t>
      </w:r>
      <w:r w:rsidR="002B0573" w:rsidRPr="00136674">
        <w:t>à</w:t>
      </w:r>
      <w:r w:rsidR="002C2100" w:rsidRPr="00136674">
        <w:t xml:space="preserve"> dix-</w:t>
      </w:r>
      <w:r w:rsidR="00796A3B" w:rsidRPr="00136674">
        <w:t xml:space="preserve">neuvième rapports périodiques </w:t>
      </w:r>
      <w:r w:rsidR="002B0573" w:rsidRPr="00136674">
        <w:t>d</w:t>
      </w:r>
      <w:r w:rsidR="002E56FC" w:rsidRPr="00136674">
        <w:t>e l</w:t>
      </w:r>
      <w:r w:rsidR="002B0573" w:rsidRPr="00136674">
        <w:t xml:space="preserve">’Algérie </w:t>
      </w:r>
      <w:r w:rsidR="002C2100" w:rsidRPr="00136674">
        <w:t>(CERD/C/</w:t>
      </w:r>
      <w:r w:rsidR="002B0573" w:rsidRPr="00136674">
        <w:t>DZA</w:t>
      </w:r>
      <w:r w:rsidR="002C2100" w:rsidRPr="00136674">
        <w:t>/1</w:t>
      </w:r>
      <w:r w:rsidR="002B0573" w:rsidRPr="00136674">
        <w:t>5</w:t>
      </w:r>
      <w:r w:rsidR="002C2100" w:rsidRPr="00136674">
        <w:t>-1</w:t>
      </w:r>
      <w:r w:rsidR="002B0573" w:rsidRPr="00136674">
        <w:t>9</w:t>
      </w:r>
      <w:r w:rsidR="002C2100" w:rsidRPr="00136674">
        <w:t>)</w:t>
      </w:r>
    </w:p>
    <w:p w:rsidR="00771207" w:rsidRDefault="00771207" w:rsidP="00771207"/>
    <w:p w:rsidR="00771207" w:rsidRDefault="00771207" w:rsidP="00771207">
      <w:pPr>
        <w:rPr>
          <w:b/>
          <w:sz w:val="24"/>
          <w:szCs w:val="24"/>
        </w:rPr>
      </w:pPr>
      <w:r>
        <w:tab/>
      </w:r>
      <w:r>
        <w:tab/>
      </w:r>
      <w:r w:rsidRPr="00771207">
        <w:rPr>
          <w:b/>
          <w:sz w:val="24"/>
          <w:szCs w:val="24"/>
        </w:rPr>
        <w:t>Note par le Rapporteur du pays</w:t>
      </w:r>
    </w:p>
    <w:p w:rsidR="008D7A97" w:rsidRDefault="008D7A97" w:rsidP="00771207">
      <w:pPr>
        <w:rPr>
          <w:b/>
          <w:sz w:val="24"/>
          <w:szCs w:val="24"/>
        </w:rPr>
      </w:pPr>
    </w:p>
    <w:p w:rsidR="008D7A97" w:rsidRDefault="008D7A97" w:rsidP="00771207">
      <w:pPr>
        <w:rPr>
          <w:b/>
          <w:sz w:val="24"/>
          <w:szCs w:val="24"/>
        </w:rPr>
      </w:pPr>
    </w:p>
    <w:p w:rsidR="00771207" w:rsidRPr="00771207" w:rsidRDefault="00771207" w:rsidP="00771207">
      <w:pPr>
        <w:rPr>
          <w:b/>
          <w:sz w:val="24"/>
          <w:szCs w:val="24"/>
        </w:rPr>
      </w:pPr>
    </w:p>
    <w:tbl>
      <w:tblPr>
        <w:tblStyle w:val="TableGrid"/>
        <w:tblW w:w="0" w:type="auto"/>
        <w:jc w:val="center"/>
        <w:tblLook w:val="01E0" w:firstRow="1" w:lastRow="1" w:firstColumn="1" w:lastColumn="1" w:noHBand="0" w:noVBand="0"/>
      </w:tblPr>
      <w:tblGrid>
        <w:gridCol w:w="9637"/>
      </w:tblGrid>
      <w:tr w:rsidR="008D7A97" w:rsidTr="007B5B0B">
        <w:trPr>
          <w:jc w:val="center"/>
        </w:trPr>
        <w:tc>
          <w:tcPr>
            <w:tcW w:w="9637" w:type="dxa"/>
            <w:tcBorders>
              <w:bottom w:val="nil"/>
            </w:tcBorders>
          </w:tcPr>
          <w:p w:rsidR="008D7A97" w:rsidRPr="00BB7B4C" w:rsidRDefault="008D7A97" w:rsidP="007B5B0B">
            <w:pPr>
              <w:tabs>
                <w:tab w:val="left" w:pos="255"/>
              </w:tabs>
              <w:spacing w:before="240" w:after="120"/>
              <w:rPr>
                <w:sz w:val="24"/>
              </w:rPr>
            </w:pPr>
            <w:r>
              <w:tab/>
            </w:r>
            <w:r>
              <w:rPr>
                <w:i/>
                <w:sz w:val="24"/>
              </w:rPr>
              <w:t>Résumé</w:t>
            </w:r>
          </w:p>
        </w:tc>
      </w:tr>
      <w:tr w:rsidR="008D7A97" w:rsidRPr="008D7A97" w:rsidTr="007B5B0B">
        <w:trPr>
          <w:jc w:val="center"/>
        </w:trPr>
        <w:tc>
          <w:tcPr>
            <w:tcW w:w="9637" w:type="dxa"/>
            <w:tcBorders>
              <w:top w:val="nil"/>
              <w:bottom w:val="nil"/>
            </w:tcBorders>
            <w:shd w:val="clear" w:color="auto" w:fill="auto"/>
          </w:tcPr>
          <w:p w:rsidR="008D7A97" w:rsidRPr="008D7A97" w:rsidRDefault="008D7A97" w:rsidP="007B5B0B">
            <w:pPr>
              <w:pStyle w:val="SingleTxtG"/>
              <w:rPr>
                <w:lang w:val="fr-FR"/>
              </w:rPr>
            </w:pPr>
            <w:r w:rsidRPr="008D7A97">
              <w:rPr>
                <w:lang w:val="fr-FR"/>
              </w:rPr>
              <w:t>À sa  soixante-seizième session, le Comité pour l’élimination de la discrimination raciale a décidé (A/65/18, par 85)  que  le rapporteur de pays ferait parvenir à l’État partie concerné une courte liste de thèmes en vue de guider et de structurer le dialogue entre la délégation de l’État partie et le Comité lors de l’examen du rapport de l’État partie. On trouvera ci-après une liste de thèmes ayant trait à l’examen des rapports périodiques susmentionnés. Elle n’appelle pas de réponses écrites et n'est pas exhaustive; d’autres questions pourront être abordées au cours du dialogue.</w:t>
            </w:r>
          </w:p>
        </w:tc>
      </w:tr>
      <w:tr w:rsidR="008D7A97" w:rsidRPr="008D7A97" w:rsidTr="007B5B0B">
        <w:trPr>
          <w:jc w:val="center"/>
        </w:trPr>
        <w:tc>
          <w:tcPr>
            <w:tcW w:w="9637" w:type="dxa"/>
            <w:tcBorders>
              <w:top w:val="nil"/>
            </w:tcBorders>
          </w:tcPr>
          <w:p w:rsidR="008D7A97" w:rsidRPr="008D7A97" w:rsidRDefault="008D7A97" w:rsidP="007B5B0B">
            <w:pPr>
              <w:rPr>
                <w:lang w:val="fr-FR"/>
              </w:rPr>
            </w:pPr>
          </w:p>
        </w:tc>
      </w:tr>
    </w:tbl>
    <w:p w:rsidR="00771207" w:rsidRDefault="00771207" w:rsidP="00771207"/>
    <w:p w:rsidR="002C2100" w:rsidRPr="00136674" w:rsidRDefault="00771207" w:rsidP="008D7A97">
      <w:pPr>
        <w:pStyle w:val="H23G"/>
        <w:ind w:hanging="567"/>
        <w:jc w:val="both"/>
        <w:rPr>
          <w:lang w:eastAsia="en-GB"/>
        </w:rPr>
      </w:pPr>
      <w:r>
        <w:rPr>
          <w:lang w:eastAsia="en-GB"/>
        </w:rPr>
        <w:br w:type="page"/>
      </w:r>
      <w:r w:rsidR="002C2100" w:rsidRPr="00136674">
        <w:rPr>
          <w:lang w:eastAsia="en-GB"/>
        </w:rPr>
        <w:t>1.</w:t>
      </w:r>
      <w:r w:rsidR="002C2100" w:rsidRPr="00136674">
        <w:rPr>
          <w:lang w:eastAsia="en-GB"/>
        </w:rPr>
        <w:tab/>
      </w:r>
      <w:r w:rsidR="008D7A97">
        <w:rPr>
          <w:lang w:eastAsia="en-GB"/>
        </w:rPr>
        <w:tab/>
      </w:r>
      <w:r w:rsidR="002C2100" w:rsidRPr="00136674">
        <w:rPr>
          <w:lang w:eastAsia="en-GB"/>
        </w:rPr>
        <w:t>Statistiques sur la composition ethnique de la population et indicateurs socioéconomiques</w:t>
      </w:r>
    </w:p>
    <w:p w:rsidR="00C21D45" w:rsidRPr="00136674" w:rsidRDefault="00B94590" w:rsidP="00E1555F">
      <w:pPr>
        <w:pStyle w:val="SingleTxtG"/>
        <w:ind w:firstLine="567"/>
        <w:rPr>
          <w:lang w:eastAsia="en-GB"/>
        </w:rPr>
      </w:pPr>
      <w:r w:rsidRPr="00136674">
        <w:rPr>
          <w:lang w:eastAsia="en-GB"/>
        </w:rPr>
        <w:t>(</w:t>
      </w:r>
      <w:r w:rsidR="002C2100" w:rsidRPr="00136674">
        <w:rPr>
          <w:lang w:eastAsia="en-GB"/>
        </w:rPr>
        <w:t>a)</w:t>
      </w:r>
      <w:r w:rsidR="002C2100" w:rsidRPr="00136674">
        <w:rPr>
          <w:lang w:eastAsia="en-GB"/>
        </w:rPr>
        <w:tab/>
        <w:t xml:space="preserve">Statistiques ou </w:t>
      </w:r>
      <w:r w:rsidR="000C517B" w:rsidRPr="00136674">
        <w:rPr>
          <w:lang w:eastAsia="en-GB"/>
        </w:rPr>
        <w:t>données estimatives</w:t>
      </w:r>
      <w:r w:rsidR="002C2100" w:rsidRPr="00136674">
        <w:rPr>
          <w:lang w:eastAsia="en-GB"/>
        </w:rPr>
        <w:t xml:space="preserve"> </w:t>
      </w:r>
      <w:r w:rsidR="00B11EAE" w:rsidRPr="00136674">
        <w:rPr>
          <w:lang w:eastAsia="en-GB"/>
        </w:rPr>
        <w:t>de</w:t>
      </w:r>
      <w:r w:rsidR="002C2100" w:rsidRPr="00136674">
        <w:rPr>
          <w:lang w:eastAsia="en-GB"/>
        </w:rPr>
        <w:t xml:space="preserve"> </w:t>
      </w:r>
      <w:r w:rsidR="000C517B" w:rsidRPr="00136674">
        <w:rPr>
          <w:lang w:eastAsia="en-GB"/>
        </w:rPr>
        <w:t>la composition ethnique de la société algérienne</w:t>
      </w:r>
      <w:r w:rsidR="00A90E30" w:rsidRPr="00136674">
        <w:rPr>
          <w:lang w:eastAsia="en-GB"/>
        </w:rPr>
        <w:t>; i</w:t>
      </w:r>
      <w:r w:rsidR="000C517B" w:rsidRPr="00136674">
        <w:rPr>
          <w:color w:val="000000"/>
          <w:lang w:eastAsia="en-GB"/>
        </w:rPr>
        <w:t xml:space="preserve">ndicateurs socioéconomiques </w:t>
      </w:r>
      <w:r w:rsidR="00B1654D" w:rsidRPr="00136674">
        <w:rPr>
          <w:color w:val="000000"/>
          <w:lang w:eastAsia="en-GB"/>
        </w:rPr>
        <w:t>de</w:t>
      </w:r>
      <w:r w:rsidR="000C517B" w:rsidRPr="00136674">
        <w:rPr>
          <w:color w:val="000000"/>
          <w:lang w:eastAsia="en-GB"/>
        </w:rPr>
        <w:t xml:space="preserve"> la communauté amazighe</w:t>
      </w:r>
      <w:r w:rsidR="00B1654D" w:rsidRPr="00136674">
        <w:rPr>
          <w:color w:val="000000"/>
          <w:lang w:eastAsia="en-GB"/>
        </w:rPr>
        <w:t xml:space="preserve"> et des groupes nomades</w:t>
      </w:r>
      <w:r w:rsidR="003E7BC2" w:rsidRPr="00136674">
        <w:rPr>
          <w:color w:val="000000"/>
          <w:lang w:eastAsia="en-GB"/>
        </w:rPr>
        <w:t xml:space="preserve"> </w:t>
      </w:r>
      <w:r w:rsidR="00C21D45" w:rsidRPr="00136674">
        <w:rPr>
          <w:lang w:eastAsia="en-GB"/>
        </w:rPr>
        <w:t xml:space="preserve">(CERD/C/304/Add.113, par. </w:t>
      </w:r>
      <w:r w:rsidR="000C517B" w:rsidRPr="00136674">
        <w:rPr>
          <w:lang w:eastAsia="en-GB"/>
        </w:rPr>
        <w:t>9</w:t>
      </w:r>
      <w:r w:rsidR="00B1654D" w:rsidRPr="00136674">
        <w:rPr>
          <w:lang w:eastAsia="en-GB"/>
        </w:rPr>
        <w:t xml:space="preserve"> et 13</w:t>
      </w:r>
      <w:r w:rsidR="00C21D45" w:rsidRPr="00136674">
        <w:rPr>
          <w:lang w:eastAsia="en-GB"/>
        </w:rPr>
        <w:t xml:space="preserve"> ; CERD/C/DZA/15-19, par. </w:t>
      </w:r>
      <w:r w:rsidR="00B11EAE" w:rsidRPr="00136674">
        <w:rPr>
          <w:lang w:eastAsia="en-GB"/>
        </w:rPr>
        <w:t>42-43</w:t>
      </w:r>
      <w:r w:rsidR="00C21D45" w:rsidRPr="00136674">
        <w:rPr>
          <w:lang w:eastAsia="en-GB"/>
        </w:rPr>
        <w:t>).</w:t>
      </w:r>
    </w:p>
    <w:p w:rsidR="002C2100" w:rsidRPr="00136674" w:rsidRDefault="00E1555F" w:rsidP="00CF167D">
      <w:pPr>
        <w:pStyle w:val="H23G"/>
        <w:rPr>
          <w:lang w:eastAsia="en-GB"/>
        </w:rPr>
      </w:pPr>
      <w:r w:rsidRPr="00136674">
        <w:rPr>
          <w:lang w:eastAsia="en-GB"/>
        </w:rPr>
        <w:tab/>
      </w:r>
      <w:r w:rsidR="002C2100" w:rsidRPr="00136674">
        <w:rPr>
          <w:lang w:eastAsia="en-GB"/>
        </w:rPr>
        <w:t>2.</w:t>
      </w:r>
      <w:r w:rsidR="002C2100" w:rsidRPr="00136674">
        <w:rPr>
          <w:lang w:eastAsia="en-GB"/>
        </w:rPr>
        <w:tab/>
        <w:t>Cadre juridique et institutionnel, politiques et programmes aux fins de l’application de la Convention (art.</w:t>
      </w:r>
      <w:r w:rsidR="00000CA5" w:rsidRPr="00136674">
        <w:rPr>
          <w:lang w:eastAsia="en-GB"/>
        </w:rPr>
        <w:t xml:space="preserve"> </w:t>
      </w:r>
      <w:r w:rsidR="002C2100" w:rsidRPr="00136674">
        <w:rPr>
          <w:lang w:eastAsia="en-GB"/>
        </w:rPr>
        <w:t xml:space="preserve"> </w:t>
      </w:r>
      <w:r w:rsidR="0020020A" w:rsidRPr="00136674">
        <w:rPr>
          <w:lang w:eastAsia="en-GB"/>
        </w:rPr>
        <w:t xml:space="preserve">1, </w:t>
      </w:r>
      <w:r w:rsidR="002C2100" w:rsidRPr="00136674">
        <w:rPr>
          <w:lang w:eastAsia="en-GB"/>
        </w:rPr>
        <w:t>2, 4</w:t>
      </w:r>
      <w:r w:rsidR="00AA4CF9" w:rsidRPr="00136674">
        <w:rPr>
          <w:lang w:eastAsia="en-GB"/>
        </w:rPr>
        <w:t>,</w:t>
      </w:r>
      <w:r w:rsidR="002C2100" w:rsidRPr="00136674">
        <w:rPr>
          <w:lang w:eastAsia="en-GB"/>
        </w:rPr>
        <w:t xml:space="preserve"> 6</w:t>
      </w:r>
      <w:r w:rsidR="00AA4CF9" w:rsidRPr="00136674">
        <w:rPr>
          <w:lang w:eastAsia="en-GB"/>
        </w:rPr>
        <w:t xml:space="preserve"> et 7</w:t>
      </w:r>
      <w:r w:rsidR="002C2100" w:rsidRPr="00136674">
        <w:rPr>
          <w:lang w:eastAsia="en-GB"/>
        </w:rPr>
        <w:t>)</w:t>
      </w:r>
    </w:p>
    <w:p w:rsidR="00C21D45" w:rsidRPr="00136674" w:rsidRDefault="00B94590" w:rsidP="00CA6EDC">
      <w:pPr>
        <w:pStyle w:val="SingleTxtG"/>
        <w:ind w:firstLine="567"/>
        <w:rPr>
          <w:lang w:eastAsia="en-GB"/>
        </w:rPr>
      </w:pPr>
      <w:r w:rsidRPr="00136674">
        <w:rPr>
          <w:lang w:eastAsia="en-GB"/>
        </w:rPr>
        <w:t>(</w:t>
      </w:r>
      <w:r w:rsidR="002C2100" w:rsidRPr="00136674">
        <w:rPr>
          <w:lang w:eastAsia="en-GB"/>
        </w:rPr>
        <w:t>a)</w:t>
      </w:r>
      <w:r w:rsidR="002C2100" w:rsidRPr="00136674">
        <w:rPr>
          <w:lang w:eastAsia="en-GB"/>
        </w:rPr>
        <w:tab/>
        <w:t>Pleine conformité du Code pénal avec la Convention</w:t>
      </w:r>
      <w:r w:rsidR="00B1654D" w:rsidRPr="00136674">
        <w:rPr>
          <w:lang w:eastAsia="en-GB"/>
        </w:rPr>
        <w:t>, notamment</w:t>
      </w:r>
      <w:r w:rsidR="00A90E30" w:rsidRPr="00136674">
        <w:rPr>
          <w:lang w:eastAsia="en-GB"/>
        </w:rPr>
        <w:t xml:space="preserve"> avec</w:t>
      </w:r>
      <w:r w:rsidR="00B1654D" w:rsidRPr="00136674">
        <w:rPr>
          <w:lang w:eastAsia="en-GB"/>
        </w:rPr>
        <w:t xml:space="preserve"> les articles 1 et 4 </w:t>
      </w:r>
      <w:r w:rsidR="00C21D45" w:rsidRPr="00136674">
        <w:rPr>
          <w:lang w:eastAsia="en-GB"/>
        </w:rPr>
        <w:t xml:space="preserve">(CERD/C/304/Add.113, par. </w:t>
      </w:r>
      <w:r w:rsidR="00B1654D" w:rsidRPr="00136674">
        <w:rPr>
          <w:lang w:eastAsia="en-GB"/>
        </w:rPr>
        <w:t>11 et 12</w:t>
      </w:r>
      <w:r w:rsidR="00C21D45" w:rsidRPr="00136674">
        <w:rPr>
          <w:lang w:eastAsia="en-GB"/>
        </w:rPr>
        <w:t xml:space="preserve"> ; CERD/C/DZA/15-19, par. </w:t>
      </w:r>
      <w:r w:rsidR="00B1654D" w:rsidRPr="00136674">
        <w:rPr>
          <w:lang w:eastAsia="en-GB"/>
        </w:rPr>
        <w:t>47-48</w:t>
      </w:r>
      <w:r w:rsidR="00E1555F" w:rsidRPr="00136674">
        <w:rPr>
          <w:lang w:eastAsia="en-GB"/>
        </w:rPr>
        <w:t>);</w:t>
      </w:r>
    </w:p>
    <w:p w:rsidR="00483F17" w:rsidRPr="00136674" w:rsidRDefault="00B94590" w:rsidP="00CA6EDC">
      <w:pPr>
        <w:pStyle w:val="SingleTxtG"/>
        <w:ind w:firstLine="567"/>
        <w:rPr>
          <w:lang w:eastAsia="en-GB"/>
        </w:rPr>
      </w:pPr>
      <w:r w:rsidRPr="00136674">
        <w:rPr>
          <w:lang w:eastAsia="en-GB"/>
        </w:rPr>
        <w:t>(</w:t>
      </w:r>
      <w:r w:rsidR="00483F17" w:rsidRPr="00136674">
        <w:rPr>
          <w:lang w:eastAsia="en-GB"/>
        </w:rPr>
        <w:t>b)</w:t>
      </w:r>
      <w:r w:rsidR="00483F17" w:rsidRPr="00136674">
        <w:rPr>
          <w:lang w:eastAsia="en-GB"/>
        </w:rPr>
        <w:tab/>
        <w:t>Absence de plaintes déposées en matière de discrimination raciale et de décisions rendues par les cours et tribunaux nationaux (CERD/C/304/Add.113, par. 14 ; CERD/C/DZA/15-19, par. 49-50</w:t>
      </w:r>
      <w:r w:rsidR="00E1555F" w:rsidRPr="00136674">
        <w:rPr>
          <w:lang w:eastAsia="en-GB"/>
        </w:rPr>
        <w:t>);</w:t>
      </w:r>
    </w:p>
    <w:p w:rsidR="00C21D45" w:rsidRPr="00136674" w:rsidRDefault="00B94590" w:rsidP="00CA6EDC">
      <w:pPr>
        <w:pStyle w:val="SingleTxtG"/>
        <w:ind w:firstLine="567"/>
        <w:rPr>
          <w:lang w:eastAsia="en-GB"/>
        </w:rPr>
      </w:pPr>
      <w:r w:rsidRPr="00136674">
        <w:rPr>
          <w:lang w:eastAsia="en-GB"/>
        </w:rPr>
        <w:t>(</w:t>
      </w:r>
      <w:r w:rsidR="00483F17" w:rsidRPr="00136674">
        <w:rPr>
          <w:lang w:eastAsia="en-GB"/>
        </w:rPr>
        <w:t>c</w:t>
      </w:r>
      <w:r w:rsidR="002C2100" w:rsidRPr="00136674">
        <w:rPr>
          <w:lang w:eastAsia="en-GB"/>
        </w:rPr>
        <w:t>)</w:t>
      </w:r>
      <w:r w:rsidR="002C2100" w:rsidRPr="00136674">
        <w:rPr>
          <w:lang w:eastAsia="en-GB"/>
        </w:rPr>
        <w:tab/>
      </w:r>
      <w:r w:rsidR="0020020A" w:rsidRPr="00136674">
        <w:rPr>
          <w:lang w:eastAsia="en-GB"/>
        </w:rPr>
        <w:t xml:space="preserve">Efforts pour assurer que la Commission </w:t>
      </w:r>
      <w:r w:rsidR="00CA6EDC" w:rsidRPr="00136674">
        <w:rPr>
          <w:lang w:eastAsia="en-GB"/>
        </w:rPr>
        <w:t xml:space="preserve">Nationale </w:t>
      </w:r>
      <w:r w:rsidR="0020020A" w:rsidRPr="00136674">
        <w:rPr>
          <w:lang w:eastAsia="en-GB"/>
        </w:rPr>
        <w:t xml:space="preserve">Consultative </w:t>
      </w:r>
      <w:r w:rsidR="00CA6EDC" w:rsidRPr="00136674">
        <w:rPr>
          <w:lang w:eastAsia="en-GB"/>
        </w:rPr>
        <w:t xml:space="preserve">de </w:t>
      </w:r>
      <w:r w:rsidR="0020020A" w:rsidRPr="00136674">
        <w:rPr>
          <w:lang w:eastAsia="en-GB"/>
        </w:rPr>
        <w:t xml:space="preserve">Promotion et </w:t>
      </w:r>
      <w:r w:rsidR="00CA6EDC" w:rsidRPr="00136674">
        <w:rPr>
          <w:lang w:eastAsia="en-GB"/>
        </w:rPr>
        <w:t xml:space="preserve">de </w:t>
      </w:r>
      <w:r w:rsidR="0020020A" w:rsidRPr="00136674">
        <w:rPr>
          <w:lang w:eastAsia="en-GB"/>
        </w:rPr>
        <w:t>Protection des Droits de l’Homme opère en totale conformité avec les Principes de Paris</w:t>
      </w:r>
      <w:r w:rsidR="003E7BC2" w:rsidRPr="00136674">
        <w:rPr>
          <w:lang w:eastAsia="en-GB"/>
        </w:rPr>
        <w:t xml:space="preserve">. Le rôle de cette Commission </w:t>
      </w:r>
      <w:r w:rsidR="00483F17" w:rsidRPr="00136674">
        <w:rPr>
          <w:lang w:eastAsia="en-GB"/>
        </w:rPr>
        <w:t>dans la promotion et</w:t>
      </w:r>
      <w:r w:rsidR="004E63DD" w:rsidRPr="00136674">
        <w:rPr>
          <w:lang w:eastAsia="en-GB"/>
        </w:rPr>
        <w:t xml:space="preserve"> la</w:t>
      </w:r>
      <w:r w:rsidR="00483F17" w:rsidRPr="00136674">
        <w:rPr>
          <w:lang w:eastAsia="en-GB"/>
        </w:rPr>
        <w:t xml:space="preserve"> protection des droits consacrés </w:t>
      </w:r>
      <w:r w:rsidR="00A90E30" w:rsidRPr="00136674">
        <w:rPr>
          <w:lang w:eastAsia="en-GB"/>
        </w:rPr>
        <w:t>par</w:t>
      </w:r>
      <w:r w:rsidR="00483F17" w:rsidRPr="00136674">
        <w:rPr>
          <w:lang w:eastAsia="en-GB"/>
        </w:rPr>
        <w:t xml:space="preserve"> la Convention, y compris</w:t>
      </w:r>
      <w:r w:rsidR="003E7BC2" w:rsidRPr="00136674">
        <w:rPr>
          <w:lang w:eastAsia="en-GB"/>
        </w:rPr>
        <w:t xml:space="preserve"> </w:t>
      </w:r>
      <w:r w:rsidR="00483F17" w:rsidRPr="00136674">
        <w:rPr>
          <w:lang w:eastAsia="en-GB"/>
        </w:rPr>
        <w:t xml:space="preserve">le droit </w:t>
      </w:r>
      <w:r w:rsidR="003E7BC2" w:rsidRPr="00136674">
        <w:rPr>
          <w:lang w:eastAsia="en-GB"/>
        </w:rPr>
        <w:t xml:space="preserve">des victimes de discrimination raciale </w:t>
      </w:r>
      <w:r w:rsidR="00483F17" w:rsidRPr="00136674">
        <w:rPr>
          <w:lang w:eastAsia="en-GB"/>
        </w:rPr>
        <w:t xml:space="preserve">à une réparation équitable et adéquate </w:t>
      </w:r>
      <w:r w:rsidR="00C21D45" w:rsidRPr="00136674">
        <w:rPr>
          <w:lang w:eastAsia="en-GB"/>
        </w:rPr>
        <w:t xml:space="preserve">(CERD/C/304/Add.113, par. </w:t>
      </w:r>
      <w:r w:rsidR="00483F17" w:rsidRPr="00136674">
        <w:rPr>
          <w:lang w:eastAsia="en-GB"/>
        </w:rPr>
        <w:t xml:space="preserve">14 et </w:t>
      </w:r>
      <w:r w:rsidR="0020020A" w:rsidRPr="00136674">
        <w:rPr>
          <w:lang w:eastAsia="en-GB"/>
        </w:rPr>
        <w:t>16</w:t>
      </w:r>
      <w:r w:rsidR="00C21D45" w:rsidRPr="00136674">
        <w:rPr>
          <w:lang w:eastAsia="en-GB"/>
        </w:rPr>
        <w:t xml:space="preserve"> ; CERD/C/DZA/15-19, par. </w:t>
      </w:r>
      <w:r w:rsidR="00796A3B" w:rsidRPr="00136674">
        <w:rPr>
          <w:lang w:eastAsia="en-GB"/>
        </w:rPr>
        <w:t xml:space="preserve">28-29, </w:t>
      </w:r>
      <w:r w:rsidR="0020020A" w:rsidRPr="00136674">
        <w:rPr>
          <w:lang w:eastAsia="en-GB"/>
        </w:rPr>
        <w:t>63-65</w:t>
      </w:r>
      <w:r w:rsidR="00C21D45" w:rsidRPr="00136674">
        <w:rPr>
          <w:lang w:eastAsia="en-GB"/>
        </w:rPr>
        <w:t>)</w:t>
      </w:r>
      <w:r w:rsidR="00E1555F" w:rsidRPr="00136674">
        <w:rPr>
          <w:lang w:eastAsia="en-GB"/>
        </w:rPr>
        <w:t>;</w:t>
      </w:r>
    </w:p>
    <w:p w:rsidR="003C19EE" w:rsidRPr="00136674" w:rsidRDefault="00B94590" w:rsidP="00E1555F">
      <w:pPr>
        <w:pStyle w:val="SingleTxtG"/>
        <w:spacing w:after="240"/>
        <w:ind w:firstLine="567"/>
        <w:rPr>
          <w:lang w:eastAsia="en-GB"/>
        </w:rPr>
      </w:pPr>
      <w:r w:rsidRPr="00136674">
        <w:rPr>
          <w:lang w:eastAsia="en-GB"/>
        </w:rPr>
        <w:t>(</w:t>
      </w:r>
      <w:r w:rsidR="003C19EE" w:rsidRPr="00136674">
        <w:rPr>
          <w:lang w:eastAsia="en-GB"/>
        </w:rPr>
        <w:t>d)</w:t>
      </w:r>
      <w:r w:rsidR="003C19EE" w:rsidRPr="00136674">
        <w:rPr>
          <w:lang w:eastAsia="en-GB"/>
        </w:rPr>
        <w:tab/>
        <w:t xml:space="preserve">Information sur la formation des juges et </w:t>
      </w:r>
      <w:r w:rsidR="00612794" w:rsidRPr="00136674">
        <w:rPr>
          <w:lang w:eastAsia="en-GB"/>
        </w:rPr>
        <w:t xml:space="preserve">agents d’application des lois </w:t>
      </w:r>
      <w:r w:rsidR="00004C0A" w:rsidRPr="00136674">
        <w:rPr>
          <w:lang w:eastAsia="en-GB"/>
        </w:rPr>
        <w:t>ainsi que les campagnes de sensibilisation</w:t>
      </w:r>
      <w:r w:rsidR="00612794" w:rsidRPr="00136674">
        <w:rPr>
          <w:lang w:eastAsia="en-GB"/>
        </w:rPr>
        <w:t xml:space="preserve"> sur </w:t>
      </w:r>
      <w:r w:rsidR="00483F17" w:rsidRPr="00136674">
        <w:rPr>
          <w:lang w:eastAsia="en-GB"/>
        </w:rPr>
        <w:t>l</w:t>
      </w:r>
      <w:r w:rsidR="00A90E30" w:rsidRPr="00136674">
        <w:rPr>
          <w:lang w:eastAsia="en-GB"/>
        </w:rPr>
        <w:t>’application</w:t>
      </w:r>
      <w:r w:rsidR="00483F17" w:rsidRPr="00136674">
        <w:rPr>
          <w:lang w:eastAsia="en-GB"/>
        </w:rPr>
        <w:t xml:space="preserve"> de la Convention</w:t>
      </w:r>
      <w:r w:rsidR="00612794" w:rsidRPr="00136674">
        <w:rPr>
          <w:lang w:eastAsia="en-GB"/>
        </w:rPr>
        <w:t>,</w:t>
      </w:r>
      <w:r w:rsidR="00483F17" w:rsidRPr="00136674">
        <w:rPr>
          <w:lang w:eastAsia="en-GB"/>
        </w:rPr>
        <w:t xml:space="preserve"> </w:t>
      </w:r>
      <w:r w:rsidR="003E7BC2" w:rsidRPr="00136674">
        <w:rPr>
          <w:lang w:eastAsia="en-GB"/>
        </w:rPr>
        <w:t>en particulier</w:t>
      </w:r>
      <w:r w:rsidR="00A90E30" w:rsidRPr="00136674">
        <w:rPr>
          <w:lang w:eastAsia="en-GB"/>
        </w:rPr>
        <w:t xml:space="preserve"> la prohibition de la </w:t>
      </w:r>
      <w:r w:rsidR="003E7BC2" w:rsidRPr="00136674">
        <w:rPr>
          <w:lang w:eastAsia="en-GB"/>
        </w:rPr>
        <w:t>discrimination basée sur la race, la couleur, l’ascendance et l’origine nationale ou ethnique</w:t>
      </w:r>
      <w:r w:rsidR="00483F17" w:rsidRPr="00136674">
        <w:rPr>
          <w:lang w:eastAsia="en-GB"/>
        </w:rPr>
        <w:t>.</w:t>
      </w:r>
    </w:p>
    <w:p w:rsidR="00265CAB" w:rsidRPr="00136674" w:rsidRDefault="00E1555F" w:rsidP="00E1555F">
      <w:pPr>
        <w:pStyle w:val="H23G"/>
        <w:rPr>
          <w:lang w:eastAsia="en-GB"/>
        </w:rPr>
      </w:pPr>
      <w:r w:rsidRPr="00136674">
        <w:rPr>
          <w:lang w:eastAsia="en-GB"/>
        </w:rPr>
        <w:tab/>
      </w:r>
      <w:r w:rsidR="00265CAB" w:rsidRPr="00136674">
        <w:rPr>
          <w:lang w:eastAsia="en-GB"/>
        </w:rPr>
        <w:t>3.</w:t>
      </w:r>
      <w:r w:rsidR="00265CAB" w:rsidRPr="00136674">
        <w:rPr>
          <w:lang w:eastAsia="en-GB"/>
        </w:rPr>
        <w:tab/>
        <w:t>Droits économiques, sociaux et culturels de</w:t>
      </w:r>
      <w:r w:rsidR="00A90E30" w:rsidRPr="00136674">
        <w:rPr>
          <w:lang w:eastAsia="en-GB"/>
        </w:rPr>
        <w:t>s</w:t>
      </w:r>
      <w:r w:rsidR="00265CAB" w:rsidRPr="00136674">
        <w:rPr>
          <w:lang w:eastAsia="en-GB"/>
        </w:rPr>
        <w:t xml:space="preserve"> groupes ethniques (art. 5)</w:t>
      </w:r>
    </w:p>
    <w:p w:rsidR="00265CAB" w:rsidRPr="00136674" w:rsidRDefault="00B94590" w:rsidP="00E1555F">
      <w:pPr>
        <w:pStyle w:val="SingleTxtG"/>
        <w:ind w:firstLine="567"/>
        <w:rPr>
          <w:lang w:eastAsia="en-GB"/>
        </w:rPr>
      </w:pPr>
      <w:r w:rsidRPr="00136674">
        <w:rPr>
          <w:lang w:eastAsia="en-GB"/>
        </w:rPr>
        <w:t>(</w:t>
      </w:r>
      <w:r w:rsidR="00265CAB" w:rsidRPr="00136674">
        <w:rPr>
          <w:lang w:eastAsia="en-GB"/>
        </w:rPr>
        <w:t>a)</w:t>
      </w:r>
      <w:r w:rsidR="00265CAB" w:rsidRPr="00136674">
        <w:rPr>
          <w:lang w:eastAsia="en-GB"/>
        </w:rPr>
        <w:tab/>
        <w:t>Mise en œuvre</w:t>
      </w:r>
      <w:r w:rsidR="00F4001A" w:rsidRPr="00136674">
        <w:rPr>
          <w:lang w:eastAsia="en-GB"/>
        </w:rPr>
        <w:t xml:space="preserve"> concrète</w:t>
      </w:r>
      <w:r w:rsidR="00265CAB" w:rsidRPr="00136674">
        <w:rPr>
          <w:lang w:eastAsia="en-GB"/>
        </w:rPr>
        <w:t xml:space="preserve"> de la révision constitutionnelle du 22 avril 2002 consacrant la langue amazigh</w:t>
      </w:r>
      <w:r w:rsidR="00436B8B" w:rsidRPr="00136674">
        <w:rPr>
          <w:lang w:eastAsia="en-GB"/>
        </w:rPr>
        <w:t>e</w:t>
      </w:r>
      <w:r w:rsidR="00265CAB" w:rsidRPr="00136674">
        <w:rPr>
          <w:lang w:eastAsia="en-GB"/>
        </w:rPr>
        <w:t xml:space="preserve"> comme langue nationale au regard </w:t>
      </w:r>
      <w:r w:rsidR="00EA69E1" w:rsidRPr="00136674">
        <w:rPr>
          <w:lang w:eastAsia="en-GB"/>
        </w:rPr>
        <w:t xml:space="preserve">de </w:t>
      </w:r>
      <w:r w:rsidR="00265CAB" w:rsidRPr="00136674">
        <w:rPr>
          <w:lang w:eastAsia="en-GB"/>
        </w:rPr>
        <w:t xml:space="preserve">la loi du 5 juillet 1988 </w:t>
      </w:r>
      <w:r w:rsidR="00436B8B" w:rsidRPr="00136674">
        <w:rPr>
          <w:lang w:eastAsia="en-GB"/>
        </w:rPr>
        <w:t xml:space="preserve">portant </w:t>
      </w:r>
      <w:r w:rsidR="00265CAB" w:rsidRPr="00136674">
        <w:rPr>
          <w:lang w:eastAsia="en-GB"/>
        </w:rPr>
        <w:t>généralisation de la langue arabe</w:t>
      </w:r>
      <w:r w:rsidR="00265CAB" w:rsidRPr="00136674">
        <w:rPr>
          <w:color w:val="000000"/>
          <w:lang w:eastAsia="en-GB"/>
        </w:rPr>
        <w:t xml:space="preserve"> </w:t>
      </w:r>
      <w:r w:rsidR="00265CAB" w:rsidRPr="00136674">
        <w:rPr>
          <w:lang w:eastAsia="en-GB"/>
        </w:rPr>
        <w:t>(CERD/C/304/Add.113, par. 10 ; CERD/C/DZA/15-19, par. 44-46).</w:t>
      </w:r>
    </w:p>
    <w:p w:rsidR="00265CAB" w:rsidRPr="00136674" w:rsidRDefault="00B94590" w:rsidP="00CA6EDC">
      <w:pPr>
        <w:pStyle w:val="SingleTxtG"/>
        <w:ind w:firstLine="567"/>
        <w:rPr>
          <w:lang w:eastAsia="en-GB"/>
        </w:rPr>
      </w:pPr>
      <w:r w:rsidRPr="00136674">
        <w:rPr>
          <w:lang w:eastAsia="en-GB"/>
        </w:rPr>
        <w:t>(</w:t>
      </w:r>
      <w:r w:rsidR="00265CAB" w:rsidRPr="00136674">
        <w:rPr>
          <w:lang w:eastAsia="en-GB"/>
        </w:rPr>
        <w:t>b)</w:t>
      </w:r>
      <w:r w:rsidR="00265CAB" w:rsidRPr="00136674">
        <w:rPr>
          <w:lang w:eastAsia="en-GB"/>
        </w:rPr>
        <w:tab/>
      </w:r>
      <w:r w:rsidR="00796A3B" w:rsidRPr="00136674">
        <w:rPr>
          <w:lang w:eastAsia="en-GB"/>
        </w:rPr>
        <w:t>Impact des activités du Haut-Commissariat à l’Amazighité sur la jouissance des droits économiques, sociaux et culturels de la communauté amazigh</w:t>
      </w:r>
      <w:r w:rsidR="00436B8B" w:rsidRPr="00136674">
        <w:rPr>
          <w:lang w:eastAsia="en-GB"/>
        </w:rPr>
        <w:t>e</w:t>
      </w:r>
      <w:r w:rsidR="00796A3B" w:rsidRPr="00136674">
        <w:rPr>
          <w:lang w:eastAsia="en-GB"/>
        </w:rPr>
        <w:t xml:space="preserve"> </w:t>
      </w:r>
      <w:r w:rsidR="00265CAB" w:rsidRPr="00136674">
        <w:rPr>
          <w:lang w:eastAsia="en-GB"/>
        </w:rPr>
        <w:t xml:space="preserve">(CERD/C/304/Add.113, par. </w:t>
      </w:r>
      <w:r w:rsidR="00796A3B" w:rsidRPr="00136674">
        <w:rPr>
          <w:lang w:eastAsia="en-GB"/>
        </w:rPr>
        <w:t>15</w:t>
      </w:r>
      <w:r w:rsidR="00265CAB" w:rsidRPr="00136674">
        <w:rPr>
          <w:lang w:eastAsia="en-GB"/>
        </w:rPr>
        <w:t xml:space="preserve"> ; CERD/C/DZA/15-19, par. </w:t>
      </w:r>
      <w:r w:rsidR="00796A3B" w:rsidRPr="00136674">
        <w:rPr>
          <w:lang w:eastAsia="en-GB"/>
        </w:rPr>
        <w:t>51-62</w:t>
      </w:r>
      <w:r w:rsidR="00265CAB" w:rsidRPr="00136674">
        <w:rPr>
          <w:lang w:eastAsia="en-GB"/>
        </w:rPr>
        <w:t>).</w:t>
      </w:r>
    </w:p>
    <w:p w:rsidR="002C2100" w:rsidRPr="00136674" w:rsidRDefault="00E1555F" w:rsidP="00CA6EDC">
      <w:pPr>
        <w:pStyle w:val="H23G"/>
        <w:rPr>
          <w:lang w:eastAsia="en-GB"/>
        </w:rPr>
      </w:pPr>
      <w:r w:rsidRPr="00136674">
        <w:rPr>
          <w:lang w:eastAsia="en-GB"/>
        </w:rPr>
        <w:tab/>
      </w:r>
      <w:r w:rsidR="00265CAB" w:rsidRPr="00136674">
        <w:rPr>
          <w:lang w:eastAsia="en-GB"/>
        </w:rPr>
        <w:t>4</w:t>
      </w:r>
      <w:r w:rsidR="002C2100" w:rsidRPr="00136674">
        <w:rPr>
          <w:lang w:eastAsia="en-GB"/>
        </w:rPr>
        <w:t>.</w:t>
      </w:r>
      <w:r w:rsidR="002C2100" w:rsidRPr="00136674">
        <w:rPr>
          <w:lang w:eastAsia="en-GB"/>
        </w:rPr>
        <w:tab/>
        <w:t>Situation des non-ressortissants</w:t>
      </w:r>
      <w:r w:rsidR="00D330FA" w:rsidRPr="00136674">
        <w:rPr>
          <w:lang w:eastAsia="en-GB"/>
        </w:rPr>
        <w:t xml:space="preserve">, </w:t>
      </w:r>
      <w:r w:rsidR="00A90E30" w:rsidRPr="00136674">
        <w:rPr>
          <w:lang w:eastAsia="en-GB"/>
        </w:rPr>
        <w:t>notamment</w:t>
      </w:r>
      <w:r w:rsidR="00D330FA" w:rsidRPr="00136674">
        <w:rPr>
          <w:lang w:eastAsia="en-GB"/>
        </w:rPr>
        <w:t xml:space="preserve"> les migrants, réfugiés et demandeurs d’asile</w:t>
      </w:r>
      <w:r w:rsidR="002C2100" w:rsidRPr="00136674">
        <w:rPr>
          <w:lang w:eastAsia="en-GB"/>
        </w:rPr>
        <w:t xml:space="preserve"> (art. 5</w:t>
      </w:r>
      <w:r w:rsidR="00AA4CF9" w:rsidRPr="00136674">
        <w:rPr>
          <w:lang w:eastAsia="en-GB"/>
        </w:rPr>
        <w:t xml:space="preserve"> et</w:t>
      </w:r>
      <w:r w:rsidR="002C2100" w:rsidRPr="00136674">
        <w:rPr>
          <w:lang w:eastAsia="en-GB"/>
        </w:rPr>
        <w:t xml:space="preserve"> 6)</w:t>
      </w:r>
    </w:p>
    <w:p w:rsidR="00B02CE9" w:rsidRPr="00136674" w:rsidRDefault="00B94590" w:rsidP="00CA6EDC">
      <w:pPr>
        <w:pStyle w:val="SingleTxtG"/>
        <w:ind w:firstLine="567"/>
        <w:rPr>
          <w:lang w:eastAsia="en-GB"/>
        </w:rPr>
      </w:pPr>
      <w:r w:rsidRPr="00136674">
        <w:rPr>
          <w:lang w:eastAsia="en-GB"/>
        </w:rPr>
        <w:t>(</w:t>
      </w:r>
      <w:r w:rsidR="00B02CE9" w:rsidRPr="00136674">
        <w:rPr>
          <w:lang w:eastAsia="en-GB"/>
        </w:rPr>
        <w:t>a)</w:t>
      </w:r>
      <w:r w:rsidR="00B02CE9" w:rsidRPr="00136674">
        <w:rPr>
          <w:lang w:eastAsia="en-GB"/>
        </w:rPr>
        <w:tab/>
        <w:t>Intégration et non-discrimination à l’égard des non-ressortissants, en particulier les migrants</w:t>
      </w:r>
      <w:r w:rsidR="00AA4CF9" w:rsidRPr="00136674">
        <w:rPr>
          <w:lang w:eastAsia="en-GB"/>
        </w:rPr>
        <w:t> ; promotion de leurs droits socioéconomiques et culturels</w:t>
      </w:r>
      <w:r w:rsidR="00B02CE9" w:rsidRPr="00136674">
        <w:rPr>
          <w:lang w:eastAsia="en-GB"/>
        </w:rPr>
        <w:t xml:space="preserve"> (CERD/C/DZA/15-19, par. 98</w:t>
      </w:r>
      <w:r w:rsidR="00D72D99" w:rsidRPr="00136674">
        <w:rPr>
          <w:lang w:eastAsia="en-GB"/>
        </w:rPr>
        <w:t xml:space="preserve">, </w:t>
      </w:r>
      <w:r w:rsidR="00D72D99" w:rsidRPr="00136674">
        <w:t>CMW/C/DZA/CO/1, par. 18-35</w:t>
      </w:r>
      <w:r w:rsidR="00E1555F" w:rsidRPr="00136674">
        <w:rPr>
          <w:lang w:eastAsia="en-GB"/>
        </w:rPr>
        <w:t>);</w:t>
      </w:r>
    </w:p>
    <w:p w:rsidR="00C21D45" w:rsidRPr="00136674" w:rsidRDefault="00B94590" w:rsidP="00CA6EDC">
      <w:pPr>
        <w:pStyle w:val="SingleTxtG"/>
        <w:ind w:firstLine="567"/>
        <w:rPr>
          <w:lang w:eastAsia="en-GB"/>
        </w:rPr>
      </w:pPr>
      <w:r w:rsidRPr="00136674">
        <w:rPr>
          <w:lang w:eastAsia="en-GB"/>
        </w:rPr>
        <w:t>(</w:t>
      </w:r>
      <w:r w:rsidR="00B02CE9" w:rsidRPr="00136674">
        <w:rPr>
          <w:lang w:eastAsia="en-GB"/>
        </w:rPr>
        <w:t>b</w:t>
      </w:r>
      <w:r w:rsidR="002C2100" w:rsidRPr="00136674">
        <w:rPr>
          <w:lang w:eastAsia="en-GB"/>
        </w:rPr>
        <w:t>)</w:t>
      </w:r>
      <w:r w:rsidR="002C2100" w:rsidRPr="00136674">
        <w:rPr>
          <w:lang w:eastAsia="en-GB"/>
        </w:rPr>
        <w:tab/>
      </w:r>
      <w:r w:rsidR="00CB6470" w:rsidRPr="00136674">
        <w:rPr>
          <w:lang w:eastAsia="en-GB"/>
        </w:rPr>
        <w:t xml:space="preserve">Mesures législatives </w:t>
      </w:r>
      <w:r w:rsidR="007F21DC" w:rsidRPr="00136674">
        <w:rPr>
          <w:lang w:eastAsia="en-GB"/>
        </w:rPr>
        <w:t>envisagées ou prises</w:t>
      </w:r>
      <w:r w:rsidR="00CB6470" w:rsidRPr="00136674">
        <w:rPr>
          <w:lang w:eastAsia="en-GB"/>
        </w:rPr>
        <w:t xml:space="preserve"> pour améliorer la s</w:t>
      </w:r>
      <w:r w:rsidR="002C2100" w:rsidRPr="00136674">
        <w:rPr>
          <w:lang w:eastAsia="en-GB"/>
        </w:rPr>
        <w:t xml:space="preserve">ituation des </w:t>
      </w:r>
      <w:r w:rsidR="00EF3CAA" w:rsidRPr="00136674">
        <w:rPr>
          <w:lang w:eastAsia="en-GB"/>
        </w:rPr>
        <w:t xml:space="preserve">demandeurs d’asile et </w:t>
      </w:r>
      <w:r w:rsidR="00A90E30" w:rsidRPr="00136674">
        <w:rPr>
          <w:lang w:eastAsia="en-GB"/>
        </w:rPr>
        <w:t xml:space="preserve">des </w:t>
      </w:r>
      <w:r w:rsidR="002C2100" w:rsidRPr="00136674">
        <w:rPr>
          <w:lang w:eastAsia="en-GB"/>
        </w:rPr>
        <w:t>réfugiés</w:t>
      </w:r>
      <w:r w:rsidR="002A5943" w:rsidRPr="00136674">
        <w:rPr>
          <w:lang w:eastAsia="en-GB"/>
        </w:rPr>
        <w:t xml:space="preserve">, </w:t>
      </w:r>
      <w:r w:rsidR="00D330FA" w:rsidRPr="00136674">
        <w:rPr>
          <w:lang w:eastAsia="en-GB"/>
        </w:rPr>
        <w:t>notamment</w:t>
      </w:r>
      <w:r w:rsidR="002A5943" w:rsidRPr="00136674">
        <w:rPr>
          <w:lang w:eastAsia="en-GB"/>
        </w:rPr>
        <w:t xml:space="preserve"> ceux </w:t>
      </w:r>
      <w:r w:rsidR="00EF3CAA" w:rsidRPr="00136674">
        <w:rPr>
          <w:lang w:eastAsia="en-GB"/>
        </w:rPr>
        <w:t>de l’Afrique subsaharienne et du Sahara occidental</w:t>
      </w:r>
      <w:r w:rsidR="00A96E98" w:rsidRPr="00136674">
        <w:rPr>
          <w:lang w:eastAsia="en-GB"/>
        </w:rPr>
        <w:t xml:space="preserve">, y compris l’accès à l’éducation, aux soins de santé, au logement et à l’emploi </w:t>
      </w:r>
      <w:r w:rsidR="00C21D45" w:rsidRPr="00136674">
        <w:rPr>
          <w:lang w:eastAsia="en-GB"/>
        </w:rPr>
        <w:t xml:space="preserve">(CERD/C/DZA/15-19, par. </w:t>
      </w:r>
      <w:r w:rsidR="004E63DD" w:rsidRPr="00136674">
        <w:rPr>
          <w:lang w:eastAsia="en-GB"/>
        </w:rPr>
        <w:t>136</w:t>
      </w:r>
      <w:r w:rsidR="00E1555F" w:rsidRPr="00136674">
        <w:rPr>
          <w:lang w:eastAsia="en-GB"/>
        </w:rPr>
        <w:t>);</w:t>
      </w:r>
    </w:p>
    <w:p w:rsidR="00D72D99" w:rsidRPr="00136674" w:rsidRDefault="00B94590" w:rsidP="00CA6EDC">
      <w:pPr>
        <w:pStyle w:val="SingleTxtG"/>
        <w:ind w:firstLine="567"/>
      </w:pPr>
      <w:r w:rsidRPr="00136674">
        <w:rPr>
          <w:lang w:eastAsia="en-GB"/>
        </w:rPr>
        <w:t>(</w:t>
      </w:r>
      <w:r w:rsidR="00B02CE9" w:rsidRPr="00136674">
        <w:rPr>
          <w:lang w:eastAsia="en-GB"/>
        </w:rPr>
        <w:t>c</w:t>
      </w:r>
      <w:r w:rsidR="002C2100" w:rsidRPr="00136674">
        <w:rPr>
          <w:lang w:eastAsia="en-GB"/>
        </w:rPr>
        <w:t>)</w:t>
      </w:r>
      <w:r w:rsidR="002C2100" w:rsidRPr="00136674">
        <w:rPr>
          <w:lang w:eastAsia="en-GB"/>
        </w:rPr>
        <w:tab/>
      </w:r>
      <w:r w:rsidR="00AA4CF9" w:rsidRPr="00136674">
        <w:rPr>
          <w:lang w:eastAsia="en-GB"/>
        </w:rPr>
        <w:t>Informations supplémentaires sur les cas d’expulsion collective, la d</w:t>
      </w:r>
      <w:r w:rsidR="002C2100" w:rsidRPr="00136674">
        <w:rPr>
          <w:lang w:eastAsia="en-GB"/>
        </w:rPr>
        <w:t xml:space="preserve">étention administrative des étrangers en attente d’expulsion </w:t>
      </w:r>
      <w:r w:rsidR="004E63DD" w:rsidRPr="00136674">
        <w:rPr>
          <w:lang w:eastAsia="en-GB"/>
        </w:rPr>
        <w:t xml:space="preserve">ou ayant obtenu le statut de réfugié par le Haut Commissariat </w:t>
      </w:r>
      <w:r w:rsidR="00004C0A" w:rsidRPr="00136674">
        <w:rPr>
          <w:lang w:eastAsia="en-GB"/>
        </w:rPr>
        <w:t xml:space="preserve">des Nations Unies </w:t>
      </w:r>
      <w:r w:rsidR="004E63DD" w:rsidRPr="00136674">
        <w:rPr>
          <w:lang w:eastAsia="en-GB"/>
        </w:rPr>
        <w:t>pour les réfugiés</w:t>
      </w:r>
      <w:r w:rsidR="002B15CD" w:rsidRPr="00136674">
        <w:rPr>
          <w:lang w:eastAsia="en-GB"/>
        </w:rPr>
        <w:t xml:space="preserve"> </w:t>
      </w:r>
      <w:r w:rsidR="00C21D45" w:rsidRPr="00136674">
        <w:rPr>
          <w:lang w:eastAsia="en-GB"/>
        </w:rPr>
        <w:t>(</w:t>
      </w:r>
      <w:r w:rsidR="00E1555F" w:rsidRPr="00136674">
        <w:t>CCPR/C/DZA/CO/3, par. 22);</w:t>
      </w:r>
    </w:p>
    <w:p w:rsidR="00C21D45" w:rsidRPr="003F43E7" w:rsidRDefault="00B94590" w:rsidP="00CA6EDC">
      <w:pPr>
        <w:pStyle w:val="SingleTxtG"/>
        <w:ind w:firstLine="567"/>
        <w:rPr>
          <w:lang w:eastAsia="en-GB"/>
        </w:rPr>
      </w:pPr>
      <w:r w:rsidRPr="00136674">
        <w:rPr>
          <w:lang w:eastAsia="en-GB"/>
        </w:rPr>
        <w:t>(</w:t>
      </w:r>
      <w:r w:rsidR="00B02CE9" w:rsidRPr="00136674">
        <w:rPr>
          <w:lang w:eastAsia="en-GB"/>
        </w:rPr>
        <w:t>d</w:t>
      </w:r>
      <w:r w:rsidR="002C2100" w:rsidRPr="00136674">
        <w:rPr>
          <w:lang w:eastAsia="en-GB"/>
        </w:rPr>
        <w:t>)</w:t>
      </w:r>
      <w:r w:rsidR="002C2100" w:rsidRPr="00136674">
        <w:rPr>
          <w:lang w:eastAsia="en-GB"/>
        </w:rPr>
        <w:tab/>
        <w:t xml:space="preserve">Mesures </w:t>
      </w:r>
      <w:r w:rsidR="00D13740" w:rsidRPr="00136674">
        <w:rPr>
          <w:lang w:eastAsia="en-GB"/>
        </w:rPr>
        <w:t>additionnel</w:t>
      </w:r>
      <w:r w:rsidR="007F21DC" w:rsidRPr="00136674">
        <w:rPr>
          <w:lang w:eastAsia="en-GB"/>
        </w:rPr>
        <w:t>le</w:t>
      </w:r>
      <w:r w:rsidR="00D13740" w:rsidRPr="00136674">
        <w:rPr>
          <w:lang w:eastAsia="en-GB"/>
        </w:rPr>
        <w:t xml:space="preserve">s prises pour lutter efficacement </w:t>
      </w:r>
      <w:r w:rsidR="002C2100" w:rsidRPr="00136674">
        <w:rPr>
          <w:lang w:eastAsia="en-GB"/>
        </w:rPr>
        <w:t>contre la traite des êtres humains,</w:t>
      </w:r>
      <w:r w:rsidR="00A90E30" w:rsidRPr="00136674">
        <w:rPr>
          <w:lang w:eastAsia="en-GB"/>
        </w:rPr>
        <w:t xml:space="preserve"> affectant</w:t>
      </w:r>
      <w:r w:rsidR="002C2100" w:rsidRPr="00136674">
        <w:rPr>
          <w:lang w:eastAsia="en-GB"/>
        </w:rPr>
        <w:t xml:space="preserve"> en particulier </w:t>
      </w:r>
      <w:r w:rsidR="00A90E30" w:rsidRPr="00136674">
        <w:rPr>
          <w:lang w:eastAsia="en-GB"/>
        </w:rPr>
        <w:t>l</w:t>
      </w:r>
      <w:r w:rsidR="002C2100" w:rsidRPr="00136674">
        <w:rPr>
          <w:lang w:eastAsia="en-GB"/>
        </w:rPr>
        <w:t>es non-ressortissants</w:t>
      </w:r>
      <w:r w:rsidR="00D13740" w:rsidRPr="00136674">
        <w:rPr>
          <w:lang w:eastAsia="en-GB"/>
        </w:rPr>
        <w:t>.</w:t>
      </w:r>
      <w:r w:rsidR="002C2100" w:rsidRPr="00136674">
        <w:rPr>
          <w:lang w:eastAsia="en-GB"/>
        </w:rPr>
        <w:t xml:space="preserve"> </w:t>
      </w:r>
      <w:r w:rsidR="00C21D45" w:rsidRPr="00136674">
        <w:rPr>
          <w:lang w:eastAsia="en-GB"/>
        </w:rPr>
        <w:t xml:space="preserve">(CERD/C/DZA/15-19, par. </w:t>
      </w:r>
      <w:r w:rsidR="00EF3CAA" w:rsidRPr="00136674">
        <w:rPr>
          <w:lang w:eastAsia="en-GB"/>
        </w:rPr>
        <w:t>96 et 97</w:t>
      </w:r>
      <w:r w:rsidR="00C21D45" w:rsidRPr="00136674">
        <w:rPr>
          <w:lang w:eastAsia="en-GB"/>
        </w:rPr>
        <w:t>).</w:t>
      </w:r>
    </w:p>
    <w:p w:rsidR="002C2100" w:rsidRDefault="002C2100" w:rsidP="002C2100">
      <w:pPr>
        <w:pStyle w:val="SingleTxtG"/>
        <w:spacing w:before="240" w:after="0"/>
        <w:jc w:val="center"/>
        <w:rPr>
          <w:u w:val="single"/>
          <w:lang w:eastAsia="en-GB"/>
        </w:rPr>
      </w:pPr>
      <w:r>
        <w:rPr>
          <w:u w:val="single"/>
          <w:lang w:eastAsia="en-GB"/>
        </w:rPr>
        <w:tab/>
      </w:r>
      <w:r>
        <w:rPr>
          <w:u w:val="single"/>
          <w:lang w:eastAsia="en-GB"/>
        </w:rPr>
        <w:tab/>
      </w:r>
      <w:r>
        <w:rPr>
          <w:u w:val="single"/>
          <w:lang w:eastAsia="en-GB"/>
        </w:rPr>
        <w:tab/>
      </w:r>
    </w:p>
    <w:sectPr w:rsidR="002C2100" w:rsidSect="00AA07B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115" w:rsidRDefault="00A93115"/>
  </w:endnote>
  <w:endnote w:type="continuationSeparator" w:id="0">
    <w:p w:rsidR="00A93115" w:rsidRDefault="00A93115"/>
  </w:endnote>
  <w:endnote w:type="continuationNotice" w:id="1">
    <w:p w:rsidR="00A93115" w:rsidRDefault="00A93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07" w:rsidRPr="00AA07B5" w:rsidRDefault="00771207" w:rsidP="00AA07B5">
    <w:pPr>
      <w:pStyle w:val="Footer"/>
      <w:tabs>
        <w:tab w:val="right" w:pos="9638"/>
      </w:tabs>
    </w:pPr>
    <w:r w:rsidRPr="00AA07B5">
      <w:rPr>
        <w:b/>
        <w:sz w:val="18"/>
      </w:rPr>
      <w:fldChar w:fldCharType="begin"/>
    </w:r>
    <w:r w:rsidRPr="00AA07B5">
      <w:rPr>
        <w:b/>
        <w:sz w:val="18"/>
      </w:rPr>
      <w:instrText xml:space="preserve"> PAGE  \* MERGEFORMAT </w:instrText>
    </w:r>
    <w:r w:rsidRPr="00AA07B5">
      <w:rPr>
        <w:b/>
        <w:sz w:val="18"/>
      </w:rPr>
      <w:fldChar w:fldCharType="separate"/>
    </w:r>
    <w:r w:rsidR="001E6DDD">
      <w:rPr>
        <w:b/>
        <w:noProof/>
        <w:sz w:val="18"/>
      </w:rPr>
      <w:t>2</w:t>
    </w:r>
    <w:r w:rsidRPr="00AA07B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07" w:rsidRPr="00AA07B5" w:rsidRDefault="00771207" w:rsidP="00AA07B5">
    <w:pPr>
      <w:pStyle w:val="Footer"/>
      <w:tabs>
        <w:tab w:val="right" w:pos="9638"/>
      </w:tabs>
      <w:rPr>
        <w:b/>
        <w:sz w:val="18"/>
      </w:rPr>
    </w:pPr>
    <w:r>
      <w:tab/>
    </w:r>
    <w:r w:rsidRPr="00AA07B5">
      <w:rPr>
        <w:b/>
        <w:sz w:val="18"/>
      </w:rPr>
      <w:fldChar w:fldCharType="begin"/>
    </w:r>
    <w:r w:rsidRPr="00AA07B5">
      <w:rPr>
        <w:b/>
        <w:sz w:val="18"/>
      </w:rPr>
      <w:instrText xml:space="preserve"> PAGE  \* MERGEFORMAT </w:instrText>
    </w:r>
    <w:r w:rsidRPr="00AA07B5">
      <w:rPr>
        <w:b/>
        <w:sz w:val="18"/>
      </w:rPr>
      <w:fldChar w:fldCharType="separate"/>
    </w:r>
    <w:r w:rsidR="008D7A97">
      <w:rPr>
        <w:b/>
        <w:noProof/>
        <w:sz w:val="18"/>
      </w:rPr>
      <w:t>3</w:t>
    </w:r>
    <w:r w:rsidRPr="00AA07B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07" w:rsidRPr="00AA07B5" w:rsidRDefault="00771207">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
          <v:imagedata r:id="rId1" o:title="recycle_French"/>
        </v:shape>
      </w:pict>
    </w:r>
    <w:r>
      <w:rPr>
        <w:sz w:val="20"/>
      </w:rPr>
      <w:t>GE.13-</w:t>
    </w:r>
    <w:r w:rsidR="001E6DDD">
      <w:rPr>
        <w:sz w:val="20"/>
      </w:rPr>
      <w:t>40108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115" w:rsidRPr="00D27D5E" w:rsidRDefault="00A93115" w:rsidP="00D27D5E">
      <w:pPr>
        <w:tabs>
          <w:tab w:val="right" w:pos="2155"/>
        </w:tabs>
        <w:spacing w:after="80"/>
        <w:ind w:left="680"/>
        <w:rPr>
          <w:u w:val="single"/>
        </w:rPr>
      </w:pPr>
      <w:r>
        <w:rPr>
          <w:u w:val="single"/>
        </w:rPr>
        <w:tab/>
      </w:r>
    </w:p>
  </w:footnote>
  <w:footnote w:type="continuationSeparator" w:id="0">
    <w:p w:rsidR="00A93115" w:rsidRPr="00AA7FE7" w:rsidRDefault="00A93115" w:rsidP="00AA7FE7">
      <w:pPr>
        <w:tabs>
          <w:tab w:val="right" w:pos="2155"/>
        </w:tabs>
        <w:spacing w:after="80"/>
        <w:ind w:left="680"/>
        <w:rPr>
          <w:u w:val="single"/>
        </w:rPr>
      </w:pPr>
      <w:r w:rsidRPr="00AA7FE7">
        <w:rPr>
          <w:u w:val="single"/>
        </w:rPr>
        <w:tab/>
      </w:r>
    </w:p>
  </w:footnote>
  <w:footnote w:type="continuationNotice" w:id="1">
    <w:p w:rsidR="00A93115" w:rsidRDefault="00A931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07" w:rsidRPr="00AA07B5" w:rsidRDefault="00771207">
    <w:pPr>
      <w:pStyle w:val="Header"/>
    </w:pPr>
    <w:r>
      <w:t>CERD/C/DZA/Q/15-19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07" w:rsidRPr="00AA07B5" w:rsidRDefault="00771207" w:rsidP="00AA07B5">
    <w:pPr>
      <w:pStyle w:val="Header"/>
      <w:jc w:val="right"/>
    </w:pPr>
    <w:r>
      <w:t>CERD/C/</w:t>
    </w:r>
    <w:r w:rsidRPr="00C21D45">
      <w:t xml:space="preserve"> </w:t>
    </w:r>
    <w:r>
      <w:t>DZA/Q/15-19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DD" w:rsidRDefault="001E6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07B5"/>
    <w:rsid w:val="00000CA5"/>
    <w:rsid w:val="00004C0A"/>
    <w:rsid w:val="00016AC5"/>
    <w:rsid w:val="00047F3F"/>
    <w:rsid w:val="00054609"/>
    <w:rsid w:val="000701FA"/>
    <w:rsid w:val="000A6F55"/>
    <w:rsid w:val="000A7500"/>
    <w:rsid w:val="000C517B"/>
    <w:rsid w:val="000E7579"/>
    <w:rsid w:val="000F2349"/>
    <w:rsid w:val="000F41F2"/>
    <w:rsid w:val="000F574F"/>
    <w:rsid w:val="001231AD"/>
    <w:rsid w:val="00124D6E"/>
    <w:rsid w:val="0012544C"/>
    <w:rsid w:val="00136674"/>
    <w:rsid w:val="001450E6"/>
    <w:rsid w:val="001466C7"/>
    <w:rsid w:val="00150465"/>
    <w:rsid w:val="00160540"/>
    <w:rsid w:val="00175172"/>
    <w:rsid w:val="00192EEB"/>
    <w:rsid w:val="001936CF"/>
    <w:rsid w:val="001938D4"/>
    <w:rsid w:val="00197832"/>
    <w:rsid w:val="001A20FB"/>
    <w:rsid w:val="001B3867"/>
    <w:rsid w:val="001B448A"/>
    <w:rsid w:val="001D72C5"/>
    <w:rsid w:val="001D7F8A"/>
    <w:rsid w:val="001E3FEB"/>
    <w:rsid w:val="001E4A02"/>
    <w:rsid w:val="001E6DDD"/>
    <w:rsid w:val="0020020A"/>
    <w:rsid w:val="00204BC1"/>
    <w:rsid w:val="00212587"/>
    <w:rsid w:val="00212936"/>
    <w:rsid w:val="00213A50"/>
    <w:rsid w:val="00221923"/>
    <w:rsid w:val="00225A8C"/>
    <w:rsid w:val="00250237"/>
    <w:rsid w:val="002626D4"/>
    <w:rsid w:val="002659F1"/>
    <w:rsid w:val="00265CAB"/>
    <w:rsid w:val="00265CD7"/>
    <w:rsid w:val="00286605"/>
    <w:rsid w:val="0028793A"/>
    <w:rsid w:val="00287E79"/>
    <w:rsid w:val="002928F9"/>
    <w:rsid w:val="002A5943"/>
    <w:rsid w:val="002A5D07"/>
    <w:rsid w:val="002B0573"/>
    <w:rsid w:val="002B15CD"/>
    <w:rsid w:val="002B5B7A"/>
    <w:rsid w:val="002C2100"/>
    <w:rsid w:val="002C6F8B"/>
    <w:rsid w:val="002D3F03"/>
    <w:rsid w:val="002D5CCE"/>
    <w:rsid w:val="002E0D40"/>
    <w:rsid w:val="002E56FC"/>
    <w:rsid w:val="002E5B0C"/>
    <w:rsid w:val="002F443B"/>
    <w:rsid w:val="00300D06"/>
    <w:rsid w:val="003016B7"/>
    <w:rsid w:val="0030542C"/>
    <w:rsid w:val="00347002"/>
    <w:rsid w:val="003515AA"/>
    <w:rsid w:val="00352205"/>
    <w:rsid w:val="00356EA6"/>
    <w:rsid w:val="003642DE"/>
    <w:rsid w:val="00367476"/>
    <w:rsid w:val="00374106"/>
    <w:rsid w:val="003976D5"/>
    <w:rsid w:val="003C19EE"/>
    <w:rsid w:val="003D3833"/>
    <w:rsid w:val="003D6C68"/>
    <w:rsid w:val="003E7BC2"/>
    <w:rsid w:val="003F43E7"/>
    <w:rsid w:val="004107B4"/>
    <w:rsid w:val="004159D0"/>
    <w:rsid w:val="004226F6"/>
    <w:rsid w:val="00436B8B"/>
    <w:rsid w:val="00472145"/>
    <w:rsid w:val="00474F81"/>
    <w:rsid w:val="00483F17"/>
    <w:rsid w:val="004B192D"/>
    <w:rsid w:val="004B41A3"/>
    <w:rsid w:val="004E63DD"/>
    <w:rsid w:val="00540389"/>
    <w:rsid w:val="00540AF2"/>
    <w:rsid w:val="00543D5E"/>
    <w:rsid w:val="00564687"/>
    <w:rsid w:val="00566776"/>
    <w:rsid w:val="00571152"/>
    <w:rsid w:val="00571F41"/>
    <w:rsid w:val="00586876"/>
    <w:rsid w:val="00593658"/>
    <w:rsid w:val="005A1284"/>
    <w:rsid w:val="005B19A5"/>
    <w:rsid w:val="005D1016"/>
    <w:rsid w:val="005E0B52"/>
    <w:rsid w:val="005E5D1F"/>
    <w:rsid w:val="006034FC"/>
    <w:rsid w:val="00611D43"/>
    <w:rsid w:val="00612794"/>
    <w:rsid w:val="00612D48"/>
    <w:rsid w:val="00616B45"/>
    <w:rsid w:val="00622B31"/>
    <w:rsid w:val="006256F2"/>
    <w:rsid w:val="00630D9B"/>
    <w:rsid w:val="00631953"/>
    <w:rsid w:val="00634D14"/>
    <w:rsid w:val="00641858"/>
    <w:rsid w:val="006439EC"/>
    <w:rsid w:val="0064468B"/>
    <w:rsid w:val="00657120"/>
    <w:rsid w:val="00693E16"/>
    <w:rsid w:val="006B4590"/>
    <w:rsid w:val="006C340C"/>
    <w:rsid w:val="006D6AA6"/>
    <w:rsid w:val="006D7B0B"/>
    <w:rsid w:val="006E6AE5"/>
    <w:rsid w:val="006F39E4"/>
    <w:rsid w:val="0070347C"/>
    <w:rsid w:val="007176C1"/>
    <w:rsid w:val="007231EF"/>
    <w:rsid w:val="00771207"/>
    <w:rsid w:val="0078670C"/>
    <w:rsid w:val="00796A3B"/>
    <w:rsid w:val="007A348F"/>
    <w:rsid w:val="007A6294"/>
    <w:rsid w:val="007B5B0B"/>
    <w:rsid w:val="007C2ED4"/>
    <w:rsid w:val="007F21DC"/>
    <w:rsid w:val="007F55CB"/>
    <w:rsid w:val="008350FA"/>
    <w:rsid w:val="00844750"/>
    <w:rsid w:val="00877236"/>
    <w:rsid w:val="008B44C4"/>
    <w:rsid w:val="008D2259"/>
    <w:rsid w:val="008D4503"/>
    <w:rsid w:val="008D7A97"/>
    <w:rsid w:val="008E7FAE"/>
    <w:rsid w:val="00911BF7"/>
    <w:rsid w:val="00940B81"/>
    <w:rsid w:val="009614F0"/>
    <w:rsid w:val="00965402"/>
    <w:rsid w:val="00977EC8"/>
    <w:rsid w:val="00987B02"/>
    <w:rsid w:val="009B232D"/>
    <w:rsid w:val="009B5757"/>
    <w:rsid w:val="009C17F5"/>
    <w:rsid w:val="009D3A8C"/>
    <w:rsid w:val="009E7956"/>
    <w:rsid w:val="00A14403"/>
    <w:rsid w:val="00A2492E"/>
    <w:rsid w:val="00A30A16"/>
    <w:rsid w:val="00A37D4D"/>
    <w:rsid w:val="00A71364"/>
    <w:rsid w:val="00A82B6C"/>
    <w:rsid w:val="00A90E30"/>
    <w:rsid w:val="00A93115"/>
    <w:rsid w:val="00A96E98"/>
    <w:rsid w:val="00AA07B5"/>
    <w:rsid w:val="00AA4CF9"/>
    <w:rsid w:val="00AA7FE7"/>
    <w:rsid w:val="00AB3173"/>
    <w:rsid w:val="00AC01AA"/>
    <w:rsid w:val="00AC67A1"/>
    <w:rsid w:val="00AC7977"/>
    <w:rsid w:val="00AD08D5"/>
    <w:rsid w:val="00AE352C"/>
    <w:rsid w:val="00AF6F62"/>
    <w:rsid w:val="00B02CE9"/>
    <w:rsid w:val="00B108DC"/>
    <w:rsid w:val="00B11EAE"/>
    <w:rsid w:val="00B1654D"/>
    <w:rsid w:val="00B310FE"/>
    <w:rsid w:val="00B32E2D"/>
    <w:rsid w:val="00B61990"/>
    <w:rsid w:val="00B94590"/>
    <w:rsid w:val="00BA648B"/>
    <w:rsid w:val="00BC23E7"/>
    <w:rsid w:val="00BC7812"/>
    <w:rsid w:val="00BF0556"/>
    <w:rsid w:val="00C03431"/>
    <w:rsid w:val="00C05BA4"/>
    <w:rsid w:val="00C15E12"/>
    <w:rsid w:val="00C21D45"/>
    <w:rsid w:val="00C261F8"/>
    <w:rsid w:val="00C33100"/>
    <w:rsid w:val="00C35284"/>
    <w:rsid w:val="00C519D4"/>
    <w:rsid w:val="00C81F4E"/>
    <w:rsid w:val="00CA6EDC"/>
    <w:rsid w:val="00CB6470"/>
    <w:rsid w:val="00CD1A71"/>
    <w:rsid w:val="00CD1FBB"/>
    <w:rsid w:val="00CD3831"/>
    <w:rsid w:val="00CE5055"/>
    <w:rsid w:val="00CF167D"/>
    <w:rsid w:val="00D016B5"/>
    <w:rsid w:val="00D034F1"/>
    <w:rsid w:val="00D13740"/>
    <w:rsid w:val="00D22294"/>
    <w:rsid w:val="00D27D5E"/>
    <w:rsid w:val="00D330FA"/>
    <w:rsid w:val="00D37345"/>
    <w:rsid w:val="00D5001B"/>
    <w:rsid w:val="00D556FA"/>
    <w:rsid w:val="00D557B1"/>
    <w:rsid w:val="00D72D99"/>
    <w:rsid w:val="00D81449"/>
    <w:rsid w:val="00D960E9"/>
    <w:rsid w:val="00DA1999"/>
    <w:rsid w:val="00DC156C"/>
    <w:rsid w:val="00DE6D90"/>
    <w:rsid w:val="00DF002F"/>
    <w:rsid w:val="00DF2937"/>
    <w:rsid w:val="00DF5E6B"/>
    <w:rsid w:val="00E0244D"/>
    <w:rsid w:val="00E1555F"/>
    <w:rsid w:val="00E30A53"/>
    <w:rsid w:val="00E42D5E"/>
    <w:rsid w:val="00E81E94"/>
    <w:rsid w:val="00E82607"/>
    <w:rsid w:val="00E95677"/>
    <w:rsid w:val="00EA69E1"/>
    <w:rsid w:val="00EA7224"/>
    <w:rsid w:val="00EC5A42"/>
    <w:rsid w:val="00EF3CAA"/>
    <w:rsid w:val="00EF68A8"/>
    <w:rsid w:val="00F1446A"/>
    <w:rsid w:val="00F4001A"/>
    <w:rsid w:val="00F63BC6"/>
    <w:rsid w:val="00F63F2F"/>
    <w:rsid w:val="00FA4D91"/>
    <w:rsid w:val="00FA5A79"/>
    <w:rsid w:val="00FB0BFE"/>
    <w:rsid w:val="00FB4C51"/>
    <w:rsid w:val="00FC2178"/>
    <w:rsid w:val="00FC3D3C"/>
    <w:rsid w:val="00FF0088"/>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val="fr-CH"/>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1"/>
      </w:numPr>
      <w:spacing w:after="120"/>
      <w:ind w:right="1134"/>
      <w:jc w:val="both"/>
    </w:pPr>
  </w:style>
  <w:style w:type="paragraph" w:customStyle="1" w:styleId="Bullet2G">
    <w:name w:val="_Bullet 2_G"/>
    <w:basedOn w:val="Normal"/>
    <w:rsid w:val="009C17F5"/>
    <w:pPr>
      <w:numPr>
        <w:numId w:val="2"/>
      </w:numPr>
      <w:spacing w:after="120"/>
      <w:ind w:right="1134"/>
      <w:jc w:val="both"/>
    </w:pPr>
  </w:style>
  <w:style w:type="character" w:styleId="FootnoteReference">
    <w:name w:val="footnote reference"/>
    <w:aliases w:val="4_G"/>
    <w:rsid w:val="009C17F5"/>
    <w:rPr>
      <w:rFonts w:ascii="Times New Roman" w:hAnsi="Times New Roman"/>
      <w:sz w:val="18"/>
      <w:vertAlign w:val="superscript"/>
      <w:lang w:val="fr-CH"/>
    </w:rPr>
  </w:style>
  <w:style w:type="character" w:styleId="EndnoteReference">
    <w:name w:val="endnote reference"/>
    <w:aliases w:val="1_G"/>
    <w:rsid w:val="009C17F5"/>
    <w:rPr>
      <w:rFonts w:ascii="Times New Roman" w:hAnsi="Times New Roman"/>
      <w:sz w:val="18"/>
      <w:vertAlign w:val="superscript"/>
      <w:lang w:val="fr-CH"/>
    </w:rPr>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semiHidden/>
    <w:rsid w:val="00540389"/>
    <w:rPr>
      <w:color w:val="auto"/>
      <w:u w:val="none"/>
    </w:rPr>
  </w:style>
  <w:style w:type="character" w:styleId="FollowedHyperlink">
    <w:name w:val="FollowedHyperlink"/>
    <w:semiHidden/>
    <w:rsid w:val="00540389"/>
    <w:rPr>
      <w:color w:val="auto"/>
      <w:u w:val="none"/>
    </w:rPr>
  </w:style>
  <w:style w:type="table" w:styleId="TableGrid">
    <w:name w:val="Table Grid"/>
    <w:basedOn w:val="TableNormal"/>
    <w:semiHidden/>
    <w:rsid w:val="00204BC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ColorfulList-Accent1">
    <w:name w:val="Colorful List Accent 1"/>
    <w:basedOn w:val="TableNormal"/>
    <w:uiPriority w:val="72"/>
    <w:rsid w:val="002C2100"/>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ListParagraph">
    <w:name w:val="List Paragraph"/>
    <w:basedOn w:val="Normal"/>
    <w:uiPriority w:val="34"/>
    <w:qFormat/>
    <w:rsid w:val="002C2100"/>
    <w:pPr>
      <w:suppressAutoHyphens w:val="0"/>
      <w:spacing w:after="200" w:line="276" w:lineRule="auto"/>
      <w:ind w:left="720"/>
    </w:pPr>
    <w:rPr>
      <w:rFonts w:ascii="Calibri" w:eastAsia="Calibri" w:hAnsi="Calibri"/>
      <w:sz w:val="22"/>
      <w:szCs w:val="22"/>
      <w:lang w:val="en-GB"/>
    </w:rPr>
  </w:style>
  <w:style w:type="paragraph" w:styleId="BalloonText">
    <w:name w:val="Balloon Text"/>
    <w:basedOn w:val="Normal"/>
    <w:semiHidden/>
    <w:rsid w:val="00000CA5"/>
    <w:rPr>
      <w:rFonts w:ascii="Tahoma" w:hAnsi="Tahoma" w:cs="Tahoma"/>
      <w:sz w:val="16"/>
      <w:szCs w:val="16"/>
    </w:rPr>
  </w:style>
  <w:style w:type="character" w:customStyle="1" w:styleId="H1GChar">
    <w:name w:val="_ H_1_G Char"/>
    <w:link w:val="H1G"/>
    <w:rsid w:val="0028793A"/>
    <w:rPr>
      <w:b/>
      <w:sz w:val="24"/>
      <w:lang w:val="fr-CH" w:eastAsia="en-US" w:bidi="ar-SA"/>
    </w:rPr>
  </w:style>
  <w:style w:type="character" w:styleId="CommentReference">
    <w:name w:val="annotation reference"/>
    <w:semiHidden/>
    <w:rsid w:val="00213A50"/>
    <w:rPr>
      <w:sz w:val="16"/>
      <w:szCs w:val="16"/>
    </w:rPr>
  </w:style>
  <w:style w:type="paragraph" w:styleId="CommentText">
    <w:name w:val="annotation text"/>
    <w:basedOn w:val="Normal"/>
    <w:semiHidden/>
    <w:rsid w:val="00213A50"/>
  </w:style>
  <w:style w:type="paragraph" w:styleId="CommentSubject">
    <w:name w:val="annotation subject"/>
    <w:basedOn w:val="CommentText"/>
    <w:next w:val="CommentText"/>
    <w:semiHidden/>
    <w:rsid w:val="00213A50"/>
    <w:rPr>
      <w:b/>
      <w:bCs/>
    </w:rPr>
  </w:style>
  <w:style w:type="character" w:customStyle="1" w:styleId="SingleTxtGChar">
    <w:name w:val="_ Single Txt_G Char"/>
    <w:link w:val="SingleTxtG"/>
    <w:rsid w:val="00771207"/>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56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RD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CERD_F</Template>
  <TotalTime>1</TotalTime>
  <Pages>1</Pages>
  <Words>676</Words>
  <Characters>3723</Characters>
  <Application>Microsoft Office Word</Application>
  <DocSecurity>4</DocSecurity>
  <Lines>63</Lines>
  <Paragraphs>23</Paragraphs>
  <ScaleCrop>false</ScaleCrop>
  <HeadingPairs>
    <vt:vector size="2" baseType="variant">
      <vt:variant>
        <vt:lpstr>Title</vt:lpstr>
      </vt:variant>
      <vt:variant>
        <vt:i4>1</vt:i4>
      </vt:variant>
    </vt:vector>
  </HeadingPairs>
  <TitlesOfParts>
    <vt:vector size="1" baseType="lpstr">
      <vt:lpstr>CERD/</vt:lpstr>
    </vt:vector>
  </TitlesOfParts>
  <Company>CSD</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dc:title>
  <dc:subject/>
  <dc:creator>Thodiyil Sindu</dc:creator>
  <cp:keywords/>
  <cp:lastModifiedBy>DCM</cp:lastModifiedBy>
  <cp:revision>2</cp:revision>
  <cp:lastPrinted>2013-01-07T17:08:00Z</cp:lastPrinted>
  <dcterms:created xsi:type="dcterms:W3CDTF">2013-01-09T14:28:00Z</dcterms:created>
  <dcterms:modified xsi:type="dcterms:W3CDTF">2013-01-09T14:28:00Z</dcterms:modified>
</cp:coreProperties>
</file>