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993AA5" w:rsidP="00993AA5">
            <w:pPr>
              <w:suppressAutoHyphens w:val="0"/>
              <w:spacing w:after="20"/>
              <w:jc w:val="right"/>
            </w:pPr>
            <w:r w:rsidRPr="00993AA5">
              <w:rPr>
                <w:sz w:val="40"/>
              </w:rPr>
              <w:t>CERD</w:t>
            </w:r>
            <w:r>
              <w:t>/C/DZA/Q/15-19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993AA5" w:rsidRDefault="00993AA5" w:rsidP="00993AA5">
            <w:pPr>
              <w:suppressAutoHyphens w:val="0"/>
              <w:spacing w:before="240" w:line="240" w:lineRule="exact"/>
            </w:pPr>
            <w:r>
              <w:t>Distr.: General</w:t>
            </w:r>
          </w:p>
          <w:p w:rsidR="00993AA5" w:rsidRDefault="00993AA5" w:rsidP="00993AA5">
            <w:pPr>
              <w:suppressAutoHyphens w:val="0"/>
            </w:pPr>
            <w:r>
              <w:t>7 January 2013</w:t>
            </w:r>
          </w:p>
          <w:p w:rsidR="00993AA5" w:rsidRDefault="00993AA5" w:rsidP="00993AA5">
            <w:pPr>
              <w:suppressAutoHyphens w:val="0"/>
            </w:pPr>
            <w:r>
              <w:t>English</w:t>
            </w:r>
          </w:p>
          <w:p w:rsidR="00B56E9C" w:rsidRDefault="00993AA5" w:rsidP="00993AA5">
            <w:pPr>
              <w:suppressAutoHyphens w:val="0"/>
            </w:pPr>
            <w:r>
              <w:t>Original: French</w:t>
            </w:r>
          </w:p>
        </w:tc>
      </w:tr>
    </w:tbl>
    <w:p w:rsidR="000D4B01" w:rsidRPr="000D4B01" w:rsidRDefault="000D4B01" w:rsidP="000D4B01">
      <w:pPr>
        <w:spacing w:before="120"/>
        <w:rPr>
          <w:b/>
          <w:sz w:val="24"/>
          <w:szCs w:val="24"/>
        </w:rPr>
      </w:pPr>
      <w:r>
        <w:rPr>
          <w:b/>
          <w:sz w:val="24"/>
          <w:szCs w:val="24"/>
        </w:rPr>
        <w:t>Committee on the Elimination of Racial Discrimination</w:t>
      </w:r>
    </w:p>
    <w:p w:rsidR="00993AA5" w:rsidRPr="009937E3" w:rsidRDefault="002E67B3" w:rsidP="001D26DF">
      <w:pPr>
        <w:rPr>
          <w:b/>
        </w:rPr>
      </w:pPr>
      <w:r w:rsidRPr="009937E3">
        <w:rPr>
          <w:b/>
        </w:rPr>
        <w:t>Eighty-second session</w:t>
      </w:r>
    </w:p>
    <w:p w:rsidR="002E67B3" w:rsidRDefault="002E67B3" w:rsidP="001D26DF">
      <w:r>
        <w:t>11 February–1 March 2013</w:t>
      </w:r>
    </w:p>
    <w:p w:rsidR="002E67B3" w:rsidRDefault="002E67B3" w:rsidP="001D26DF">
      <w:r>
        <w:t>Item 4 of the provisional agenda</w:t>
      </w:r>
    </w:p>
    <w:p w:rsidR="008F559A" w:rsidRPr="008F559A" w:rsidRDefault="008F559A" w:rsidP="001D26DF">
      <w:pPr>
        <w:rPr>
          <w:b/>
        </w:rPr>
      </w:pPr>
      <w:r w:rsidRPr="008F559A">
        <w:rPr>
          <w:b/>
        </w:rPr>
        <w:t xml:space="preserve">Consideration of reports, comments and information </w:t>
      </w:r>
      <w:r>
        <w:rPr>
          <w:b/>
        </w:rPr>
        <w:t>submitted by</w:t>
      </w:r>
      <w:r>
        <w:rPr>
          <w:b/>
        </w:rPr>
        <w:br/>
      </w:r>
      <w:r w:rsidRPr="008F559A">
        <w:rPr>
          <w:b/>
        </w:rPr>
        <w:t>States parties under article 9 of the Convention</w:t>
      </w:r>
    </w:p>
    <w:p w:rsidR="006C686F" w:rsidRPr="006C686F" w:rsidRDefault="006C686F" w:rsidP="006C686F">
      <w:pPr>
        <w:pStyle w:val="HChG"/>
      </w:pPr>
      <w:r>
        <w:tab/>
      </w:r>
      <w:r>
        <w:tab/>
      </w:r>
      <w:r w:rsidRPr="006C686F">
        <w:t xml:space="preserve">List of themes to be taken up in connection with the consideration of the fifteenth to nineteenth periodic reports of </w:t>
      </w:r>
      <w:smartTag w:uri="urn:schemas-microsoft-com:office:smarttags" w:element="country-region">
        <w:smartTag w:uri="urn:schemas-microsoft-com:office:smarttags" w:element="place">
          <w:r w:rsidRPr="006C686F">
            <w:t>Algeria</w:t>
          </w:r>
        </w:smartTag>
      </w:smartTag>
      <w:r w:rsidRPr="006C686F">
        <w:t xml:space="preserve"> (CERD/C/DZA/15-19)</w:t>
      </w:r>
    </w:p>
    <w:p w:rsidR="006C686F" w:rsidRPr="006C686F" w:rsidRDefault="006C686F" w:rsidP="006C686F">
      <w:pPr>
        <w:pStyle w:val="H1G"/>
      </w:pPr>
      <w:r>
        <w:tab/>
      </w:r>
      <w:r>
        <w:tab/>
      </w:r>
      <w:r w:rsidRPr="006C686F">
        <w:t>Note by the Country Rapporteur</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887CEB" w:rsidTr="00887CEB">
        <w:trPr>
          <w:jc w:val="center"/>
        </w:trPr>
        <w:tc>
          <w:tcPr>
            <w:tcW w:w="9637" w:type="dxa"/>
            <w:tcBorders>
              <w:bottom w:val="nil"/>
            </w:tcBorders>
          </w:tcPr>
          <w:p w:rsidR="00887CEB" w:rsidRPr="00887CEB" w:rsidRDefault="00887CEB" w:rsidP="00887CEB">
            <w:pPr>
              <w:tabs>
                <w:tab w:val="left" w:pos="255"/>
              </w:tabs>
              <w:suppressAutoHyphens w:val="0"/>
              <w:spacing w:before="240" w:after="120"/>
              <w:rPr>
                <w:sz w:val="24"/>
              </w:rPr>
            </w:pPr>
            <w:r>
              <w:tab/>
            </w:r>
            <w:r>
              <w:rPr>
                <w:i/>
                <w:sz w:val="24"/>
              </w:rPr>
              <w:t>Summary</w:t>
            </w:r>
          </w:p>
        </w:tc>
      </w:tr>
      <w:tr w:rsidR="00887CEB" w:rsidTr="00887CEB">
        <w:trPr>
          <w:jc w:val="center"/>
        </w:trPr>
        <w:tc>
          <w:tcPr>
            <w:tcW w:w="9637" w:type="dxa"/>
            <w:tcBorders>
              <w:top w:val="nil"/>
              <w:bottom w:val="nil"/>
            </w:tcBorders>
            <w:shd w:val="clear" w:color="auto" w:fill="auto"/>
          </w:tcPr>
          <w:p w:rsidR="00887CEB" w:rsidRDefault="000E1222" w:rsidP="00887CEB">
            <w:pPr>
              <w:pStyle w:val="SingleTxtG"/>
            </w:pPr>
            <w:r>
              <w:tab/>
            </w:r>
            <w:r w:rsidRPr="000E1222">
              <w:t>At its seventy-sixth session, the Committee on the Elimination of Racial Discrimination decided (A/65/18, para. 85) that the Country Rapporteur would send to the State party concerned a short list of themes with a view to guiding and focusing the dialogue between the State party</w:t>
            </w:r>
            <w:r w:rsidR="00C41EF4">
              <w:t>’</w:t>
            </w:r>
            <w:r w:rsidRPr="000E1222">
              <w:t>s delegation and the Committee during the consideration of the State party</w:t>
            </w:r>
            <w:r w:rsidR="00C41EF4">
              <w:t>’</w:t>
            </w:r>
            <w:r w:rsidRPr="000E1222">
              <w:t>s report. The following is a list of themes related to the consideration of the above-mentioned periodic reports. It does not require written replies and is not exhaustive; other issues may be addressed during the discussion.</w:t>
            </w:r>
          </w:p>
        </w:tc>
      </w:tr>
      <w:tr w:rsidR="00887CEB" w:rsidTr="00887CEB">
        <w:trPr>
          <w:jc w:val="center"/>
        </w:trPr>
        <w:tc>
          <w:tcPr>
            <w:tcW w:w="9637" w:type="dxa"/>
            <w:tcBorders>
              <w:top w:val="nil"/>
            </w:tcBorders>
          </w:tcPr>
          <w:p w:rsidR="00887CEB" w:rsidRDefault="00887CEB" w:rsidP="00887CEB">
            <w:pPr>
              <w:suppressAutoHyphens w:val="0"/>
            </w:pPr>
          </w:p>
        </w:tc>
      </w:tr>
    </w:tbl>
    <w:p w:rsidR="006C686F" w:rsidRPr="006C686F" w:rsidRDefault="006C686F" w:rsidP="006C686F">
      <w:pPr>
        <w:pStyle w:val="H23G"/>
      </w:pPr>
      <w:r>
        <w:br w:type="page"/>
      </w:r>
      <w:r>
        <w:tab/>
      </w:r>
      <w:r w:rsidRPr="006C686F">
        <w:t>1.</w:t>
      </w:r>
      <w:r w:rsidRPr="006C686F">
        <w:tab/>
        <w:t xml:space="preserve">Statistical data on the ethnic composition of the population and socioeconomic indicators </w:t>
      </w:r>
    </w:p>
    <w:p w:rsidR="006C686F" w:rsidRPr="006C686F" w:rsidRDefault="006C686F" w:rsidP="006C686F">
      <w:pPr>
        <w:pStyle w:val="SingleTxtG"/>
        <w:ind w:firstLine="567"/>
      </w:pPr>
      <w:r w:rsidRPr="006C686F">
        <w:t>(a)</w:t>
      </w:r>
      <w:r w:rsidRPr="006C686F">
        <w:tab/>
        <w:t>Statistics or estimates on the ethnic composition of Algerian society; socioeconomic indicators for the Amazigh community and nomadic groups (CERD/C/304/Add.113, paras. 9 and 13; CERD/C/DZA/15-19, paras. 42 and 43).</w:t>
      </w:r>
    </w:p>
    <w:p w:rsidR="006C686F" w:rsidRPr="006C686F" w:rsidRDefault="006C686F" w:rsidP="006C686F">
      <w:pPr>
        <w:pStyle w:val="H23G"/>
      </w:pPr>
      <w:r>
        <w:tab/>
      </w:r>
      <w:r w:rsidRPr="006C686F">
        <w:t>2.</w:t>
      </w:r>
      <w:r w:rsidRPr="006C686F">
        <w:tab/>
        <w:t>Legal and institutional framework, policies and programmes for implementing the Convention (arts. 1, 2, 4, 6 and 7)</w:t>
      </w:r>
    </w:p>
    <w:p w:rsidR="006C686F" w:rsidRPr="006C686F" w:rsidRDefault="006C686F" w:rsidP="006C686F">
      <w:pPr>
        <w:pStyle w:val="SingleTxtG"/>
        <w:ind w:firstLine="567"/>
      </w:pPr>
      <w:r w:rsidRPr="006C686F">
        <w:t>(a)</w:t>
      </w:r>
      <w:r w:rsidRPr="006C686F">
        <w:tab/>
        <w:t>Criminal Code in full conformity with the Convention, particularly articles 1 and 4 (CERD/C/304/Add.113, paras. 11 and 12; CERD/C/DZA/15-19, paras. 47 and 48);</w:t>
      </w:r>
    </w:p>
    <w:p w:rsidR="006C686F" w:rsidRPr="006C686F" w:rsidRDefault="006C686F" w:rsidP="006C686F">
      <w:pPr>
        <w:pStyle w:val="SingleTxtG"/>
        <w:ind w:firstLine="567"/>
      </w:pPr>
      <w:r w:rsidRPr="006C686F">
        <w:t>(b)</w:t>
      </w:r>
      <w:r w:rsidRPr="006C686F">
        <w:tab/>
        <w:t>Absence of complaints filed in respect of racial discrimination and of rulings handed down by the domestic courts (CERD/C/304/Add.113, para. 14; CERD/C/DZA/15-19, paras. 49 and 50);</w:t>
      </w:r>
    </w:p>
    <w:p w:rsidR="006C686F" w:rsidRPr="006C686F" w:rsidRDefault="006C686F" w:rsidP="006C686F">
      <w:pPr>
        <w:pStyle w:val="SingleTxtG"/>
        <w:ind w:firstLine="567"/>
      </w:pPr>
      <w:r w:rsidRPr="006C686F">
        <w:t>(c)</w:t>
      </w:r>
      <w:r w:rsidRPr="006C686F">
        <w:tab/>
        <w:t>Efforts to ensure that the National Advisory Commission for the Promotion and Protection of Human Rights operates in full compliance with the Paris Principles. The Commission</w:t>
      </w:r>
      <w:r w:rsidR="00C41EF4">
        <w:t>’</w:t>
      </w:r>
      <w:r w:rsidRPr="006C686F">
        <w:t>s role in promoting and protecting the rights enshrined by the Convention, including the right of victims of racial discrimination to fair and adequate compensation (CERD/C/304/Add.113, paras. 14 and 16; CERD/C/DZA/15-19, paras. 28, 29, 63, 64 and 65);</w:t>
      </w:r>
    </w:p>
    <w:p w:rsidR="006C686F" w:rsidRPr="006C686F" w:rsidRDefault="006C686F" w:rsidP="006C686F">
      <w:pPr>
        <w:pStyle w:val="SingleTxtG"/>
        <w:ind w:firstLine="567"/>
      </w:pPr>
      <w:r w:rsidRPr="006C686F">
        <w:t>(d)</w:t>
      </w:r>
      <w:r w:rsidRPr="006C686F">
        <w:tab/>
        <w:t>Information on the training of judges and law enforcement officers, as well as on awareness-raising campaigns on implementation of the Convention, particularly the prohibition of discrimination on the basis of race, colour, descent or national or ethnic origin.</w:t>
      </w:r>
    </w:p>
    <w:p w:rsidR="006C686F" w:rsidRPr="006C686F" w:rsidRDefault="006C686F" w:rsidP="006C686F">
      <w:pPr>
        <w:pStyle w:val="H23G"/>
      </w:pPr>
      <w:r>
        <w:tab/>
      </w:r>
      <w:r w:rsidRPr="006C686F">
        <w:t>3.</w:t>
      </w:r>
      <w:r w:rsidRPr="006C686F">
        <w:tab/>
        <w:t>Economic, social and cultural rights of ethnic groups (art. 5)</w:t>
      </w:r>
    </w:p>
    <w:p w:rsidR="006C686F" w:rsidRPr="006C686F" w:rsidRDefault="006C686F" w:rsidP="006C686F">
      <w:pPr>
        <w:pStyle w:val="SingleTxtG"/>
        <w:ind w:firstLine="567"/>
      </w:pPr>
      <w:r w:rsidRPr="006C686F">
        <w:t>(a)</w:t>
      </w:r>
      <w:r w:rsidRPr="006C686F">
        <w:tab/>
        <w:t>Practical implementation of the constitutional amendment of 22 April 2002 making the Amazigh language a national language under the act of 5 July 1988 on the generalization of the Arabic language (CERD/C/304/Add.113, para. 10; CERD/C/DZA/15-19, paras. 44</w:t>
      </w:r>
      <w:r w:rsidR="00CB16EC">
        <w:t>–</w:t>
      </w:r>
      <w:r w:rsidR="006D7D0E">
        <w:t>46);</w:t>
      </w:r>
    </w:p>
    <w:p w:rsidR="006C686F" w:rsidRPr="006C686F" w:rsidRDefault="006C686F" w:rsidP="006C686F">
      <w:pPr>
        <w:pStyle w:val="SingleTxtG"/>
        <w:ind w:firstLine="567"/>
      </w:pPr>
      <w:r w:rsidRPr="006C686F">
        <w:t>(b)</w:t>
      </w:r>
      <w:r w:rsidRPr="006C686F">
        <w:tab/>
        <w:t>Impact of the work of the High Commission for Amazigh Affairs on the enjoyment of economic, social and cultural rights by the Amazigh community (CERD/C/304/Add.113, para. 15; CERD/C/DZA/15-19, paras. 51</w:t>
      </w:r>
      <w:r w:rsidR="00CB16EC">
        <w:t>–</w:t>
      </w:r>
      <w:r w:rsidRPr="006C686F">
        <w:t>62).</w:t>
      </w:r>
    </w:p>
    <w:p w:rsidR="006C686F" w:rsidRPr="006C686F" w:rsidRDefault="006C686F" w:rsidP="006C686F">
      <w:pPr>
        <w:pStyle w:val="H23G"/>
      </w:pPr>
      <w:r>
        <w:tab/>
      </w:r>
      <w:r w:rsidRPr="006C686F">
        <w:t>4.</w:t>
      </w:r>
      <w:r w:rsidRPr="006C686F">
        <w:tab/>
        <w:t>Situation of non-nationals, particularly migrants, refugees and asylum seekers</w:t>
      </w:r>
    </w:p>
    <w:p w:rsidR="006C686F" w:rsidRPr="006C686F" w:rsidRDefault="006C686F" w:rsidP="006C686F">
      <w:pPr>
        <w:pStyle w:val="SingleTxtG"/>
        <w:ind w:firstLine="567"/>
      </w:pPr>
      <w:r w:rsidRPr="006C686F">
        <w:t>(a)</w:t>
      </w:r>
      <w:r w:rsidRPr="006C686F">
        <w:tab/>
        <w:t>Integration of and non-discrimination against non-nationals, particularly migrants; promotion of their socioeconomic and cultural rights (CERD/C/DZA/15-19, para. 98, CMW/C/DZA/CO/1, paras. 18 to 35);</w:t>
      </w:r>
    </w:p>
    <w:p w:rsidR="006C686F" w:rsidRPr="006C686F" w:rsidRDefault="006C686F" w:rsidP="006C686F">
      <w:pPr>
        <w:pStyle w:val="SingleTxtG"/>
        <w:ind w:firstLine="567"/>
      </w:pPr>
      <w:r w:rsidRPr="006C686F">
        <w:t>(b)</w:t>
      </w:r>
      <w:r w:rsidRPr="006C686F">
        <w:tab/>
        <w:t>Legislation planned or adopted to improve the situation of asylum seekers and refugees, particularly those from sub-Saharan Africa and Western Sahara, including on access to education, health care, housing and employment (CERD/C/DZA/15-19, para. 136);</w:t>
      </w:r>
    </w:p>
    <w:p w:rsidR="006C686F" w:rsidRPr="006C686F" w:rsidRDefault="006C686F" w:rsidP="006C686F">
      <w:pPr>
        <w:pStyle w:val="SingleTxtG"/>
        <w:ind w:firstLine="567"/>
      </w:pPr>
      <w:r w:rsidRPr="006C686F">
        <w:t>(c)</w:t>
      </w:r>
      <w:r w:rsidRPr="006C686F">
        <w:tab/>
        <w:t>Additional information on cases of collective expulsion or administrative detention of foreigners waiting for deportation or who have been granted refugee status by the Office of the United Nations High Commissioner for Refugees (CCPR/C/DZA/CI/3, para. 22);</w:t>
      </w:r>
    </w:p>
    <w:p w:rsidR="006C686F" w:rsidRPr="006C686F" w:rsidRDefault="00B365E3" w:rsidP="006C686F">
      <w:pPr>
        <w:pStyle w:val="SingleTxtG"/>
        <w:ind w:firstLine="567"/>
      </w:pPr>
      <w:r>
        <w:br w:type="page"/>
      </w:r>
      <w:r w:rsidR="006C686F" w:rsidRPr="006C686F">
        <w:t>(d)</w:t>
      </w:r>
      <w:r w:rsidR="006C686F" w:rsidRPr="006C686F">
        <w:tab/>
        <w:t>Additional measures towards effective control of trafficking in human beings, which affects non-citizens in particular (CERD/C/DZA/15-19, paras. 96 and 97).</w:t>
      </w:r>
    </w:p>
    <w:p w:rsidR="006C686F" w:rsidRPr="00106A43" w:rsidRDefault="006C686F">
      <w:pPr>
        <w:spacing w:before="240"/>
        <w:jc w:val="center"/>
        <w:rPr>
          <w:u w:val="single"/>
        </w:rPr>
      </w:pPr>
      <w:r>
        <w:rPr>
          <w:u w:val="single"/>
        </w:rPr>
        <w:tab/>
      </w:r>
      <w:r>
        <w:rPr>
          <w:u w:val="single"/>
        </w:rPr>
        <w:tab/>
      </w:r>
      <w:r>
        <w:rPr>
          <w:u w:val="single"/>
        </w:rPr>
        <w:tab/>
      </w:r>
    </w:p>
    <w:sectPr w:rsidR="006C686F" w:rsidRPr="00106A43" w:rsidSect="00993AA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A3" w:rsidRDefault="006C3CA3"/>
  </w:endnote>
  <w:endnote w:type="continuationSeparator" w:id="0">
    <w:p w:rsidR="006C3CA3" w:rsidRDefault="006C3CA3"/>
  </w:endnote>
  <w:endnote w:type="continuationNotice" w:id="1">
    <w:p w:rsidR="006C3CA3" w:rsidRDefault="006C3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A3" w:rsidRPr="00993AA5" w:rsidRDefault="006C3CA3" w:rsidP="00993AA5">
    <w:pPr>
      <w:pStyle w:val="Footer"/>
      <w:tabs>
        <w:tab w:val="right" w:pos="9598"/>
      </w:tabs>
    </w:pPr>
    <w:r w:rsidRPr="00993AA5">
      <w:rPr>
        <w:b/>
        <w:sz w:val="18"/>
      </w:rPr>
      <w:fldChar w:fldCharType="begin"/>
    </w:r>
    <w:r w:rsidRPr="00993AA5">
      <w:rPr>
        <w:b/>
        <w:sz w:val="18"/>
      </w:rPr>
      <w:instrText xml:space="preserve"> PAGE  \* MERGEFORMAT </w:instrText>
    </w:r>
    <w:r w:rsidRPr="00993AA5">
      <w:rPr>
        <w:b/>
        <w:sz w:val="18"/>
      </w:rPr>
      <w:fldChar w:fldCharType="separate"/>
    </w:r>
    <w:r w:rsidR="00B103D8">
      <w:rPr>
        <w:b/>
        <w:noProof/>
        <w:sz w:val="18"/>
      </w:rPr>
      <w:t>2</w:t>
    </w:r>
    <w:r w:rsidRPr="00993AA5">
      <w:rPr>
        <w:b/>
        <w:sz w:val="18"/>
      </w:rPr>
      <w:fldChar w:fldCharType="end"/>
    </w:r>
    <w:r>
      <w:rPr>
        <w:sz w:val="18"/>
      </w:rPr>
      <w:tab/>
    </w:r>
    <w:r>
      <w:t>GE.13-40107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A3" w:rsidRPr="00993AA5" w:rsidRDefault="006C3CA3" w:rsidP="00993AA5">
    <w:pPr>
      <w:pStyle w:val="Footer"/>
      <w:tabs>
        <w:tab w:val="right" w:pos="9598"/>
      </w:tabs>
      <w:rPr>
        <w:b/>
        <w:sz w:val="18"/>
      </w:rPr>
    </w:pPr>
    <w:r>
      <w:t>GE.13-40107</w:t>
    </w:r>
    <w:r>
      <w:tab/>
    </w:r>
    <w:r w:rsidRPr="00993AA5">
      <w:rPr>
        <w:b/>
        <w:sz w:val="18"/>
      </w:rPr>
      <w:fldChar w:fldCharType="begin"/>
    </w:r>
    <w:r w:rsidRPr="00993AA5">
      <w:rPr>
        <w:b/>
        <w:sz w:val="18"/>
      </w:rPr>
      <w:instrText xml:space="preserve"> PAGE  \* MERGEFORMAT </w:instrText>
    </w:r>
    <w:r w:rsidRPr="00993AA5">
      <w:rPr>
        <w:b/>
        <w:sz w:val="18"/>
      </w:rPr>
      <w:fldChar w:fldCharType="separate"/>
    </w:r>
    <w:r w:rsidR="00B103D8">
      <w:rPr>
        <w:b/>
        <w:noProof/>
        <w:sz w:val="18"/>
      </w:rPr>
      <w:t>3</w:t>
    </w:r>
    <w:r w:rsidRPr="00993A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A3" w:rsidRPr="009B4A1B" w:rsidRDefault="006C3CA3" w:rsidP="009B4A1B">
    <w:pPr>
      <w:pStyle w:val="Footer"/>
    </w:pPr>
    <w:r>
      <w:rPr>
        <w:sz w:val="20"/>
      </w:rPr>
      <w:t>GE.13-40107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220113    220113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A3" w:rsidRPr="000B175B" w:rsidRDefault="006C3CA3" w:rsidP="000B175B">
      <w:pPr>
        <w:tabs>
          <w:tab w:val="right" w:pos="2155"/>
        </w:tabs>
        <w:spacing w:after="80"/>
        <w:ind w:left="680"/>
        <w:rPr>
          <w:u w:val="single"/>
        </w:rPr>
      </w:pPr>
      <w:r>
        <w:rPr>
          <w:u w:val="single"/>
        </w:rPr>
        <w:tab/>
      </w:r>
    </w:p>
  </w:footnote>
  <w:footnote w:type="continuationSeparator" w:id="0">
    <w:p w:rsidR="006C3CA3" w:rsidRPr="00FC68B7" w:rsidRDefault="006C3CA3" w:rsidP="00FC68B7">
      <w:pPr>
        <w:tabs>
          <w:tab w:val="left" w:pos="2155"/>
        </w:tabs>
        <w:spacing w:after="80"/>
        <w:ind w:left="680"/>
        <w:rPr>
          <w:u w:val="single"/>
        </w:rPr>
      </w:pPr>
      <w:r>
        <w:rPr>
          <w:u w:val="single"/>
        </w:rPr>
        <w:tab/>
      </w:r>
    </w:p>
  </w:footnote>
  <w:footnote w:type="continuationNotice" w:id="1">
    <w:p w:rsidR="006C3CA3" w:rsidRDefault="006C3C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A3" w:rsidRPr="00993AA5" w:rsidRDefault="006C3CA3" w:rsidP="00993AA5">
    <w:pPr>
      <w:pStyle w:val="Header"/>
    </w:pPr>
    <w:r w:rsidRPr="00993AA5">
      <w:t>CERD/C/DZA/Q/15-19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A3" w:rsidRPr="00993AA5" w:rsidRDefault="006C3CA3" w:rsidP="00993AA5">
    <w:pPr>
      <w:pStyle w:val="Header"/>
      <w:jc w:val="right"/>
    </w:pPr>
    <w:r w:rsidRPr="00993AA5">
      <w:t>CERD/C/DZA/Q/15-19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47F"/>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D4B01"/>
    <w:rsid w:val="000D7B6D"/>
    <w:rsid w:val="000E0415"/>
    <w:rsid w:val="000E1222"/>
    <w:rsid w:val="001103AA"/>
    <w:rsid w:val="00155467"/>
    <w:rsid w:val="00180D95"/>
    <w:rsid w:val="00183AF4"/>
    <w:rsid w:val="0018711F"/>
    <w:rsid w:val="001B4B04"/>
    <w:rsid w:val="001C6663"/>
    <w:rsid w:val="001C7895"/>
    <w:rsid w:val="001D26DF"/>
    <w:rsid w:val="001E5AA0"/>
    <w:rsid w:val="00202DA8"/>
    <w:rsid w:val="00206627"/>
    <w:rsid w:val="00211E0B"/>
    <w:rsid w:val="002B0464"/>
    <w:rsid w:val="002E67B3"/>
    <w:rsid w:val="002F175C"/>
    <w:rsid w:val="003229D8"/>
    <w:rsid w:val="003242DB"/>
    <w:rsid w:val="003305AB"/>
    <w:rsid w:val="00352709"/>
    <w:rsid w:val="00371178"/>
    <w:rsid w:val="00396D8E"/>
    <w:rsid w:val="003A4810"/>
    <w:rsid w:val="003A6810"/>
    <w:rsid w:val="003C2CC4"/>
    <w:rsid w:val="003D4B23"/>
    <w:rsid w:val="00405DDC"/>
    <w:rsid w:val="00410C89"/>
    <w:rsid w:val="004325CB"/>
    <w:rsid w:val="0045495B"/>
    <w:rsid w:val="0048600D"/>
    <w:rsid w:val="004978B8"/>
    <w:rsid w:val="004D25E4"/>
    <w:rsid w:val="004D2FA1"/>
    <w:rsid w:val="0050247F"/>
    <w:rsid w:val="00517B36"/>
    <w:rsid w:val="005420F2"/>
    <w:rsid w:val="005B3DB3"/>
    <w:rsid w:val="005C6A79"/>
    <w:rsid w:val="006001EE"/>
    <w:rsid w:val="006050D0"/>
    <w:rsid w:val="00611FC4"/>
    <w:rsid w:val="006176FB"/>
    <w:rsid w:val="00640B26"/>
    <w:rsid w:val="006C3CA3"/>
    <w:rsid w:val="006C686F"/>
    <w:rsid w:val="006D7D0E"/>
    <w:rsid w:val="006E564B"/>
    <w:rsid w:val="006E63A1"/>
    <w:rsid w:val="0072632A"/>
    <w:rsid w:val="007B112D"/>
    <w:rsid w:val="007B6BA5"/>
    <w:rsid w:val="007C3390"/>
    <w:rsid w:val="007C4F4B"/>
    <w:rsid w:val="007F6462"/>
    <w:rsid w:val="007F6611"/>
    <w:rsid w:val="008242D7"/>
    <w:rsid w:val="00832D01"/>
    <w:rsid w:val="00887CEB"/>
    <w:rsid w:val="008979B1"/>
    <w:rsid w:val="008A6B25"/>
    <w:rsid w:val="008A6C4F"/>
    <w:rsid w:val="008B2335"/>
    <w:rsid w:val="008F559A"/>
    <w:rsid w:val="00916443"/>
    <w:rsid w:val="009223CA"/>
    <w:rsid w:val="009369F6"/>
    <w:rsid w:val="00940F93"/>
    <w:rsid w:val="009603EF"/>
    <w:rsid w:val="00974192"/>
    <w:rsid w:val="009937E3"/>
    <w:rsid w:val="00993AA5"/>
    <w:rsid w:val="009A3D56"/>
    <w:rsid w:val="009B4A1B"/>
    <w:rsid w:val="009C0EE8"/>
    <w:rsid w:val="009C14AA"/>
    <w:rsid w:val="00A01489"/>
    <w:rsid w:val="00A614F0"/>
    <w:rsid w:val="00A61CCD"/>
    <w:rsid w:val="00A64909"/>
    <w:rsid w:val="00A72F22"/>
    <w:rsid w:val="00A748A6"/>
    <w:rsid w:val="00A776B4"/>
    <w:rsid w:val="00A94361"/>
    <w:rsid w:val="00AC1552"/>
    <w:rsid w:val="00AF3BFB"/>
    <w:rsid w:val="00B06775"/>
    <w:rsid w:val="00B103D8"/>
    <w:rsid w:val="00B30179"/>
    <w:rsid w:val="00B365E3"/>
    <w:rsid w:val="00B56E9C"/>
    <w:rsid w:val="00B64B1F"/>
    <w:rsid w:val="00B6553F"/>
    <w:rsid w:val="00B81E12"/>
    <w:rsid w:val="00B938F1"/>
    <w:rsid w:val="00BC74E9"/>
    <w:rsid w:val="00BF68A8"/>
    <w:rsid w:val="00C3206E"/>
    <w:rsid w:val="00C41EF4"/>
    <w:rsid w:val="00C463DD"/>
    <w:rsid w:val="00C4724C"/>
    <w:rsid w:val="00C475AB"/>
    <w:rsid w:val="00C53A77"/>
    <w:rsid w:val="00C629A0"/>
    <w:rsid w:val="00C745C3"/>
    <w:rsid w:val="00C75FB9"/>
    <w:rsid w:val="00C96E03"/>
    <w:rsid w:val="00CB16EC"/>
    <w:rsid w:val="00CC00AC"/>
    <w:rsid w:val="00CC24D2"/>
    <w:rsid w:val="00CC3F8B"/>
    <w:rsid w:val="00CE4A8F"/>
    <w:rsid w:val="00D2031B"/>
    <w:rsid w:val="00D218CB"/>
    <w:rsid w:val="00D25FE2"/>
    <w:rsid w:val="00D43252"/>
    <w:rsid w:val="00D51E7F"/>
    <w:rsid w:val="00D76EAB"/>
    <w:rsid w:val="00D7767E"/>
    <w:rsid w:val="00D978C6"/>
    <w:rsid w:val="00DA3C1C"/>
    <w:rsid w:val="00E109FB"/>
    <w:rsid w:val="00E63389"/>
    <w:rsid w:val="00E71BC8"/>
    <w:rsid w:val="00E7260F"/>
    <w:rsid w:val="00E95A76"/>
    <w:rsid w:val="00E96630"/>
    <w:rsid w:val="00ED32A3"/>
    <w:rsid w:val="00ED49E2"/>
    <w:rsid w:val="00ED616A"/>
    <w:rsid w:val="00ED7A2A"/>
    <w:rsid w:val="00EF1D7F"/>
    <w:rsid w:val="00F32B3C"/>
    <w:rsid w:val="00F34583"/>
    <w:rsid w:val="00F504DF"/>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Pages>
  <Words>605</Words>
  <Characters>3593</Characters>
  <Application>Microsoft Office Word</Application>
  <DocSecurity>4</DocSecurity>
  <Lines>79</Lines>
  <Paragraphs>36</Paragraphs>
  <ScaleCrop>false</ScaleCrop>
  <HeadingPairs>
    <vt:vector size="2" baseType="variant">
      <vt:variant>
        <vt:lpstr>Title</vt:lpstr>
      </vt:variant>
      <vt:variant>
        <vt:i4>1</vt:i4>
      </vt:variant>
    </vt:vector>
  </HeadingPairs>
  <TitlesOfParts>
    <vt:vector size="1" baseType="lpstr">
      <vt:lpstr>1340107</vt:lpstr>
    </vt:vector>
  </TitlesOfParts>
  <Company>CSD</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1340107</dc:title>
  <dc:subject/>
  <dc:creator>lm</dc:creator>
  <cp:keywords>CERD/C/DZA/Q/15-19</cp:keywords>
  <dc:description>Final</dc:description>
  <cp:lastModifiedBy>PAE</cp:lastModifiedBy>
  <cp:revision>2</cp:revision>
  <cp:lastPrinted>2013-01-22T12:58:00Z</cp:lastPrinted>
  <dcterms:created xsi:type="dcterms:W3CDTF">2013-01-22T12:58:00Z</dcterms:created>
  <dcterms:modified xsi:type="dcterms:W3CDTF">2013-01-22T12:58:00Z</dcterms:modified>
</cp:coreProperties>
</file>