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1A59A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1A59A7" w:rsidRDefault="001A59A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A59A7" w:rsidRDefault="001A59A7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A59A7" w:rsidRDefault="001A59A7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1A59A7" w:rsidRPr="00AA1FAD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5481538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</w:t>
            </w:r>
            <w:r w:rsidR="009A22EB">
              <w:rPr>
                <w:rFonts w:ascii="Arial" w:hAnsi="Arial"/>
                <w:b/>
                <w:sz w:val="32"/>
              </w:rPr>
              <w:t>’</w:t>
            </w:r>
            <w:r>
              <w:rPr>
                <w:rFonts w:ascii="Arial" w:hAnsi="Arial"/>
                <w:b/>
                <w:sz w:val="32"/>
              </w:rPr>
              <w:t>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AA1FAD" w:rsidRDefault="001A59A7">
            <w:pPr>
              <w:spacing w:after="240"/>
            </w:pPr>
            <w:r>
              <w:t>Distr.</w:t>
            </w:r>
            <w:r>
              <w:br/>
            </w:r>
            <w:r w:rsidR="00AA1FAD">
              <w:t>GÉNÉRALE</w:t>
            </w:r>
          </w:p>
          <w:p w:rsidR="00AA1FAD" w:rsidRDefault="00AA1FAD">
            <w:pPr>
              <w:spacing w:after="240"/>
              <w:rPr>
                <w:lang w:val="en-GB"/>
              </w:rPr>
            </w:pPr>
            <w:r w:rsidRPr="00AA1FAD">
              <w:rPr>
                <w:lang w:val="en-GB"/>
              </w:rPr>
              <w:t>CERD/C/KOR/CO/14/Add.1</w:t>
            </w:r>
            <w:r>
              <w:rPr>
                <w:lang w:val="en-GB"/>
              </w:rPr>
              <w:br/>
              <w:t>23 janvier 2009</w:t>
            </w:r>
          </w:p>
          <w:p w:rsidR="001A59A7" w:rsidRPr="00AA1FAD" w:rsidRDefault="00AA1FAD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FRANÇAIS</w:t>
            </w:r>
            <w:r>
              <w:rPr>
                <w:lang w:val="en-GB"/>
              </w:rPr>
              <w:br/>
              <w:t>Original: ANGLAIS</w:t>
            </w:r>
            <w:r w:rsidRPr="00AA1FAD">
              <w:rPr>
                <w:lang w:val="en-GB"/>
              </w:rPr>
              <w:br/>
            </w:r>
          </w:p>
        </w:tc>
      </w:tr>
    </w:tbl>
    <w:p w:rsidR="001A59A7" w:rsidRDefault="001A59A7" w:rsidP="00DE2655">
      <w:pPr>
        <w:spacing w:before="120" w:after="720"/>
      </w:pPr>
      <w:r>
        <w:t>COMITÉ POUR L</w:t>
      </w:r>
      <w:r w:rsidR="009A22EB">
        <w:t>’</w:t>
      </w:r>
      <w:r>
        <w:t>ÉLIMINATION</w:t>
      </w:r>
      <w:r>
        <w:br/>
        <w:t>DE LA DISCRIMINATION RACIALE</w:t>
      </w:r>
    </w:p>
    <w:p w:rsidR="00DE2655" w:rsidRDefault="00DE2655" w:rsidP="00DE2655">
      <w:pPr>
        <w:tabs>
          <w:tab w:val="left" w:pos="6240"/>
        </w:tabs>
        <w:spacing w:after="720"/>
        <w:jc w:val="center"/>
        <w:rPr>
          <w:b/>
          <w:lang w:val="fr-FR"/>
        </w:rPr>
      </w:pPr>
      <w:r>
        <w:rPr>
          <w:b/>
          <w:lang w:val="fr-FR"/>
        </w:rPr>
        <w:t>RAPPORTS PRÉSENTÉS PAR LES ÉTATS PARTIES CONFORMÉMENT</w:t>
      </w:r>
      <w:r>
        <w:rPr>
          <w:b/>
          <w:lang w:val="fr-FR"/>
        </w:rPr>
        <w:br/>
        <w:t>À L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ARTICLE 9 DE LA CONVENTION</w:t>
      </w:r>
    </w:p>
    <w:p w:rsidR="00DE2655" w:rsidRDefault="00DE2655" w:rsidP="00DE2655">
      <w:pPr>
        <w:tabs>
          <w:tab w:val="left" w:pos="6240"/>
        </w:tabs>
        <w:spacing w:after="720"/>
        <w:jc w:val="center"/>
        <w:rPr>
          <w:b/>
          <w:lang w:val="fr-FR"/>
        </w:rPr>
      </w:pPr>
      <w:r>
        <w:rPr>
          <w:b/>
          <w:lang w:val="fr-FR"/>
        </w:rPr>
        <w:t>Renseignements fournis par le Gouvernement coréen sur la suite</w:t>
      </w:r>
      <w:r>
        <w:rPr>
          <w:b/>
          <w:lang w:val="fr-FR"/>
        </w:rPr>
        <w:br/>
        <w:t>donnée aux observations finales du Comité pour l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élimination</w:t>
      </w:r>
      <w:r>
        <w:rPr>
          <w:b/>
          <w:lang w:val="fr-FR"/>
        </w:rPr>
        <w:br/>
        <w:t>de la discrimination raciale</w:t>
      </w:r>
    </w:p>
    <w:p w:rsidR="00DE2655" w:rsidRDefault="00DE2655" w:rsidP="00DE2655">
      <w:pPr>
        <w:tabs>
          <w:tab w:val="left" w:pos="6240"/>
        </w:tabs>
        <w:spacing w:after="240"/>
        <w:jc w:val="right"/>
        <w:rPr>
          <w:lang w:val="fr-FR"/>
        </w:rPr>
      </w:pPr>
      <w:r>
        <w:rPr>
          <w:lang w:val="fr-FR"/>
        </w:rPr>
        <w:t>[29 septembre 2008]</w:t>
      </w:r>
    </w:p>
    <w:p w:rsidR="00DE2655" w:rsidRDefault="00DE2655" w:rsidP="00DE2655">
      <w:pPr>
        <w:tabs>
          <w:tab w:val="left" w:pos="6240"/>
        </w:tabs>
        <w:spacing w:after="240"/>
        <w:jc w:val="center"/>
        <w:rPr>
          <w:b/>
          <w:lang w:val="fr-FR"/>
        </w:rPr>
      </w:pPr>
      <w:r>
        <w:rPr>
          <w:lang w:val="fr-FR"/>
        </w:rPr>
        <w:br w:type="page"/>
      </w:r>
      <w:r>
        <w:rPr>
          <w:b/>
          <w:lang w:val="fr-FR"/>
        </w:rPr>
        <w:t>Informations sur la manière dont la Républ</w:t>
      </w:r>
      <w:r w:rsidR="00AC192E">
        <w:rPr>
          <w:b/>
          <w:lang w:val="fr-FR"/>
        </w:rPr>
        <w:t>ique de Corée a donné suite aux </w:t>
      </w:r>
      <w:r>
        <w:rPr>
          <w:b/>
          <w:lang w:val="fr-FR"/>
        </w:rPr>
        <w:t>recommandations contenues d</w:t>
      </w:r>
      <w:r w:rsidR="00AC192E">
        <w:rPr>
          <w:b/>
          <w:lang w:val="fr-FR"/>
        </w:rPr>
        <w:t>ans les paragraphes 1, 13 et 17</w:t>
      </w:r>
      <w:r w:rsidR="00AC192E">
        <w:rPr>
          <w:b/>
          <w:lang w:val="fr-FR"/>
        </w:rPr>
        <w:br/>
      </w:r>
      <w:r>
        <w:rPr>
          <w:b/>
          <w:lang w:val="fr-FR"/>
        </w:rPr>
        <w:t>des observations</w:t>
      </w:r>
      <w:r w:rsidR="00AC192E">
        <w:rPr>
          <w:b/>
          <w:lang w:val="fr-FR"/>
        </w:rPr>
        <w:t xml:space="preserve"> </w:t>
      </w:r>
      <w:r>
        <w:rPr>
          <w:b/>
          <w:lang w:val="fr-FR"/>
        </w:rPr>
        <w:t>final</w:t>
      </w:r>
      <w:r w:rsidR="00AC192E">
        <w:rPr>
          <w:b/>
          <w:lang w:val="fr-FR"/>
        </w:rPr>
        <w:t>es du Comité pour l</w:t>
      </w:r>
      <w:r w:rsidR="009A22EB">
        <w:rPr>
          <w:b/>
          <w:lang w:val="fr-FR"/>
        </w:rPr>
        <w:t>’</w:t>
      </w:r>
      <w:r w:rsidR="00AC192E">
        <w:rPr>
          <w:b/>
          <w:lang w:val="fr-FR"/>
        </w:rPr>
        <w:t>élimination</w:t>
      </w:r>
      <w:r w:rsidR="00AC192E">
        <w:rPr>
          <w:b/>
          <w:lang w:val="fr-FR"/>
        </w:rPr>
        <w:br/>
      </w:r>
      <w:r>
        <w:rPr>
          <w:b/>
          <w:lang w:val="fr-FR"/>
        </w:rPr>
        <w:t>de la discrimination raciale</w:t>
      </w:r>
    </w:p>
    <w:p w:rsidR="00DE2655" w:rsidRDefault="00DE2655" w:rsidP="00DE2655">
      <w:pPr>
        <w:tabs>
          <w:tab w:val="left" w:pos="6240"/>
        </w:tabs>
        <w:spacing w:after="240"/>
        <w:rPr>
          <w:b/>
          <w:lang w:val="fr-FR"/>
        </w:rPr>
      </w:pPr>
      <w:r>
        <w:rPr>
          <w:b/>
          <w:lang w:val="fr-FR"/>
        </w:rPr>
        <w:t>Paragraphe 11</w:t>
      </w:r>
    </w:p>
    <w:p w:rsidR="00DE2655" w:rsidRDefault="00DE2655" w:rsidP="0070593A">
      <w:pPr>
        <w:spacing w:after="240"/>
        <w:ind w:firstLine="567"/>
        <w:rPr>
          <w:b/>
          <w:lang w:val="fr-FR"/>
        </w:rPr>
      </w:pPr>
      <w:r>
        <w:rPr>
          <w:b/>
          <w:lang w:val="fr-FR"/>
        </w:rPr>
        <w:t>Fournir la traduction en anglais de la loi sur le traitement des étrangers en Corée, ainsi que des renseignements déta</w:t>
      </w:r>
      <w:r w:rsidR="0070593A">
        <w:rPr>
          <w:b/>
          <w:lang w:val="fr-FR"/>
        </w:rPr>
        <w:t>illés sur son application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Gouvernement coréen a </w:t>
      </w:r>
      <w:r w:rsidR="00AC192E">
        <w:rPr>
          <w:lang w:val="fr-FR"/>
        </w:rPr>
        <w:t xml:space="preserve">entrepris </w:t>
      </w:r>
      <w:r>
        <w:rPr>
          <w:lang w:val="fr-FR"/>
        </w:rPr>
        <w:t>la traduction en anglais de la loi sur le traitement des étrangers en Corée</w:t>
      </w:r>
      <w:r w:rsidR="00AC192E">
        <w:rPr>
          <w:lang w:val="fr-FR"/>
        </w:rPr>
        <w:t>; ce travail est en cours.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Depuis 2007, le 20 mai de chaque année </w:t>
      </w:r>
      <w:r w:rsidR="00AC192E">
        <w:rPr>
          <w:lang w:val="fr-FR"/>
        </w:rPr>
        <w:t xml:space="preserve">est proclamé «Journée de la convivialité», </w:t>
      </w:r>
      <w:r>
        <w:rPr>
          <w:lang w:val="fr-FR"/>
        </w:rPr>
        <w:t>conformément à l</w:t>
      </w:r>
      <w:r w:rsidR="009A22EB">
        <w:rPr>
          <w:lang w:val="fr-FR"/>
        </w:rPr>
        <w:t>’</w:t>
      </w:r>
      <w:r>
        <w:rPr>
          <w:lang w:val="fr-FR"/>
        </w:rPr>
        <w:t>article 19 de la loi</w:t>
      </w:r>
      <w:r w:rsidR="00AC192E">
        <w:rPr>
          <w:lang w:val="fr-FR"/>
        </w:rPr>
        <w:t xml:space="preserve">. Cette journée est </w:t>
      </w:r>
      <w:r>
        <w:rPr>
          <w:lang w:val="fr-FR"/>
        </w:rPr>
        <w:t>célébré</w:t>
      </w:r>
      <w:r w:rsidR="00AC192E">
        <w:rPr>
          <w:lang w:val="fr-FR"/>
        </w:rPr>
        <w:t>e</w:t>
      </w:r>
      <w:r>
        <w:rPr>
          <w:lang w:val="fr-FR"/>
        </w:rPr>
        <w:t xml:space="preserve"> par diverses manifestations auxquelles prennent part des étrangers</w:t>
      </w:r>
      <w:r w:rsidR="00AC192E">
        <w:rPr>
          <w:lang w:val="fr-FR"/>
        </w:rPr>
        <w:t>,</w:t>
      </w:r>
      <w:r>
        <w:rPr>
          <w:lang w:val="fr-FR"/>
        </w:rPr>
        <w:t xml:space="preserve"> notamment des immigrants mariés.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Gouvernement coréen, en conformité avec l</w:t>
      </w:r>
      <w:r w:rsidR="009A22EB">
        <w:rPr>
          <w:lang w:val="fr-FR"/>
        </w:rPr>
        <w:t>’</w:t>
      </w:r>
      <w:r>
        <w:rPr>
          <w:lang w:val="fr-FR"/>
        </w:rPr>
        <w:t>article 5 de la loi, rédige actuellement l</w:t>
      </w:r>
      <w:r w:rsidR="00AC192E">
        <w:rPr>
          <w:lang w:val="fr-FR"/>
        </w:rPr>
        <w:t>e</w:t>
      </w:r>
      <w:r>
        <w:rPr>
          <w:lang w:val="fr-FR"/>
        </w:rPr>
        <w:t xml:space="preserve"> </w:t>
      </w:r>
      <w:r w:rsidR="00AC192E">
        <w:rPr>
          <w:lang w:val="fr-FR"/>
        </w:rPr>
        <w:t>texte du P</w:t>
      </w:r>
      <w:r>
        <w:rPr>
          <w:lang w:val="fr-FR"/>
        </w:rPr>
        <w:t xml:space="preserve">lan </w:t>
      </w:r>
      <w:r w:rsidR="00AC192E">
        <w:rPr>
          <w:lang w:val="fr-FR"/>
        </w:rPr>
        <w:t>d</w:t>
      </w:r>
      <w:r w:rsidR="009A22EB">
        <w:rPr>
          <w:lang w:val="fr-FR"/>
        </w:rPr>
        <w:t>’</w:t>
      </w:r>
      <w:r w:rsidR="00AC192E">
        <w:rPr>
          <w:lang w:val="fr-FR"/>
        </w:rPr>
        <w:t xml:space="preserve">action </w:t>
      </w:r>
      <w:r>
        <w:rPr>
          <w:lang w:val="fr-FR"/>
        </w:rPr>
        <w:t xml:space="preserve">national pour les étrangers, </w:t>
      </w:r>
      <w:r w:rsidR="00AC192E">
        <w:rPr>
          <w:lang w:val="fr-FR"/>
        </w:rPr>
        <w:t xml:space="preserve">qui devrait être prêt et entrer </w:t>
      </w:r>
      <w:r>
        <w:rPr>
          <w:lang w:val="fr-FR"/>
        </w:rPr>
        <w:t>en vigueur dans le courant du second semestre de cette année.</w:t>
      </w:r>
    </w:p>
    <w:p w:rsidR="00DE2655" w:rsidRDefault="00DE2655" w:rsidP="0070593A">
      <w:pPr>
        <w:spacing w:after="240"/>
        <w:ind w:firstLine="567"/>
        <w:rPr>
          <w:b/>
          <w:lang w:val="fr-FR"/>
        </w:rPr>
      </w:pPr>
      <w:r>
        <w:rPr>
          <w:b/>
          <w:lang w:val="fr-FR"/>
        </w:rPr>
        <w:t>De nouvelles mesures, y compris législatives, pour interdire et éliminer toutes les formes de discrimination contre les étrangers, notamment les travailleurs migrants et les enfants nés d</w:t>
      </w:r>
      <w:r w:rsidR="009A22EB">
        <w:rPr>
          <w:b/>
          <w:lang w:val="fr-FR"/>
        </w:rPr>
        <w:t>’</w:t>
      </w:r>
      <w:r>
        <w:rPr>
          <w:b/>
          <w:lang w:val="fr-FR"/>
        </w:rPr>
        <w:t xml:space="preserve">unions interethniques, </w:t>
      </w:r>
      <w:r w:rsidR="00AC192E">
        <w:rPr>
          <w:b/>
          <w:lang w:val="fr-FR"/>
        </w:rPr>
        <w:t>et</w:t>
      </w:r>
      <w:r>
        <w:rPr>
          <w:b/>
          <w:lang w:val="fr-FR"/>
        </w:rPr>
        <w:t xml:space="preserve"> garantir l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exercice effectif, dans des conditions d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égalité, par des personnes de différentes origines ethniques ou nationales, des droits énoncés à l</w:t>
      </w:r>
      <w:r w:rsidR="009A22EB">
        <w:rPr>
          <w:b/>
          <w:lang w:val="fr-FR"/>
        </w:rPr>
        <w:t>’</w:t>
      </w:r>
      <w:r w:rsidR="00B55949">
        <w:rPr>
          <w:b/>
          <w:lang w:val="fr-FR"/>
        </w:rPr>
        <w:t>article </w:t>
      </w:r>
      <w:r w:rsidR="0070593A">
        <w:rPr>
          <w:b/>
          <w:lang w:val="fr-FR"/>
        </w:rPr>
        <w:t>5 de la Convention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Gouvernement coréen déploie actuellement des efforts pour intégrer l</w:t>
      </w:r>
      <w:r w:rsidR="009A22EB">
        <w:rPr>
          <w:lang w:val="fr-FR"/>
        </w:rPr>
        <w:t>’</w:t>
      </w:r>
      <w:r>
        <w:rPr>
          <w:lang w:val="fr-FR"/>
        </w:rPr>
        <w:t>«interdiction de la discrimination contre les étrangers et leurs enfants», qui est stipulée dans l</w:t>
      </w:r>
      <w:r w:rsidR="009A22EB">
        <w:rPr>
          <w:lang w:val="fr-FR"/>
        </w:rPr>
        <w:t>’</w:t>
      </w:r>
      <w:r>
        <w:rPr>
          <w:lang w:val="fr-FR"/>
        </w:rPr>
        <w:t xml:space="preserve">article 10 de la loi sur le traitement des étrangers en Corée, dans le </w:t>
      </w:r>
      <w:r w:rsidR="00AC192E">
        <w:rPr>
          <w:lang w:val="fr-FR"/>
        </w:rPr>
        <w:t>P</w:t>
      </w:r>
      <w:r w:rsidR="00CD697F">
        <w:rPr>
          <w:lang w:val="fr-FR"/>
        </w:rPr>
        <w:t>lan</w:t>
      </w:r>
      <w:r>
        <w:rPr>
          <w:lang w:val="fr-FR"/>
        </w:rPr>
        <w:t xml:space="preserve"> d</w:t>
      </w:r>
      <w:r w:rsidR="009A22EB">
        <w:rPr>
          <w:lang w:val="fr-FR"/>
        </w:rPr>
        <w:t>’</w:t>
      </w:r>
      <w:r>
        <w:rPr>
          <w:lang w:val="fr-FR"/>
        </w:rPr>
        <w:t xml:space="preserve">action </w:t>
      </w:r>
      <w:r w:rsidR="00CD697F">
        <w:rPr>
          <w:lang w:val="fr-FR"/>
        </w:rPr>
        <w:t xml:space="preserve">national </w:t>
      </w:r>
      <w:r>
        <w:rPr>
          <w:lang w:val="fr-FR"/>
        </w:rPr>
        <w:t xml:space="preserve">pour les étrangers. 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Concernant le droit de circuler librement et de choisir sa résidence à l</w:t>
      </w:r>
      <w:r w:rsidR="009A22EB">
        <w:rPr>
          <w:lang w:val="fr-FR"/>
        </w:rPr>
        <w:t>’</w:t>
      </w:r>
      <w:r>
        <w:rPr>
          <w:lang w:val="fr-FR"/>
        </w:rPr>
        <w:t>intérieur d</w:t>
      </w:r>
      <w:r w:rsidR="009A22EB">
        <w:rPr>
          <w:lang w:val="fr-FR"/>
        </w:rPr>
        <w:t>’</w:t>
      </w:r>
      <w:r>
        <w:rPr>
          <w:lang w:val="fr-FR"/>
        </w:rPr>
        <w:t>un État</w:t>
      </w:r>
      <w:r w:rsidR="00AC192E">
        <w:rPr>
          <w:lang w:val="fr-FR"/>
        </w:rPr>
        <w:t>,</w:t>
      </w:r>
      <w:r>
        <w:rPr>
          <w:lang w:val="fr-FR"/>
        </w:rPr>
        <w:t xml:space="preserve"> énoncé à l</w:t>
      </w:r>
      <w:r w:rsidR="009A22EB">
        <w:rPr>
          <w:lang w:val="fr-FR"/>
        </w:rPr>
        <w:t>’</w:t>
      </w:r>
      <w:r>
        <w:rPr>
          <w:lang w:val="fr-FR"/>
        </w:rPr>
        <w:t>article 5 de la Convention, le Gouvernement coréen garantit la jouissance de ce droit aux personnes d</w:t>
      </w:r>
      <w:r w:rsidR="009A22EB">
        <w:rPr>
          <w:lang w:val="fr-FR"/>
        </w:rPr>
        <w:t>’</w:t>
      </w:r>
      <w:r>
        <w:rPr>
          <w:lang w:val="fr-FR"/>
        </w:rPr>
        <w:t xml:space="preserve">origines ethniques ou nationales différentes. Les étrangers sont toutefois tenus, </w:t>
      </w:r>
      <w:r w:rsidR="00AC192E">
        <w:rPr>
          <w:lang w:val="fr-FR"/>
        </w:rPr>
        <w:t xml:space="preserve">en cas de changement </w:t>
      </w:r>
      <w:r>
        <w:rPr>
          <w:lang w:val="fr-FR"/>
        </w:rPr>
        <w:t>de lieu de résidence, d</w:t>
      </w:r>
      <w:r w:rsidR="009A22EB">
        <w:rPr>
          <w:lang w:val="fr-FR"/>
        </w:rPr>
        <w:t>’</w:t>
      </w:r>
      <w:r>
        <w:rPr>
          <w:lang w:val="fr-FR"/>
        </w:rPr>
        <w:t>en faire la déclaration auprès du bureau local de l</w:t>
      </w:r>
      <w:r w:rsidR="009A22EB">
        <w:rPr>
          <w:lang w:val="fr-FR"/>
        </w:rPr>
        <w:t>’</w:t>
      </w:r>
      <w:r>
        <w:rPr>
          <w:lang w:val="fr-FR"/>
        </w:rPr>
        <w:t xml:space="preserve">immigration dans un délai de quatorze jours à compter de leur déménagement. 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Concernant le droit de quitter tout pays, y compris le sien, et de revenir dans son pays, tel qu</w:t>
      </w:r>
      <w:r w:rsidR="009A22EB">
        <w:rPr>
          <w:lang w:val="fr-FR"/>
        </w:rPr>
        <w:t>’</w:t>
      </w:r>
      <w:r>
        <w:rPr>
          <w:lang w:val="fr-FR"/>
        </w:rPr>
        <w:t>énoncé à l</w:t>
      </w:r>
      <w:r w:rsidR="009A22EB">
        <w:rPr>
          <w:lang w:val="fr-FR"/>
        </w:rPr>
        <w:t>’</w:t>
      </w:r>
      <w:r>
        <w:rPr>
          <w:lang w:val="fr-FR"/>
        </w:rPr>
        <w:t>article 5 de la Convention, le Gouvernement coréen garantit ce droit sans restriction, sauf lorsque la personne étrangère a interdiction de quitter la Corée du fait qu</w:t>
      </w:r>
      <w:r w:rsidR="009A22EB">
        <w:rPr>
          <w:lang w:val="fr-FR"/>
        </w:rPr>
        <w:t>’</w:t>
      </w:r>
      <w:r>
        <w:rPr>
          <w:lang w:val="fr-FR"/>
        </w:rPr>
        <w:t xml:space="preserve">une enquête ou une procédure judiciaire dans laquelle elle se trouve impliquée est en cours. 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Concernant le droit à une nationalité énoncé à l</w:t>
      </w:r>
      <w:r w:rsidR="009A22EB">
        <w:rPr>
          <w:lang w:val="fr-FR"/>
        </w:rPr>
        <w:t>’</w:t>
      </w:r>
      <w:r>
        <w:rPr>
          <w:lang w:val="fr-FR"/>
        </w:rPr>
        <w:t>article 5 de la Convention, les étrangers peuvent introduire une demande d</w:t>
      </w:r>
      <w:r w:rsidR="009A22EB">
        <w:rPr>
          <w:lang w:val="fr-FR"/>
        </w:rPr>
        <w:t>’</w:t>
      </w:r>
      <w:r>
        <w:rPr>
          <w:lang w:val="fr-FR"/>
        </w:rPr>
        <w:t>obtention de la nationalité coréenne quelle que soit leur race s</w:t>
      </w:r>
      <w:r w:rsidR="009A22EB">
        <w:rPr>
          <w:lang w:val="fr-FR"/>
        </w:rPr>
        <w:t>’</w:t>
      </w:r>
      <w:r>
        <w:rPr>
          <w:lang w:val="fr-FR"/>
        </w:rPr>
        <w:t xml:space="preserve">ils remplissent un certain nombre de critères énoncés dans la loi sur la nationalité. </w:t>
      </w:r>
    </w:p>
    <w:p w:rsidR="00DE2655" w:rsidRDefault="00DE2655" w:rsidP="005F756A">
      <w:pPr>
        <w:keepNext/>
        <w:spacing w:after="240"/>
        <w:rPr>
          <w:b/>
          <w:lang w:val="fr-FR"/>
        </w:rPr>
      </w:pPr>
      <w:r>
        <w:rPr>
          <w:b/>
          <w:lang w:val="fr-FR"/>
        </w:rPr>
        <w:t>Paragraphe 13</w:t>
      </w:r>
    </w:p>
    <w:p w:rsidR="00DE2655" w:rsidRDefault="00DE2655" w:rsidP="0070593A">
      <w:pPr>
        <w:spacing w:after="240"/>
        <w:ind w:firstLine="567"/>
        <w:rPr>
          <w:b/>
          <w:lang w:val="fr-FR"/>
        </w:rPr>
      </w:pPr>
      <w:r>
        <w:rPr>
          <w:b/>
          <w:lang w:val="fr-FR"/>
        </w:rPr>
        <w:t>Mesures législatives spécifiques pour interdire et réprimer les infractions pénales à motivation raciste conformément</w:t>
      </w:r>
      <w:r w:rsidR="005F756A">
        <w:rPr>
          <w:b/>
          <w:lang w:val="fr-FR"/>
        </w:rPr>
        <w:t xml:space="preserve"> à l</w:t>
      </w:r>
      <w:r w:rsidR="009A22EB">
        <w:rPr>
          <w:b/>
          <w:lang w:val="fr-FR"/>
        </w:rPr>
        <w:t>’</w:t>
      </w:r>
      <w:r w:rsidR="005F756A">
        <w:rPr>
          <w:b/>
          <w:lang w:val="fr-FR"/>
        </w:rPr>
        <w:t>article 4 de la Convention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Il n</w:t>
      </w:r>
      <w:r w:rsidR="009A22EB">
        <w:rPr>
          <w:lang w:val="fr-FR"/>
        </w:rPr>
        <w:t>’</w:t>
      </w:r>
      <w:r>
        <w:rPr>
          <w:lang w:val="fr-FR"/>
        </w:rPr>
        <w:t>existe à l</w:t>
      </w:r>
      <w:r w:rsidR="009A22EB">
        <w:rPr>
          <w:lang w:val="fr-FR"/>
        </w:rPr>
        <w:t>’</w:t>
      </w:r>
      <w:r>
        <w:rPr>
          <w:lang w:val="fr-FR"/>
        </w:rPr>
        <w:t>heure actuelle aucune législation spéciale interdisant et réprimant les infractions pénales à motivation raciste</w:t>
      </w:r>
      <w:r w:rsidR="005F756A">
        <w:rPr>
          <w:lang w:val="fr-FR"/>
        </w:rPr>
        <w:t xml:space="preserve">. Toutefois, </w:t>
      </w:r>
      <w:r>
        <w:rPr>
          <w:lang w:val="fr-FR"/>
        </w:rPr>
        <w:t>le droit pénal de la République de Corée punit les auteurs d</w:t>
      </w:r>
      <w:r w:rsidR="009A22EB">
        <w:rPr>
          <w:lang w:val="fr-FR"/>
        </w:rPr>
        <w:t>’</w:t>
      </w:r>
      <w:r>
        <w:rPr>
          <w:lang w:val="fr-FR"/>
        </w:rPr>
        <w:t>infractions pénales quelle que soit la race des victimes.</w:t>
      </w:r>
    </w:p>
    <w:p w:rsidR="00DE2655" w:rsidRDefault="00DE2655" w:rsidP="0070593A">
      <w:pPr>
        <w:spacing w:after="240"/>
        <w:ind w:firstLine="567"/>
        <w:rPr>
          <w:lang w:val="fr-FR"/>
        </w:rPr>
      </w:pPr>
      <w:r>
        <w:rPr>
          <w:b/>
          <w:lang w:val="fr-FR"/>
        </w:rPr>
        <w:t>Accélération de la rédaction et de l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adoption d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une loi sur l</w:t>
      </w:r>
      <w:r w:rsidR="009A22EB">
        <w:rPr>
          <w:b/>
          <w:lang w:val="fr-FR"/>
        </w:rPr>
        <w:t>’</w:t>
      </w:r>
      <w:r>
        <w:rPr>
          <w:b/>
          <w:lang w:val="fr-FR"/>
        </w:rPr>
        <w:t>interdiction de la discrimination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 xml:space="preserve">Après avoir mené des recherches sur les lois nationales se rapportant à cette question et </w:t>
      </w:r>
      <w:r w:rsidR="005F756A">
        <w:rPr>
          <w:lang w:val="fr-FR"/>
        </w:rPr>
        <w:t>sur des exemples de législation</w:t>
      </w:r>
      <w:r>
        <w:rPr>
          <w:lang w:val="fr-FR"/>
        </w:rPr>
        <w:t xml:space="preserve"> de ce type en vigueur à l</w:t>
      </w:r>
      <w:r w:rsidR="009A22EB">
        <w:rPr>
          <w:lang w:val="fr-FR"/>
        </w:rPr>
        <w:t>’</w:t>
      </w:r>
      <w:r>
        <w:rPr>
          <w:lang w:val="fr-FR"/>
        </w:rPr>
        <w:t>étranger, le Gouvernement coréen redouble d</w:t>
      </w:r>
      <w:r w:rsidR="009A22EB">
        <w:rPr>
          <w:lang w:val="fr-FR"/>
        </w:rPr>
        <w:t>’</w:t>
      </w:r>
      <w:r>
        <w:rPr>
          <w:lang w:val="fr-FR"/>
        </w:rPr>
        <w:t xml:space="preserve">efforts pour </w:t>
      </w:r>
      <w:r w:rsidR="005F756A">
        <w:rPr>
          <w:lang w:val="fr-FR"/>
        </w:rPr>
        <w:t xml:space="preserve">adopter </w:t>
      </w:r>
      <w:r>
        <w:rPr>
          <w:lang w:val="fr-FR"/>
        </w:rPr>
        <w:t xml:space="preserve">la loi antidiscrimination. 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Le Gouvernement a soumis le projet de la loi antidiscrimination à l</w:t>
      </w:r>
      <w:r w:rsidR="009A22EB">
        <w:rPr>
          <w:lang w:val="fr-FR"/>
        </w:rPr>
        <w:t>’</w:t>
      </w:r>
      <w:r>
        <w:rPr>
          <w:lang w:val="fr-FR"/>
        </w:rPr>
        <w:t xml:space="preserve">Assemblée nationale en décembre 2007, mais </w:t>
      </w:r>
      <w:r w:rsidR="005F756A">
        <w:rPr>
          <w:lang w:val="fr-FR"/>
        </w:rPr>
        <w:t xml:space="preserve">le texte </w:t>
      </w:r>
      <w:r>
        <w:rPr>
          <w:lang w:val="fr-FR"/>
        </w:rPr>
        <w:t>a automatiquement été mis de côté en mai de cette année</w:t>
      </w:r>
      <w:r w:rsidR="005F756A">
        <w:rPr>
          <w:lang w:val="fr-FR"/>
        </w:rPr>
        <w:t>,</w:t>
      </w:r>
      <w:r>
        <w:rPr>
          <w:lang w:val="fr-FR"/>
        </w:rPr>
        <w:t xml:space="preserve"> la session </w:t>
      </w:r>
      <w:r w:rsidR="005F756A">
        <w:rPr>
          <w:lang w:val="fr-FR"/>
        </w:rPr>
        <w:t>de l</w:t>
      </w:r>
      <w:r w:rsidR="009A22EB">
        <w:rPr>
          <w:lang w:val="fr-FR"/>
        </w:rPr>
        <w:t>’</w:t>
      </w:r>
      <w:r w:rsidR="005F756A">
        <w:rPr>
          <w:lang w:val="fr-FR"/>
        </w:rPr>
        <w:t>Assemblée nationale arrivan</w:t>
      </w:r>
      <w:r>
        <w:rPr>
          <w:lang w:val="fr-FR"/>
        </w:rPr>
        <w:t>t à son terme.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="00BE2ADD">
        <w:rPr>
          <w:lang w:val="fr-FR"/>
        </w:rPr>
        <w:t>Il est prévu d</w:t>
      </w:r>
      <w:r w:rsidR="009A22EB">
        <w:rPr>
          <w:lang w:val="fr-FR"/>
        </w:rPr>
        <w:t>’</w:t>
      </w:r>
      <w:r w:rsidR="00BE2ADD">
        <w:rPr>
          <w:lang w:val="fr-FR"/>
        </w:rPr>
        <w:t xml:space="preserve">énumérer dans cette loi </w:t>
      </w:r>
      <w:r>
        <w:rPr>
          <w:lang w:val="fr-FR"/>
        </w:rPr>
        <w:t>les catégories sur lesquelles se fonde la discrimination, telles que le sexe, la religion et la race</w:t>
      </w:r>
      <w:r w:rsidR="00BE2ADD">
        <w:rPr>
          <w:lang w:val="fr-FR"/>
        </w:rPr>
        <w:t>, d</w:t>
      </w:r>
      <w:r w:rsidR="009A22EB">
        <w:rPr>
          <w:lang w:val="fr-FR"/>
        </w:rPr>
        <w:t>’</w:t>
      </w:r>
      <w:r w:rsidR="00BE2ADD">
        <w:rPr>
          <w:lang w:val="fr-FR"/>
        </w:rPr>
        <w:t>y préciser l</w:t>
      </w:r>
      <w:r>
        <w:rPr>
          <w:lang w:val="fr-FR"/>
        </w:rPr>
        <w:t xml:space="preserve">es domaines dans lesquels la discrimination est interdite, </w:t>
      </w:r>
      <w:r w:rsidR="00BE2ADD">
        <w:rPr>
          <w:lang w:val="fr-FR"/>
        </w:rPr>
        <w:t xml:space="preserve">notamment </w:t>
      </w:r>
      <w:r>
        <w:rPr>
          <w:lang w:val="fr-FR"/>
        </w:rPr>
        <w:t>l</w:t>
      </w:r>
      <w:r w:rsidR="009A22EB">
        <w:rPr>
          <w:lang w:val="fr-FR"/>
        </w:rPr>
        <w:t>’</w:t>
      </w:r>
      <w:r>
        <w:rPr>
          <w:lang w:val="fr-FR"/>
        </w:rPr>
        <w:t>emploi</w:t>
      </w:r>
      <w:r w:rsidR="00BE2ADD">
        <w:rPr>
          <w:lang w:val="fr-FR"/>
        </w:rPr>
        <w:t>, et d</w:t>
      </w:r>
      <w:r w:rsidR="009A22EB">
        <w:rPr>
          <w:lang w:val="fr-FR"/>
        </w:rPr>
        <w:t>’</w:t>
      </w:r>
      <w:r w:rsidR="00BE2ADD">
        <w:rPr>
          <w:lang w:val="fr-FR"/>
        </w:rPr>
        <w:t>y indiquer</w:t>
      </w:r>
      <w:r>
        <w:rPr>
          <w:lang w:val="fr-FR"/>
        </w:rPr>
        <w:t xml:space="preserve"> les voies de recours prévues pour tout acte de discrimination. </w:t>
      </w:r>
    </w:p>
    <w:p w:rsidR="00DE2655" w:rsidRDefault="00DE2655" w:rsidP="00DE2655">
      <w:pPr>
        <w:spacing w:after="240"/>
        <w:rPr>
          <w:b/>
          <w:lang w:val="fr-FR"/>
        </w:rPr>
      </w:pPr>
      <w:r>
        <w:rPr>
          <w:b/>
          <w:lang w:val="fr-FR"/>
        </w:rPr>
        <w:t>Paragraphe 17</w:t>
      </w:r>
    </w:p>
    <w:p w:rsidR="00DE2655" w:rsidRDefault="00DE2655" w:rsidP="0070593A">
      <w:pPr>
        <w:spacing w:after="240"/>
        <w:ind w:firstLine="567"/>
        <w:rPr>
          <w:b/>
          <w:lang w:val="fr-FR"/>
        </w:rPr>
      </w:pPr>
      <w:r>
        <w:rPr>
          <w:b/>
          <w:lang w:val="fr-FR"/>
        </w:rPr>
        <w:t>Mesures appropriées pour renforcer la protection des droits des épouses étrangères, notamment en veillant à ce que, en cas de séparation ou de divorce, leur statut juridique de résident ne dépende pas entièrement de leur aptitude à prouver que la relation a pris fin par la faute de l</w:t>
      </w:r>
      <w:r w:rsidR="009A22EB">
        <w:rPr>
          <w:b/>
          <w:lang w:val="fr-FR"/>
        </w:rPr>
        <w:t>’</w:t>
      </w:r>
      <w:r w:rsidR="0070593A">
        <w:rPr>
          <w:b/>
          <w:lang w:val="fr-FR"/>
        </w:rPr>
        <w:t>époux coréen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Le Gouvernement coréen gère des centres d</w:t>
      </w:r>
      <w:r w:rsidR="009A22EB">
        <w:rPr>
          <w:lang w:val="fr-FR"/>
        </w:rPr>
        <w:t>’</w:t>
      </w:r>
      <w:r>
        <w:rPr>
          <w:lang w:val="fr-FR"/>
        </w:rPr>
        <w:t>aide d</w:t>
      </w:r>
      <w:r w:rsidR="009A22EB">
        <w:rPr>
          <w:lang w:val="fr-FR"/>
        </w:rPr>
        <w:t>’</w:t>
      </w:r>
      <w:r>
        <w:rPr>
          <w:lang w:val="fr-FR"/>
        </w:rPr>
        <w:t>urg</w:t>
      </w:r>
      <w:r w:rsidR="00BE2ADD">
        <w:rPr>
          <w:lang w:val="fr-FR"/>
        </w:rPr>
        <w:t>ence pour femmes migrantes. Ces </w:t>
      </w:r>
      <w:r>
        <w:rPr>
          <w:lang w:val="fr-FR"/>
        </w:rPr>
        <w:t xml:space="preserve">centres: </w:t>
      </w:r>
    </w:p>
    <w:p w:rsidR="00BE2ADD" w:rsidRDefault="00DE2655" w:rsidP="00DE2655">
      <w:pPr>
        <w:numPr>
          <w:ilvl w:val="0"/>
          <w:numId w:val="48"/>
        </w:numPr>
        <w:spacing w:after="240"/>
        <w:rPr>
          <w:lang w:val="fr-FR"/>
        </w:rPr>
      </w:pPr>
      <w:r>
        <w:rPr>
          <w:lang w:val="fr-FR"/>
        </w:rPr>
        <w:t>Apportent une aide à des femmes migrantes, en étroite coopération avec la police, les hôpitaux et les services de protection vingt-quatre heur</w:t>
      </w:r>
      <w:r w:rsidR="00BE2ADD">
        <w:rPr>
          <w:lang w:val="fr-FR"/>
        </w:rPr>
        <w:t>es sur vingt-quatre, trois cent </w:t>
      </w:r>
      <w:r>
        <w:rPr>
          <w:lang w:val="fr-FR"/>
        </w:rPr>
        <w:t>soixante</w:t>
      </w:r>
      <w:r>
        <w:rPr>
          <w:lang w:val="fr-FR"/>
        </w:rPr>
        <w:noBreakHyphen/>
        <w:t>cinq jours par an, en particulier lorsqu</w:t>
      </w:r>
      <w:r w:rsidR="009A22EB">
        <w:rPr>
          <w:lang w:val="fr-FR"/>
        </w:rPr>
        <w:t>’</w:t>
      </w:r>
      <w:r>
        <w:rPr>
          <w:lang w:val="fr-FR"/>
        </w:rPr>
        <w:t>elles ont été soumises à des actes de violence familiale</w:t>
      </w:r>
      <w:r w:rsidR="00BE2ADD">
        <w:rPr>
          <w:lang w:val="fr-FR"/>
        </w:rPr>
        <w:t xml:space="preserve"> ou</w:t>
      </w:r>
      <w:r>
        <w:rPr>
          <w:lang w:val="fr-FR"/>
        </w:rPr>
        <w:t xml:space="preserve"> de violence sexuelle et à la prostitution;</w:t>
      </w:r>
    </w:p>
    <w:p w:rsidR="00DE2655" w:rsidRDefault="00DE2655" w:rsidP="00DE2655">
      <w:pPr>
        <w:numPr>
          <w:ilvl w:val="0"/>
          <w:numId w:val="48"/>
        </w:numPr>
        <w:spacing w:after="240"/>
        <w:rPr>
          <w:lang w:val="fr-FR"/>
        </w:rPr>
      </w:pPr>
      <w:r>
        <w:rPr>
          <w:lang w:val="fr-FR"/>
        </w:rPr>
        <w:t xml:space="preserve">Ont augmenté le nombre de langues dans lesquelles sont offerts des services de conseil, qui est passé à huit (vietnamien, chinois, anglais, philippin, mongol, russe, thaï et cambodgien), </w:t>
      </w:r>
      <w:r w:rsidR="00BE2ADD">
        <w:rPr>
          <w:lang w:val="fr-FR"/>
        </w:rPr>
        <w:t xml:space="preserve">et ont renforcé </w:t>
      </w:r>
      <w:r>
        <w:rPr>
          <w:lang w:val="fr-FR"/>
        </w:rPr>
        <w:t xml:space="preserve">ces services </w:t>
      </w:r>
      <w:r w:rsidR="00BE2ADD">
        <w:rPr>
          <w:lang w:val="fr-FR"/>
        </w:rPr>
        <w:t xml:space="preserve">en affectant </w:t>
      </w:r>
      <w:r>
        <w:rPr>
          <w:lang w:val="fr-FR"/>
        </w:rPr>
        <w:t xml:space="preserve">deux à cinq membres </w:t>
      </w:r>
      <w:r w:rsidR="00BE2ADD">
        <w:rPr>
          <w:lang w:val="fr-FR"/>
        </w:rPr>
        <w:t xml:space="preserve">du personnel à </w:t>
      </w:r>
      <w:r>
        <w:rPr>
          <w:lang w:val="fr-FR"/>
        </w:rPr>
        <w:t>chacun des services linguistiques.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Le Gouvernement coréen prévoit actuellement d</w:t>
      </w:r>
      <w:r w:rsidR="009A22EB">
        <w:rPr>
          <w:lang w:val="fr-FR"/>
        </w:rPr>
        <w:t>’</w:t>
      </w:r>
      <w:r>
        <w:rPr>
          <w:lang w:val="fr-FR"/>
        </w:rPr>
        <w:t xml:space="preserve">augmenter les opérations </w:t>
      </w:r>
      <w:r w:rsidR="00BE2ADD">
        <w:rPr>
          <w:lang w:val="fr-FR"/>
        </w:rPr>
        <w:t>d</w:t>
      </w:r>
      <w:r w:rsidR="009A22EB">
        <w:rPr>
          <w:lang w:val="fr-FR"/>
        </w:rPr>
        <w:t>’</w:t>
      </w:r>
      <w:r w:rsidR="00BE2ADD">
        <w:rPr>
          <w:lang w:val="fr-FR"/>
        </w:rPr>
        <w:t>accueil</w:t>
      </w:r>
      <w:r>
        <w:rPr>
          <w:lang w:val="fr-FR"/>
        </w:rPr>
        <w:t xml:space="preserve"> </w:t>
      </w:r>
      <w:r w:rsidR="00BE2ADD">
        <w:rPr>
          <w:lang w:val="fr-FR"/>
        </w:rPr>
        <w:t>de</w:t>
      </w:r>
      <w:r>
        <w:rPr>
          <w:lang w:val="fr-FR"/>
        </w:rPr>
        <w:t xml:space="preserve"> femmes migrantes, en faisant passer le nombre de foyers de </w:t>
      </w:r>
      <w:r w:rsidR="00B55949">
        <w:rPr>
          <w:lang w:val="fr-FR"/>
        </w:rPr>
        <w:t>4</w:t>
      </w:r>
      <w:r w:rsidR="00BE2ADD">
        <w:rPr>
          <w:lang w:val="fr-FR"/>
        </w:rPr>
        <w:t xml:space="preserve"> en 2008 à 18 en 2009. Ces </w:t>
      </w:r>
      <w:r>
        <w:rPr>
          <w:lang w:val="fr-FR"/>
        </w:rPr>
        <w:t>foyers offriront des services exhaustifs comprenant des séjours temporaires, des services médicaux et juridiques et une ass</w:t>
      </w:r>
      <w:r w:rsidR="00BE2ADD">
        <w:rPr>
          <w:lang w:val="fr-FR"/>
        </w:rPr>
        <w:t>istance en vue de faciliter le</w:t>
      </w:r>
      <w:r>
        <w:rPr>
          <w:lang w:val="fr-FR"/>
        </w:rPr>
        <w:t xml:space="preserve"> départ</w:t>
      </w:r>
      <w:r w:rsidR="00BE2ADD">
        <w:rPr>
          <w:lang w:val="fr-FR"/>
        </w:rPr>
        <w:t xml:space="preserve"> des intéressées</w:t>
      </w:r>
      <w:r>
        <w:rPr>
          <w:lang w:val="fr-FR"/>
        </w:rPr>
        <w:t>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  <w:t xml:space="preserve">Les hommes coréens qui </w:t>
      </w:r>
      <w:r w:rsidR="00BE2ADD">
        <w:rPr>
          <w:lang w:val="fr-FR"/>
        </w:rPr>
        <w:t xml:space="preserve">envisagent </w:t>
      </w:r>
      <w:r>
        <w:rPr>
          <w:lang w:val="fr-FR"/>
        </w:rPr>
        <w:t>d</w:t>
      </w:r>
      <w:r w:rsidR="009A22EB">
        <w:rPr>
          <w:lang w:val="fr-FR"/>
        </w:rPr>
        <w:t>’</w:t>
      </w:r>
      <w:r>
        <w:rPr>
          <w:lang w:val="fr-FR"/>
        </w:rPr>
        <w:t xml:space="preserve">épouser une femme étrangère se voient offrir une formation et des informations </w:t>
      </w:r>
      <w:r w:rsidR="00BE2ADD">
        <w:rPr>
          <w:lang w:val="fr-FR"/>
        </w:rPr>
        <w:t>qui leur permettront</w:t>
      </w:r>
      <w:r>
        <w:rPr>
          <w:lang w:val="fr-FR"/>
        </w:rPr>
        <w:t xml:space="preserve"> d</w:t>
      </w:r>
      <w:r w:rsidR="009A22EB">
        <w:rPr>
          <w:lang w:val="fr-FR"/>
        </w:rPr>
        <w:t>’</w:t>
      </w:r>
      <w:r>
        <w:rPr>
          <w:lang w:val="fr-FR"/>
        </w:rPr>
        <w:t>approfondir leur compréhension de la mondialisation et des mariages internationaux, du multiculturalisme et de l</w:t>
      </w:r>
      <w:r w:rsidR="009A22EB">
        <w:rPr>
          <w:lang w:val="fr-FR"/>
        </w:rPr>
        <w:t>’</w:t>
      </w:r>
      <w:r>
        <w:rPr>
          <w:lang w:val="fr-FR"/>
        </w:rPr>
        <w:t>égalité entre les sexes, des relations et de la communication, de même que des lois et règlements régissant le mariage international</w:t>
      </w:r>
      <w:r w:rsidR="00BE2ADD">
        <w:rPr>
          <w:lang w:val="fr-FR"/>
        </w:rPr>
        <w:t>, l</w:t>
      </w:r>
      <w:r w:rsidR="009A22EB">
        <w:rPr>
          <w:lang w:val="fr-FR"/>
        </w:rPr>
        <w:t>’</w:t>
      </w:r>
      <w:r w:rsidR="00BE2ADD">
        <w:rPr>
          <w:lang w:val="fr-FR"/>
        </w:rPr>
        <w:t>objectif</w:t>
      </w:r>
      <w:r w:rsidR="009A22EB">
        <w:rPr>
          <w:lang w:val="fr-FR"/>
        </w:rPr>
        <w:t xml:space="preserve"> </w:t>
      </w:r>
      <w:r w:rsidR="00BE2ADD">
        <w:rPr>
          <w:lang w:val="fr-FR"/>
        </w:rPr>
        <w:t xml:space="preserve">étant </w:t>
      </w:r>
      <w:r>
        <w:rPr>
          <w:lang w:val="fr-FR"/>
        </w:rPr>
        <w:t>de prévenir les actes de violence familiale.</w:t>
      </w:r>
    </w:p>
    <w:p w:rsidR="00DE2655" w:rsidRDefault="00DE2655" w:rsidP="00DE2655">
      <w:pPr>
        <w:spacing w:after="240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Si une épouse ét</w:t>
      </w:r>
      <w:r w:rsidR="00BE2ADD">
        <w:rPr>
          <w:lang w:val="fr-FR"/>
        </w:rPr>
        <w:t>rangère obtient la séparation ou</w:t>
      </w:r>
      <w:r>
        <w:rPr>
          <w:lang w:val="fr-FR"/>
        </w:rPr>
        <w:t xml:space="preserve"> le divorce d</w:t>
      </w:r>
      <w:r w:rsidR="009A22EB">
        <w:rPr>
          <w:lang w:val="fr-FR"/>
        </w:rPr>
        <w:t>’</w:t>
      </w:r>
      <w:r>
        <w:rPr>
          <w:lang w:val="fr-FR"/>
        </w:rPr>
        <w:t>un époux coréen et si la relation a pris fin par la faute de ce dernier, l</w:t>
      </w:r>
      <w:r w:rsidR="009A22EB">
        <w:rPr>
          <w:lang w:val="fr-FR"/>
        </w:rPr>
        <w:t>’</w:t>
      </w:r>
      <w:r>
        <w:rPr>
          <w:lang w:val="fr-FR"/>
        </w:rPr>
        <w:t xml:space="preserve">épouse étrangère garde son statut juridique de résident. Le Gouvernement coréen </w:t>
      </w:r>
      <w:r w:rsidR="00BE2ADD">
        <w:rPr>
          <w:lang w:val="fr-FR"/>
        </w:rPr>
        <w:t>a entrepris d</w:t>
      </w:r>
      <w:r w:rsidR="009A22EB">
        <w:rPr>
          <w:lang w:val="fr-FR"/>
        </w:rPr>
        <w:t>’</w:t>
      </w:r>
      <w:r w:rsidR="00BE2ADD">
        <w:rPr>
          <w:lang w:val="fr-FR"/>
        </w:rPr>
        <w:t xml:space="preserve">alléger </w:t>
      </w:r>
      <w:r>
        <w:rPr>
          <w:lang w:val="fr-FR"/>
        </w:rPr>
        <w:t xml:space="preserve">la charge de la preuve </w:t>
      </w:r>
      <w:r w:rsidR="00BE2ADD">
        <w:rPr>
          <w:lang w:val="fr-FR"/>
        </w:rPr>
        <w:t xml:space="preserve">qui incombait à </w:t>
      </w:r>
      <w:r>
        <w:rPr>
          <w:lang w:val="fr-FR"/>
        </w:rPr>
        <w:t>l</w:t>
      </w:r>
      <w:r w:rsidR="009A22EB">
        <w:rPr>
          <w:lang w:val="fr-FR"/>
        </w:rPr>
        <w:t>’</w:t>
      </w:r>
      <w:r>
        <w:rPr>
          <w:lang w:val="fr-FR"/>
        </w:rPr>
        <w:t>épouse étrangère</w:t>
      </w:r>
      <w:r w:rsidR="00BE2ADD">
        <w:rPr>
          <w:lang w:val="fr-FR"/>
        </w:rPr>
        <w:t>,</w:t>
      </w:r>
      <w:r>
        <w:rPr>
          <w:lang w:val="fr-FR"/>
        </w:rPr>
        <w:t xml:space="preserve"> en reconnaissant comme preuve de la faute non seulement les termes du jugement prononcé sur le divorce mais aussi l</w:t>
      </w:r>
      <w:r w:rsidR="009A22EB">
        <w:rPr>
          <w:lang w:val="fr-FR"/>
        </w:rPr>
        <w:t>’</w:t>
      </w:r>
      <w:r>
        <w:rPr>
          <w:lang w:val="fr-FR"/>
        </w:rPr>
        <w:t xml:space="preserve">acte de confirmation rédigé par </w:t>
      </w:r>
      <w:r w:rsidR="00BE2ADD">
        <w:rPr>
          <w:lang w:val="fr-FR"/>
        </w:rPr>
        <w:t xml:space="preserve">une </w:t>
      </w:r>
      <w:r>
        <w:rPr>
          <w:lang w:val="fr-FR"/>
        </w:rPr>
        <w:t xml:space="preserve">ONG </w:t>
      </w:r>
      <w:r w:rsidR="00BE2ADD">
        <w:rPr>
          <w:lang w:val="fr-FR"/>
        </w:rPr>
        <w:t xml:space="preserve">de défense des </w:t>
      </w:r>
      <w:r>
        <w:rPr>
          <w:lang w:val="fr-FR"/>
        </w:rPr>
        <w:t>droit</w:t>
      </w:r>
      <w:r w:rsidR="00BE2ADD">
        <w:rPr>
          <w:lang w:val="fr-FR"/>
        </w:rPr>
        <w:t>s</w:t>
      </w:r>
      <w:r>
        <w:rPr>
          <w:lang w:val="fr-FR"/>
        </w:rPr>
        <w:t xml:space="preserve"> de</w:t>
      </w:r>
      <w:r w:rsidR="00BE2ADD">
        <w:rPr>
          <w:lang w:val="fr-FR"/>
        </w:rPr>
        <w:t xml:space="preserve"> la femme dûment agréée</w:t>
      </w:r>
      <w:r>
        <w:rPr>
          <w:lang w:val="fr-FR"/>
        </w:rPr>
        <w:t>.</w:t>
      </w:r>
    </w:p>
    <w:p w:rsidR="00DE2655" w:rsidRPr="00CA7CF9" w:rsidRDefault="00DE2655" w:rsidP="005D62AF">
      <w:pPr>
        <w:spacing w:after="240"/>
        <w:rPr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  <w:t>Même si la fin de la relation est imputée à l</w:t>
      </w:r>
      <w:r w:rsidR="009A22EB">
        <w:rPr>
          <w:lang w:val="fr-FR"/>
        </w:rPr>
        <w:t>’</w:t>
      </w:r>
      <w:r>
        <w:rPr>
          <w:lang w:val="fr-FR"/>
        </w:rPr>
        <w:t xml:space="preserve">épouse étrangère, </w:t>
      </w:r>
      <w:r w:rsidR="00BE2ADD">
        <w:rPr>
          <w:lang w:val="fr-FR"/>
        </w:rPr>
        <w:t>celle</w:t>
      </w:r>
      <w:r w:rsidR="00BE2ADD">
        <w:rPr>
          <w:lang w:val="fr-FR"/>
        </w:rPr>
        <w:noBreakHyphen/>
        <w:t xml:space="preserve">ci </w:t>
      </w:r>
      <w:r>
        <w:rPr>
          <w:lang w:val="fr-FR"/>
        </w:rPr>
        <w:t>pourra conserver son statut juridique de résident si elle se trouve dans la nécessité d</w:t>
      </w:r>
      <w:r w:rsidR="009A22EB">
        <w:rPr>
          <w:lang w:val="fr-FR"/>
        </w:rPr>
        <w:t>’</w:t>
      </w:r>
      <w:r>
        <w:rPr>
          <w:lang w:val="fr-FR"/>
        </w:rPr>
        <w:t>élever des enfants ou d</w:t>
      </w:r>
      <w:r w:rsidR="009A22EB">
        <w:rPr>
          <w:lang w:val="fr-FR"/>
        </w:rPr>
        <w:t>’</w:t>
      </w:r>
      <w:r>
        <w:rPr>
          <w:lang w:val="fr-FR"/>
        </w:rPr>
        <w:t>apporter un soutien à des parents.</w:t>
      </w:r>
    </w:p>
    <w:p w:rsidR="005D62AF" w:rsidRDefault="00CD697F" w:rsidP="0070593A">
      <w:pPr>
        <w:spacing w:after="240"/>
        <w:ind w:firstLine="567"/>
        <w:rPr>
          <w:b/>
        </w:rPr>
      </w:pPr>
      <w:r>
        <w:rPr>
          <w:b/>
        </w:rPr>
        <w:t>Ré</w:t>
      </w:r>
      <w:r w:rsidR="005D62AF">
        <w:rPr>
          <w:b/>
        </w:rPr>
        <w:t>glementation des activités des agences matrimoniales internationales</w:t>
      </w:r>
    </w:p>
    <w:p w:rsidR="005D62AF" w:rsidRDefault="005D62AF" w:rsidP="005D62AF">
      <w:pPr>
        <w:spacing w:after="240"/>
      </w:pPr>
      <w:r>
        <w:t>17.</w:t>
      </w:r>
      <w:r>
        <w:tab/>
        <w:t xml:space="preserve">Le Gouvernement </w:t>
      </w:r>
      <w:r w:rsidR="00CD697F">
        <w:t>coréen a adopté la loi sur la ré</w:t>
      </w:r>
      <w:r>
        <w:t xml:space="preserve">glementation des agences matrimoniales, qui est entrée en vigueur le 15 juin 2008: 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La loi a renforcé le contrôle et la surveillance exercés par le Gouvernement sur les agences matrimoniales grâce à l</w:t>
      </w:r>
      <w:r w:rsidR="009A22EB">
        <w:t>’</w:t>
      </w:r>
      <w:r>
        <w:t>instauration d</w:t>
      </w:r>
      <w:r w:rsidR="009A22EB">
        <w:t>’</w:t>
      </w:r>
      <w:r>
        <w:t>un système d</w:t>
      </w:r>
      <w:r w:rsidR="009A22EB">
        <w:t>’</w:t>
      </w:r>
      <w:r>
        <w:t>enregistrement;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La loi stipule l</w:t>
      </w:r>
      <w:r w:rsidR="009A22EB">
        <w:t>’</w:t>
      </w:r>
      <w:r>
        <w:t>interdiction des publicités mensongères ou outrancières, la responsabilité de verser des dommages-intérêts en cas de préjudice et l</w:t>
      </w:r>
      <w:r w:rsidR="009A22EB">
        <w:t>’</w:t>
      </w:r>
      <w:r>
        <w:t>obligation de se conformer aux lois et règlements du pays dans lequel les agences opèrent. Elle a également relevé le niveau des sanctions dont sont passibles les auteurs de manquement aux obligations leur incombant au titre de la loi;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Conformément à la loi, les personnes qui travaillent dans les agences matrimoniales reçoivent une formation dont l</w:t>
      </w:r>
      <w:r w:rsidR="009A22EB">
        <w:t>’</w:t>
      </w:r>
      <w:r>
        <w:t xml:space="preserve">objectif est de promouvoir les normes éthiques les plus élevées. </w:t>
      </w:r>
    </w:p>
    <w:p w:rsidR="005D62AF" w:rsidRDefault="005D62AF" w:rsidP="005D62AF">
      <w:pPr>
        <w:spacing w:after="240"/>
      </w:pPr>
      <w:r>
        <w:t>18.</w:t>
      </w:r>
      <w:r>
        <w:tab/>
        <w:t>Les immigrants mariés se voient offrir des services d</w:t>
      </w:r>
      <w:r w:rsidR="009A22EB">
        <w:t>’</w:t>
      </w:r>
      <w:r>
        <w:t>information et de conseil appropriés avant leur entrée en Corée: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Le Gouvernement coréen a en poste au Viet Nam et aux Philippines des responsables des mariages internationaux et de l</w:t>
      </w:r>
      <w:r w:rsidR="009A22EB">
        <w:t>’</w:t>
      </w:r>
      <w:r>
        <w:t xml:space="preserve">immigration; 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Le Gouvernement coréen gère des centres d</w:t>
      </w:r>
      <w:r w:rsidR="009A22EB">
        <w:t>’</w:t>
      </w:r>
      <w:r>
        <w:t>appel et dispense des cours d</w:t>
      </w:r>
      <w:r w:rsidR="009A22EB">
        <w:t>’</w:t>
      </w:r>
      <w:r>
        <w:t xml:space="preserve">orientation destinés aux immigrants mariés en Mongolie et au Cambodge avant leur entrée en Corée; 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Des magazines trimestriels renfermant des informations utiles sur la vie en Corée sont publiés en cinq langues étrangères et distribués aux immigrants mariés.</w:t>
      </w:r>
    </w:p>
    <w:p w:rsidR="005D62AF" w:rsidRDefault="005D62AF" w:rsidP="00F9191B">
      <w:pPr>
        <w:spacing w:after="240"/>
        <w:ind w:firstLine="567"/>
        <w:rPr>
          <w:b/>
        </w:rPr>
      </w:pPr>
      <w:r>
        <w:rPr>
          <w:b/>
        </w:rPr>
        <w:t>Mesures nécessaires − notamment la fourniture de renseignements sur le pays et ses traditions et l</w:t>
      </w:r>
      <w:r w:rsidR="009A22EB">
        <w:rPr>
          <w:b/>
        </w:rPr>
        <w:t>’</w:t>
      </w:r>
      <w:r>
        <w:rPr>
          <w:b/>
        </w:rPr>
        <w:t>organisation de cours de coréen − pour faciliter l</w:t>
      </w:r>
      <w:r w:rsidR="009A22EB">
        <w:rPr>
          <w:b/>
        </w:rPr>
        <w:t>’</w:t>
      </w:r>
      <w:r>
        <w:rPr>
          <w:b/>
        </w:rPr>
        <w:t>intégration des épouses étrangères dans la société</w:t>
      </w:r>
    </w:p>
    <w:p w:rsidR="005D62AF" w:rsidRDefault="005D62AF" w:rsidP="005D62AF">
      <w:pPr>
        <w:spacing w:after="240"/>
      </w:pPr>
      <w:r w:rsidRPr="00143772">
        <w:t>19.</w:t>
      </w:r>
      <w:r w:rsidRPr="00143772">
        <w:tab/>
      </w:r>
      <w:r>
        <w:t>La loi d</w:t>
      </w:r>
      <w:r w:rsidR="009A22EB">
        <w:t>’</w:t>
      </w:r>
      <w:r>
        <w:t>assistance aux familles multiculturelles doit entrer en vigueur le 22 septembre 2008. Elle permettra au Gouvernement coréen de poursuivre la mise en œuvre de politiques destinées aux familles multiculturelles d</w:t>
      </w:r>
      <w:r w:rsidR="009A22EB">
        <w:t>’</w:t>
      </w:r>
      <w:r>
        <w:t>une manière plus systématique et en partenariat avec les administrations et les ONG locales.</w:t>
      </w:r>
    </w:p>
    <w:p w:rsidR="005D62AF" w:rsidRDefault="005D62AF" w:rsidP="005D62AF">
      <w:pPr>
        <w:spacing w:after="240"/>
      </w:pPr>
      <w:r>
        <w:t>20.</w:t>
      </w:r>
      <w:r>
        <w:tab/>
        <w:t>Le Gouvernement coréen a mis en place divers services visant à faciliter l</w:t>
      </w:r>
      <w:r w:rsidR="009A22EB">
        <w:t>’</w:t>
      </w:r>
      <w:r>
        <w:t>installation et l</w:t>
      </w:r>
      <w:r w:rsidR="009A22EB">
        <w:t>’</w:t>
      </w:r>
      <w:r>
        <w:t>intégration d</w:t>
      </w:r>
      <w:r w:rsidR="009A22EB">
        <w:t>’</w:t>
      </w:r>
      <w:r>
        <w:t xml:space="preserve">immigrants mariés dans la société coréenne: 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Le Centre d</w:t>
      </w:r>
      <w:r w:rsidR="009A22EB">
        <w:t>’</w:t>
      </w:r>
      <w:r>
        <w:t>appui aux familles multiculturelles fournit divers services aux immigrants mariés, par exemple l</w:t>
      </w:r>
      <w:r w:rsidR="009A22EB">
        <w:t>’</w:t>
      </w:r>
      <w:r>
        <w:t>apprentissage de la langue et de la culture coréennes, des conseils sur l</w:t>
      </w:r>
      <w:r w:rsidR="009A22EB">
        <w:t>’</w:t>
      </w:r>
      <w:r>
        <w:t>éducation des enfants et la diffusion d</w:t>
      </w:r>
      <w:r w:rsidR="009A22EB">
        <w:t>’</w:t>
      </w:r>
      <w:r>
        <w:t>informations sous la forme de magazines, de brochures et de fiches portant sur la vie en Corée;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Les travailleurs du Centre rendent visite aux immigrants qui ont des difficultés d</w:t>
      </w:r>
      <w:r w:rsidR="009A22EB">
        <w:t>’</w:t>
      </w:r>
      <w:r>
        <w:t>accès au Centre et leur apportent une aide sous forme d</w:t>
      </w:r>
      <w:r w:rsidR="009A22EB">
        <w:t>’</w:t>
      </w:r>
      <w:r>
        <w:t>enseignement de la langue coréenne et de conseils sur l</w:t>
      </w:r>
      <w:r w:rsidR="009A22EB">
        <w:t>’</w:t>
      </w:r>
      <w:r w:rsidR="00CD697F">
        <w:t>éducation des enfants;</w:t>
      </w:r>
    </w:p>
    <w:p w:rsidR="005D62AF" w:rsidRDefault="005D62AF" w:rsidP="005D62AF">
      <w:pPr>
        <w:numPr>
          <w:ilvl w:val="0"/>
          <w:numId w:val="49"/>
        </w:numPr>
        <w:spacing w:after="240"/>
      </w:pPr>
      <w:r>
        <w:t>Le Centre aide les immigrants dans leurs efforts pour trouver un emploi ou lancer leur propre entreprise par des services tels que l</w:t>
      </w:r>
      <w:r w:rsidR="009A22EB">
        <w:t>’</w:t>
      </w:r>
      <w:r>
        <w:t>enseignement de compétences agricoles. Il apporte également son appui à la mise en place de groupes pour développer la coopération entre personnes de chaque pays, dans le but d</w:t>
      </w:r>
      <w:r w:rsidR="009A22EB">
        <w:t>’</w:t>
      </w:r>
      <w:r>
        <w:t>améliorer le renforcement des compétences par l</w:t>
      </w:r>
      <w:r w:rsidR="009A22EB">
        <w:t>’</w:t>
      </w:r>
      <w:r>
        <w:t>entraide mutuelle.</w:t>
      </w:r>
    </w:p>
    <w:p w:rsidR="005D62AF" w:rsidRDefault="005D62AF" w:rsidP="005D62AF">
      <w:pPr>
        <w:spacing w:after="240"/>
      </w:pPr>
      <w:r>
        <w:t>21.</w:t>
      </w:r>
      <w:r>
        <w:tab/>
        <w:t>Le Gouvernement coréen propose également des services informatiques aux épouses étrangères, notamment des ordinateurs aux familles défavorisées d</w:t>
      </w:r>
      <w:r w:rsidR="009A22EB">
        <w:t>’</w:t>
      </w:r>
      <w:r>
        <w:t>immigrantes, de même que des cours de coréen et d</w:t>
      </w:r>
      <w:r w:rsidR="009A22EB">
        <w:t>’</w:t>
      </w:r>
      <w:r>
        <w:t>informatique aux épouses étrangères.</w:t>
      </w:r>
    </w:p>
    <w:p w:rsidR="005D62AF" w:rsidRDefault="005D62AF" w:rsidP="005D62AF">
      <w:pPr>
        <w:spacing w:after="240"/>
      </w:pPr>
      <w:r>
        <w:t>22.</w:t>
      </w:r>
      <w:r>
        <w:tab/>
        <w:t>Les agents du bureau de contrôle de l</w:t>
      </w:r>
      <w:r w:rsidR="009A22EB">
        <w:t>’</w:t>
      </w:r>
      <w:r>
        <w:t>immigration offrent des services de conseil personnalisés aux immigrants mariés pour les aider à résoudre les divers problèmes qu</w:t>
      </w:r>
      <w:r w:rsidR="009A22EB">
        <w:t>’</w:t>
      </w:r>
      <w:r>
        <w:t xml:space="preserve">ils rencontrent au cours de leur séjour en Corée, facilitant ainsi leur installation dans la société coréenne. </w:t>
      </w:r>
    </w:p>
    <w:p w:rsidR="001A59A7" w:rsidRPr="003551FC" w:rsidRDefault="005D62AF" w:rsidP="003551FC">
      <w:pPr>
        <w:spacing w:after="240"/>
        <w:jc w:val="center"/>
      </w:pPr>
      <w:r>
        <w:t>-----</w:t>
      </w:r>
    </w:p>
    <w:sectPr w:rsidR="001A59A7" w:rsidRPr="003551FC" w:rsidSect="00AA1FAD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F" w:rsidRDefault="00D82C0F">
      <w:r>
        <w:separator/>
      </w:r>
    </w:p>
  </w:endnote>
  <w:endnote w:type="continuationSeparator" w:id="0">
    <w:p w:rsidR="00D82C0F" w:rsidRDefault="00D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4B" w:rsidRDefault="00B6404B">
    <w:pPr>
      <w:pStyle w:val="Footer"/>
      <w:spacing w:before="240"/>
    </w:pPr>
    <w:r>
      <w:t>GE.09</w:t>
    </w:r>
    <w:r w:rsidR="00AA1FAD">
      <w:noBreakHyphen/>
      <w:t>40368</w:t>
    </w:r>
    <w:r>
      <w:t xml:space="preserve"> (F)</w:t>
    </w:r>
    <w:r w:rsidR="00AA1FAD">
      <w:t xml:space="preserve">    040209    050209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F" w:rsidRDefault="00D82C0F">
      <w:r>
        <w:separator/>
      </w:r>
    </w:p>
  </w:footnote>
  <w:footnote w:type="continuationSeparator" w:id="0">
    <w:p w:rsidR="00D82C0F" w:rsidRDefault="00D8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D" w:rsidRPr="00AA1FAD" w:rsidRDefault="00AA1FAD">
    <w:pPr>
      <w:pStyle w:val="Header"/>
      <w:rPr>
        <w:lang w:val="en-GB"/>
      </w:rPr>
    </w:pPr>
    <w:r w:rsidRPr="00AA1FAD">
      <w:rPr>
        <w:lang w:val="en-GB"/>
      </w:rPr>
      <w:t>CERD/C/KOR/CO/14/Add.1</w:t>
    </w:r>
  </w:p>
  <w:p w:rsidR="00AA1FAD" w:rsidRDefault="00AA1FAD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1F6D">
      <w:rPr>
        <w:noProof/>
      </w:rPr>
      <w:t>2</w:t>
    </w:r>
    <w:r>
      <w:fldChar w:fldCharType="end"/>
    </w:r>
  </w:p>
  <w:p w:rsidR="00B6404B" w:rsidRDefault="00B64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D" w:rsidRPr="00AA1FAD" w:rsidRDefault="00AA1FAD" w:rsidP="00DE2655">
    <w:pPr>
      <w:pStyle w:val="Header"/>
      <w:tabs>
        <w:tab w:val="clear" w:pos="4320"/>
        <w:tab w:val="clear" w:pos="8640"/>
        <w:tab w:val="left" w:pos="6240"/>
      </w:tabs>
      <w:rPr>
        <w:lang w:val="en-GB"/>
      </w:rPr>
    </w:pPr>
    <w:r>
      <w:tab/>
    </w:r>
    <w:r w:rsidRPr="00AA1FAD">
      <w:rPr>
        <w:lang w:val="en-GB"/>
      </w:rPr>
      <w:t>CERD/C/KOR/CO/14/Add.1</w:t>
    </w:r>
  </w:p>
  <w:p w:rsidR="00AA1FAD" w:rsidRDefault="00AA1FAD" w:rsidP="00DE2655">
    <w:pPr>
      <w:pStyle w:val="Header"/>
      <w:tabs>
        <w:tab w:val="clear" w:pos="4320"/>
        <w:tab w:val="clear" w:pos="8640"/>
        <w:tab w:val="left" w:pos="6240"/>
      </w:tabs>
    </w:pPr>
    <w:r w:rsidRPr="00AA1FAD">
      <w:rPr>
        <w:lang w:val="en-GB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1F6D">
      <w:rPr>
        <w:noProof/>
      </w:rPr>
      <w:t>5</w:t>
    </w:r>
    <w:r>
      <w:fldChar w:fldCharType="end"/>
    </w:r>
  </w:p>
  <w:p w:rsidR="00B6404B" w:rsidRDefault="00B6404B" w:rsidP="00DE2655">
    <w:pPr>
      <w:pStyle w:val="Header"/>
      <w:tabs>
        <w:tab w:val="clear" w:pos="4320"/>
        <w:tab w:val="clear" w:pos="8640"/>
        <w:tab w:val="left" w:pos="6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6EC3611"/>
    <w:multiLevelType w:val="hybridMultilevel"/>
    <w:tmpl w:val="AE8842F0"/>
    <w:lvl w:ilvl="0" w:tplc="4C1C1EC2">
      <w:start w:val="1"/>
      <w:numFmt w:val="bullet"/>
      <w:lvlText w:val="–"/>
      <w:lvlJc w:val="left"/>
      <w:pPr>
        <w:tabs>
          <w:tab w:val="num" w:pos="567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654A09B6"/>
    <w:multiLevelType w:val="hybridMultilevel"/>
    <w:tmpl w:val="57A01088"/>
    <w:lvl w:ilvl="0" w:tplc="C7F6B372">
      <w:start w:val="1"/>
      <w:numFmt w:val="bullet"/>
      <w:lvlText w:val="–"/>
      <w:lvlJc w:val="left"/>
      <w:pPr>
        <w:tabs>
          <w:tab w:val="num" w:pos="567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2"/>
  </w:num>
  <w:num w:numId="12">
    <w:abstractNumId w:val="5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0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0"/>
  </w:num>
  <w:num w:numId="33">
    <w:abstractNumId w:val="5"/>
  </w:num>
  <w:num w:numId="34">
    <w:abstractNumId w:val="0"/>
  </w:num>
  <w:num w:numId="35">
    <w:abstractNumId w:val="5"/>
  </w:num>
  <w:num w:numId="36">
    <w:abstractNumId w:val="5"/>
  </w:num>
  <w:num w:numId="37">
    <w:abstractNumId w:val="0"/>
  </w:num>
  <w:num w:numId="38">
    <w:abstractNumId w:val="5"/>
  </w:num>
  <w:num w:numId="39">
    <w:abstractNumId w:val="0"/>
  </w:num>
  <w:num w:numId="40">
    <w:abstractNumId w:val="0"/>
  </w:num>
  <w:num w:numId="41">
    <w:abstractNumId w:val="0"/>
  </w:num>
  <w:num w:numId="42">
    <w:abstractNumId w:val="5"/>
  </w:num>
  <w:num w:numId="43">
    <w:abstractNumId w:val="0"/>
  </w:num>
  <w:num w:numId="44">
    <w:abstractNumId w:val="5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4B"/>
    <w:rsid w:val="000D6379"/>
    <w:rsid w:val="0018137C"/>
    <w:rsid w:val="001A59A7"/>
    <w:rsid w:val="003551FC"/>
    <w:rsid w:val="004C4F81"/>
    <w:rsid w:val="005B7C53"/>
    <w:rsid w:val="005D62AF"/>
    <w:rsid w:val="005F756A"/>
    <w:rsid w:val="00602A29"/>
    <w:rsid w:val="006F0BDA"/>
    <w:rsid w:val="0070593A"/>
    <w:rsid w:val="00782A35"/>
    <w:rsid w:val="00961F6D"/>
    <w:rsid w:val="009A22EB"/>
    <w:rsid w:val="00AA1FAD"/>
    <w:rsid w:val="00AC192E"/>
    <w:rsid w:val="00B54408"/>
    <w:rsid w:val="00B55949"/>
    <w:rsid w:val="00B6404B"/>
    <w:rsid w:val="00BE2ADD"/>
    <w:rsid w:val="00CA4683"/>
    <w:rsid w:val="00CD697F"/>
    <w:rsid w:val="00D27CB4"/>
    <w:rsid w:val="00D82C0F"/>
    <w:rsid w:val="00DE2655"/>
    <w:rsid w:val="00EF6564"/>
    <w:rsid w:val="00F619AE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6F0BDA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F0BDA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6F0BDA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5</Pages>
  <Words>1659</Words>
  <Characters>9211</Characters>
  <Application>Microsoft Office Word</Application>
  <DocSecurity>4</DocSecurity>
  <Lines>164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CERD/C/KOR/CO/14/Add.1</vt:lpstr>
    </vt:vector>
  </TitlesOfParts>
  <Company>ONU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CERD/C/KOR/CO/14/Add.1</dc:title>
  <dc:subject>fINAL</dc:subject>
  <dc:creator>Lamy Sylvie</dc:creator>
  <cp:keywords/>
  <dc:description/>
  <cp:lastModifiedBy>desk</cp:lastModifiedBy>
  <cp:revision>2</cp:revision>
  <cp:lastPrinted>2009-02-05T06:54:00Z</cp:lastPrinted>
  <dcterms:created xsi:type="dcterms:W3CDTF">2009-02-05T08:49:00Z</dcterms:created>
  <dcterms:modified xsi:type="dcterms:W3CDTF">2009-02-05T08:49:00Z</dcterms:modified>
</cp:coreProperties>
</file>