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E3A" w:rsidRDefault="004D7E3A" w:rsidP="004D7E3A">
      <w:pPr>
        <w:spacing w:line="60" w:lineRule="exact"/>
        <w:sectPr w:rsidR="004D7E3A" w:rsidSect="004D7E3A">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4pt;margin-top:682.55pt;width:57.35pt;height:57.35pt;z-index:1;mso-position-horizontal-relative:page;mso-position-vertical-relative:page" o:preferrelative="f" filled="t">
            <v:imagedata r:id="rId12" o:title="Add"/>
            <w10:wrap anchorx="page" anchory="page"/>
          </v:shape>
        </w:pict>
      </w:r>
      <w:commentRangeEnd w:id="0"/>
      <w:r>
        <w:rPr>
          <w:rStyle w:val="CommentReference"/>
        </w:rPr>
        <w:commentReference w:id="0"/>
      </w:r>
    </w:p>
    <w:p w:rsidR="004D7E3A" w:rsidRDefault="004D7E3A" w:rsidP="004D7E3A">
      <w:pPr>
        <w:spacing w:line="60" w:lineRule="exact"/>
      </w:pPr>
    </w:p>
    <w:p w:rsidR="00354A26" w:rsidRPr="00BA5AB8" w:rsidRDefault="00354A26" w:rsidP="00354A2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60" w:hanging="1267"/>
        <w:rPr>
          <w:rFonts w:hint="eastAsia"/>
        </w:rPr>
      </w:pPr>
      <w:r w:rsidRPr="00BA5AB8">
        <w:rPr>
          <w:rFonts w:hint="eastAsia"/>
        </w:rPr>
        <w:t>消除对妇女歧视委员会</w:t>
      </w:r>
    </w:p>
    <w:p w:rsidR="00354A26" w:rsidRPr="00DC17C4" w:rsidRDefault="00354A26" w:rsidP="0034182C">
      <w:pPr>
        <w:pStyle w:val="SingleTxt"/>
        <w:spacing w:after="60"/>
        <w:ind w:left="0"/>
        <w:rPr>
          <w:rFonts w:ascii="SimHei" w:eastAsia="SimHei" w:hint="eastAsia"/>
        </w:rPr>
      </w:pPr>
      <w:r w:rsidRPr="00DC17C4">
        <w:rPr>
          <w:rFonts w:ascii="SimHei" w:eastAsia="SimHei" w:hint="eastAsia"/>
        </w:rPr>
        <w:t>第五十五届会议</w:t>
      </w:r>
    </w:p>
    <w:p w:rsidR="00354A26" w:rsidRDefault="00354A26" w:rsidP="0034182C">
      <w:pPr>
        <w:pStyle w:val="SingleTxt"/>
        <w:spacing w:after="60"/>
        <w:ind w:left="0"/>
        <w:rPr>
          <w:rFonts w:hint="eastAsia"/>
        </w:rPr>
      </w:pPr>
      <w:r>
        <w:rPr>
          <w:rFonts w:hint="eastAsia"/>
        </w:rPr>
        <w:t>2013年7月8日至26日</w:t>
      </w:r>
    </w:p>
    <w:p w:rsidR="00354A26" w:rsidRPr="00354A26" w:rsidRDefault="00354A26" w:rsidP="00354A26">
      <w:pPr>
        <w:pStyle w:val="SingleTxt"/>
        <w:spacing w:after="0" w:line="120" w:lineRule="exact"/>
        <w:ind w:right="0"/>
        <w:rPr>
          <w:rFonts w:hint="eastAsia"/>
          <w:sz w:val="10"/>
        </w:rPr>
      </w:pPr>
    </w:p>
    <w:p w:rsidR="00354A26" w:rsidRPr="00354A26" w:rsidRDefault="00354A26" w:rsidP="00354A26">
      <w:pPr>
        <w:pStyle w:val="SingleTxt"/>
        <w:spacing w:after="0" w:line="120" w:lineRule="exact"/>
        <w:ind w:right="0"/>
        <w:rPr>
          <w:rFonts w:hint="eastAsia"/>
          <w:sz w:val="10"/>
        </w:rPr>
      </w:pPr>
    </w:p>
    <w:p w:rsidR="00354A26" w:rsidRPr="00354A26" w:rsidRDefault="00354A26" w:rsidP="00354A26">
      <w:pPr>
        <w:pStyle w:val="SingleTxt"/>
        <w:spacing w:after="0" w:line="120" w:lineRule="exact"/>
        <w:ind w:right="0"/>
        <w:rPr>
          <w:rFonts w:hint="eastAsia"/>
          <w:sz w:val="10"/>
        </w:rPr>
      </w:pPr>
    </w:p>
    <w:p w:rsidR="00354A26" w:rsidRDefault="00354A26" w:rsidP="00354A2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议定期报告有关的议题和问题清单：古巴</w:t>
      </w:r>
    </w:p>
    <w:p w:rsidR="00354A26" w:rsidRPr="00354A26" w:rsidRDefault="00354A26" w:rsidP="00354A26">
      <w:pPr>
        <w:pStyle w:val="SingleTxt"/>
        <w:spacing w:after="0" w:line="120" w:lineRule="exact"/>
        <w:ind w:right="0"/>
        <w:rPr>
          <w:rFonts w:hint="eastAsia"/>
          <w:sz w:val="10"/>
        </w:rPr>
      </w:pPr>
    </w:p>
    <w:p w:rsidR="00354A26" w:rsidRPr="00354A26" w:rsidRDefault="00354A26" w:rsidP="00354A26">
      <w:pPr>
        <w:pStyle w:val="SingleTxt"/>
        <w:spacing w:after="0" w:line="120" w:lineRule="exact"/>
        <w:ind w:right="0"/>
        <w:rPr>
          <w:rFonts w:hint="eastAsia"/>
          <w:sz w:val="10"/>
        </w:rPr>
      </w:pPr>
    </w:p>
    <w:p w:rsidR="00354A26" w:rsidRPr="00DC17C4" w:rsidRDefault="00354A26" w:rsidP="00354A2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Pr="00DC17C4">
        <w:rPr>
          <w:rFonts w:hint="eastAsia"/>
        </w:rPr>
        <w:t>增编</w:t>
      </w:r>
    </w:p>
    <w:p w:rsidR="00354A26" w:rsidRPr="00354A26" w:rsidRDefault="00354A26" w:rsidP="00354A26">
      <w:pPr>
        <w:pStyle w:val="SingleTxt"/>
        <w:spacing w:after="0" w:line="120" w:lineRule="exact"/>
        <w:ind w:right="0"/>
        <w:rPr>
          <w:rFonts w:hint="eastAsia"/>
          <w:sz w:val="10"/>
        </w:rPr>
      </w:pPr>
    </w:p>
    <w:p w:rsidR="00354A26" w:rsidRPr="00354A26" w:rsidRDefault="00354A26" w:rsidP="00354A26">
      <w:pPr>
        <w:pStyle w:val="SingleTxt"/>
        <w:spacing w:after="0" w:line="120" w:lineRule="exact"/>
        <w:ind w:right="0"/>
        <w:rPr>
          <w:rFonts w:hint="eastAsia"/>
          <w:sz w:val="10"/>
        </w:rPr>
      </w:pPr>
    </w:p>
    <w:p w:rsidR="00354A26" w:rsidRDefault="00354A26" w:rsidP="00354A2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古巴对审议其第七和八次定期报告所提问题清单作出的答复</w:t>
      </w:r>
      <w:r w:rsidRPr="0034182C">
        <w:rPr>
          <w:sz w:val="21"/>
          <w:vertAlign w:val="superscript"/>
        </w:rPr>
        <w:footnoteReference w:customMarkFollows="1" w:id="1"/>
        <w:t>*</w:t>
      </w:r>
      <w:r>
        <w:rPr>
          <w:rFonts w:hint="eastAsia"/>
        </w:rPr>
        <w:t xml:space="preserve"> </w:t>
      </w:r>
    </w:p>
    <w:p w:rsidR="00354A26" w:rsidRPr="00354A26" w:rsidRDefault="00354A26" w:rsidP="00354A26">
      <w:pPr>
        <w:pStyle w:val="SingleTxt"/>
        <w:spacing w:after="0" w:line="120" w:lineRule="exact"/>
        <w:ind w:right="0"/>
        <w:rPr>
          <w:rFonts w:hint="eastAsia"/>
          <w:sz w:val="10"/>
        </w:rPr>
      </w:pPr>
    </w:p>
    <w:p w:rsidR="00354A26" w:rsidRPr="00354A26" w:rsidRDefault="00354A26" w:rsidP="00354A26">
      <w:pPr>
        <w:pStyle w:val="SingleTxt"/>
        <w:spacing w:after="0" w:line="120" w:lineRule="exact"/>
        <w:ind w:right="0"/>
        <w:rPr>
          <w:rFonts w:hint="eastAsia"/>
          <w:sz w:val="10"/>
        </w:rPr>
      </w:pPr>
    </w:p>
    <w:p w:rsidR="00354A26" w:rsidRDefault="00354A26" w:rsidP="00354A2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宪法、立法和体制框架</w:t>
      </w:r>
    </w:p>
    <w:p w:rsidR="00354A26" w:rsidRPr="00354A26" w:rsidRDefault="00354A26" w:rsidP="00354A26">
      <w:pPr>
        <w:pStyle w:val="SingleTxt"/>
        <w:spacing w:after="0" w:line="120" w:lineRule="exact"/>
        <w:ind w:right="0"/>
        <w:rPr>
          <w:sz w:val="10"/>
        </w:rPr>
      </w:pPr>
    </w:p>
    <w:p w:rsidR="00354A26" w:rsidRPr="00354A26" w:rsidRDefault="00354A26" w:rsidP="00354A26">
      <w:pPr>
        <w:pStyle w:val="SingleTxt"/>
        <w:spacing w:after="0" w:line="120" w:lineRule="exact"/>
        <w:ind w:right="0"/>
        <w:rPr>
          <w:sz w:val="10"/>
        </w:rPr>
      </w:pPr>
    </w:p>
    <w:p w:rsidR="00354A26" w:rsidRDefault="00354A26" w:rsidP="00354A2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Pr>
          <w:rFonts w:hint="eastAsia"/>
        </w:rPr>
        <w:t>1.</w:t>
      </w:r>
      <w:r>
        <w:tab/>
      </w:r>
      <w:r>
        <w:rPr>
          <w:rFonts w:hint="eastAsia"/>
        </w:rPr>
        <w:t>《家庭法典》</w:t>
      </w:r>
    </w:p>
    <w:p w:rsidR="00354A26" w:rsidRPr="00354A26" w:rsidRDefault="00354A26" w:rsidP="00354A26">
      <w:pPr>
        <w:pStyle w:val="SingleTxt"/>
        <w:spacing w:after="0" w:line="120" w:lineRule="exact"/>
        <w:ind w:right="0"/>
        <w:rPr>
          <w:rFonts w:hint="eastAsia"/>
          <w:sz w:val="10"/>
        </w:rPr>
      </w:pPr>
    </w:p>
    <w:p w:rsidR="00354A26" w:rsidRDefault="00354A26" w:rsidP="0034182C">
      <w:pPr>
        <w:pStyle w:val="SingleTxt"/>
        <w:rPr>
          <w:rFonts w:hint="eastAsia"/>
        </w:rPr>
      </w:pPr>
      <w:r>
        <w:rPr>
          <w:rFonts w:hint="eastAsia"/>
        </w:rPr>
        <w:t>1.</w:t>
      </w:r>
      <w:r>
        <w:rPr>
          <w:rFonts w:hint="eastAsia"/>
        </w:rPr>
        <w:tab/>
        <w:t>《家庭法典》修正案已列入2008-2012年立法计划，以便供全国人民政权代表大会在2012年通过。但该国2010年通过的《经济和社会政策准则》将确保古巴的可持续性和发展，这就必须优先考虑通过与《准则》有关的经济立法。因此，《家庭法典》修正案被移到2013-2017年立法计划。但修正案预计会在计划的第一阶段期间得到审议。</w:t>
      </w:r>
    </w:p>
    <w:p w:rsidR="00354A26" w:rsidRDefault="00354A26" w:rsidP="00354A2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Pr>
          <w:rFonts w:hint="eastAsia"/>
        </w:rPr>
        <w:t>2.</w:t>
      </w:r>
      <w:r>
        <w:rPr>
          <w:rFonts w:hint="eastAsia"/>
        </w:rPr>
        <w:tab/>
        <w:t>歧视观念</w:t>
      </w:r>
    </w:p>
    <w:p w:rsidR="00354A26" w:rsidRPr="00354A26" w:rsidRDefault="00354A26" w:rsidP="00354A26">
      <w:pPr>
        <w:pStyle w:val="SingleTxt"/>
        <w:spacing w:after="0" w:line="120" w:lineRule="exact"/>
        <w:ind w:right="0"/>
        <w:rPr>
          <w:rFonts w:hint="eastAsia"/>
          <w:sz w:val="10"/>
        </w:rPr>
      </w:pPr>
    </w:p>
    <w:p w:rsidR="00354A26" w:rsidRDefault="00354A26" w:rsidP="0034182C">
      <w:pPr>
        <w:pStyle w:val="SingleTxt"/>
        <w:spacing w:line="312" w:lineRule="exact"/>
        <w:rPr>
          <w:rFonts w:hint="eastAsia"/>
        </w:rPr>
      </w:pPr>
      <w:r>
        <w:rPr>
          <w:rFonts w:hint="eastAsia"/>
        </w:rPr>
        <w:t>2.</w:t>
      </w:r>
      <w:r>
        <w:rPr>
          <w:rFonts w:hint="eastAsia"/>
        </w:rPr>
        <w:tab/>
        <w:t>最近几年，共和国检察长办公室和最高人民法院已采取步骤更新其按性别分列的统计数据库，以便能够进行数量和质量分析。</w:t>
      </w:r>
    </w:p>
    <w:p w:rsidR="00354A26" w:rsidRDefault="00354A26" w:rsidP="0034182C">
      <w:pPr>
        <w:pStyle w:val="SingleTxt"/>
        <w:spacing w:line="312" w:lineRule="exact"/>
        <w:rPr>
          <w:rFonts w:hint="eastAsia"/>
        </w:rPr>
      </w:pPr>
      <w:r>
        <w:rPr>
          <w:rFonts w:hint="eastAsia"/>
        </w:rPr>
        <w:t>3.</w:t>
      </w:r>
      <w:r>
        <w:rPr>
          <w:rFonts w:hint="eastAsia"/>
        </w:rPr>
        <w:tab/>
        <w:t>检察长办公室作为立法监督机构接受公民的投诉和申诉；妇女提交的投诉和申诉另行记录。例如在2012年上半年，该办公室接待了10 059名妇女，并收到妇女就劳工、刑事、行政和民事事项提出的2 073项投诉和索偿要求，但迄今未收到有关歧视妇女的投诉。</w:t>
      </w:r>
    </w:p>
    <w:p w:rsidR="00354A26" w:rsidRDefault="00354A26" w:rsidP="0034182C">
      <w:pPr>
        <w:pStyle w:val="SingleTxt"/>
        <w:spacing w:line="312" w:lineRule="exact"/>
        <w:rPr>
          <w:rFonts w:hint="eastAsia"/>
        </w:rPr>
      </w:pPr>
      <w:r>
        <w:rPr>
          <w:rFonts w:hint="eastAsia"/>
        </w:rPr>
        <w:t>4.</w:t>
      </w:r>
      <w:r>
        <w:rPr>
          <w:rFonts w:hint="eastAsia"/>
        </w:rPr>
        <w:tab/>
        <w:t>已向官员、学者和媒体主管提供部门间培训方案，除其他外，其中的主题涉及歧视妇女问题、解决这一问题的重要性、特别是《公约》第1和2条以及委员会第28号一般性建议的含义。</w:t>
      </w:r>
    </w:p>
    <w:p w:rsidR="00354A26" w:rsidRPr="00812C4D" w:rsidRDefault="00354A26" w:rsidP="0034182C">
      <w:pPr>
        <w:pStyle w:val="SingleTxt"/>
        <w:rPr>
          <w:rFonts w:ascii="SimHei" w:eastAsia="SimHei" w:hint="eastAsia"/>
        </w:rPr>
      </w:pPr>
      <w:r w:rsidRPr="00812C4D">
        <w:rPr>
          <w:rFonts w:ascii="SimHei" w:eastAsia="SimHei" w:hint="eastAsia"/>
        </w:rPr>
        <w:t>国家提高妇女地位机制</w:t>
      </w:r>
    </w:p>
    <w:p w:rsidR="00354A26" w:rsidRDefault="00354A26" w:rsidP="00354A2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Pr>
          <w:rFonts w:hint="eastAsia"/>
        </w:rPr>
        <w:t>3.</w:t>
      </w:r>
      <w:r>
        <w:rPr>
          <w:rFonts w:hint="eastAsia"/>
        </w:rPr>
        <w:tab/>
        <w:t>加强古巴妇女联合会</w:t>
      </w:r>
    </w:p>
    <w:p w:rsidR="00354A26" w:rsidRPr="00354A26" w:rsidRDefault="00354A26" w:rsidP="00354A26">
      <w:pPr>
        <w:pStyle w:val="SingleTxt"/>
        <w:spacing w:after="0" w:line="120" w:lineRule="exact"/>
        <w:ind w:right="0"/>
        <w:rPr>
          <w:rFonts w:hint="eastAsia"/>
          <w:sz w:val="10"/>
        </w:rPr>
      </w:pPr>
    </w:p>
    <w:p w:rsidR="00354A26" w:rsidRDefault="00354A26" w:rsidP="0034182C">
      <w:pPr>
        <w:pStyle w:val="SingleTxt"/>
        <w:rPr>
          <w:rFonts w:hint="eastAsia"/>
        </w:rPr>
      </w:pPr>
      <w:r>
        <w:rPr>
          <w:rFonts w:hint="eastAsia"/>
        </w:rPr>
        <w:t>5.</w:t>
      </w:r>
      <w:r>
        <w:tab/>
      </w:r>
      <w:r>
        <w:rPr>
          <w:rFonts w:hint="eastAsia"/>
        </w:rPr>
        <w:t>虽然政府负责执行政策，但古巴妇女联合会(妇女联合会)是国家提高妇女地位机制，两性平等问题协调中心负责促进古巴政府有关两性平等和增强妇女权能公共政策。</w:t>
      </w:r>
    </w:p>
    <w:p w:rsidR="00354A26" w:rsidRDefault="00354A26" w:rsidP="0034182C">
      <w:pPr>
        <w:pStyle w:val="SingleTxt"/>
        <w:rPr>
          <w:rFonts w:hint="eastAsia"/>
        </w:rPr>
      </w:pPr>
      <w:r>
        <w:rPr>
          <w:rFonts w:hint="eastAsia"/>
        </w:rPr>
        <w:t>6.</w:t>
      </w:r>
      <w:r>
        <w:rPr>
          <w:rFonts w:hint="eastAsia"/>
        </w:rPr>
        <w:tab/>
        <w:t>该联合会推动这些公共政策以及立法草案和修正案；提供有关理论和方法的指导；并与政府一道确保开展政策后续行动和评估。</w:t>
      </w:r>
    </w:p>
    <w:p w:rsidR="00354A26" w:rsidRPr="00354A26" w:rsidRDefault="00354A26" w:rsidP="0034182C">
      <w:pPr>
        <w:pStyle w:val="SingleTxt"/>
        <w:rPr>
          <w:rFonts w:hint="eastAsia"/>
          <w:spacing w:val="2"/>
        </w:rPr>
      </w:pPr>
      <w:r>
        <w:rPr>
          <w:rFonts w:hint="eastAsia"/>
        </w:rPr>
        <w:t>7.</w:t>
      </w:r>
      <w:r>
        <w:rPr>
          <w:rFonts w:hint="eastAsia"/>
        </w:rPr>
        <w:tab/>
        <w:t>该</w:t>
      </w:r>
      <w:r w:rsidRPr="00354A26">
        <w:rPr>
          <w:rFonts w:hint="eastAsia"/>
          <w:spacing w:val="2"/>
        </w:rPr>
        <w:t>联合会不需要任何具体的财政资源来开展这些活动。但如其参与执行部门政策的方面属于一个部委或一组部委的范围，则政府将资助其活动，但不影响该联合会的非政府性质。政府还特地提供交通和房地使用支持妇女联合会的工作。</w:t>
      </w:r>
    </w:p>
    <w:p w:rsidR="00354A26" w:rsidRDefault="00354A26" w:rsidP="0034182C">
      <w:pPr>
        <w:pStyle w:val="SingleTxt"/>
        <w:rPr>
          <w:rFonts w:hint="eastAsia"/>
        </w:rPr>
      </w:pPr>
      <w:r>
        <w:rPr>
          <w:rFonts w:hint="eastAsia"/>
        </w:rPr>
        <w:t>8.</w:t>
      </w:r>
      <w:r>
        <w:rPr>
          <w:rFonts w:hint="eastAsia"/>
        </w:rPr>
        <w:tab/>
        <w:t>政府为举办联合活动提供财政资源，妇女联合会则贡献其专门知识，以推动公共政策实施，并确保将性别观点充分纳入各项计划和方案中。妇女联合会拥有高素质的工作人员，使其能够提供咨询和评价，并解决该国的妇女问题，并支持国家机构的工作。</w:t>
      </w:r>
    </w:p>
    <w:p w:rsidR="00354A26" w:rsidRDefault="00354A26" w:rsidP="0034182C">
      <w:pPr>
        <w:pStyle w:val="SingleTxt"/>
        <w:rPr>
          <w:rFonts w:hint="eastAsia"/>
        </w:rPr>
      </w:pPr>
      <w:r>
        <w:rPr>
          <w:rFonts w:hint="eastAsia"/>
        </w:rPr>
        <w:t>9.</w:t>
      </w:r>
      <w:r>
        <w:rPr>
          <w:rFonts w:hint="eastAsia"/>
        </w:rPr>
        <w:tab/>
        <w:t>执行《公约》与该联合会需要财政资源协调这项工作没有直接关系。其作用是推动实施部门公共政策，以确保《公约》的规定得到执行。为此，政府机构通过预算项目提供国家政策、工作协议和资金，以确保妇女获得教育、卫生保健、就业和社会保障等。</w:t>
      </w:r>
    </w:p>
    <w:p w:rsidR="00354A26" w:rsidRDefault="00354A26" w:rsidP="00354A2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Pr>
          <w:rFonts w:hint="eastAsia"/>
        </w:rPr>
        <w:t>4和5.</w:t>
      </w:r>
      <w:r>
        <w:tab/>
      </w:r>
      <w:r>
        <w:rPr>
          <w:rFonts w:hint="eastAsia"/>
        </w:rPr>
        <w:t>北京会议后续行动国家行动计划</w:t>
      </w:r>
      <w:r>
        <w:rPr>
          <w:rFonts w:hint="eastAsia"/>
        </w:rPr>
        <w:tab/>
        <w:t xml:space="preserve"> </w:t>
      </w:r>
    </w:p>
    <w:p w:rsidR="00354A26" w:rsidRPr="00354A26" w:rsidRDefault="00354A26" w:rsidP="00354A26">
      <w:pPr>
        <w:pStyle w:val="SingleTxt"/>
        <w:spacing w:after="0" w:line="120" w:lineRule="exact"/>
        <w:ind w:right="0"/>
        <w:rPr>
          <w:rFonts w:hint="eastAsia"/>
          <w:sz w:val="10"/>
        </w:rPr>
      </w:pPr>
    </w:p>
    <w:p w:rsidR="00354A26" w:rsidRDefault="00354A26" w:rsidP="0034182C">
      <w:pPr>
        <w:pStyle w:val="SingleTxt"/>
        <w:rPr>
          <w:rFonts w:hint="eastAsia"/>
        </w:rPr>
      </w:pPr>
      <w:r>
        <w:rPr>
          <w:rFonts w:hint="eastAsia"/>
        </w:rPr>
        <w:t>10.</w:t>
      </w:r>
      <w:r>
        <w:tab/>
      </w:r>
      <w:r>
        <w:rPr>
          <w:rFonts w:hint="eastAsia"/>
        </w:rPr>
        <w:t>虽然古巴共和国国务委员会1997年通过的古巴共和国《第四次妇女问题世界会议后续行动国家行动计划》没有涵盖《北京行动纲要》所有12个重要领域，但其中包含了按照《公约》规定采取的90项措施。这些措施反映出古巴妇女的需要和利益，国家中央行政部门各部委和其他行政机构负责其执行并作系统的评价。鉴于这一计划以及该国的许多法律文件有规定确保执行《公约》的条款并对遵守情况作出评价，没有必要就这项国际文书制订具体的监测计划。</w:t>
      </w:r>
    </w:p>
    <w:p w:rsidR="00354A26" w:rsidRDefault="00354A26" w:rsidP="0034182C">
      <w:pPr>
        <w:pStyle w:val="SingleTxt"/>
        <w:rPr>
          <w:rFonts w:hint="eastAsia"/>
        </w:rPr>
      </w:pPr>
      <w:r>
        <w:rPr>
          <w:rFonts w:hint="eastAsia"/>
        </w:rPr>
        <w:t>11.</w:t>
      </w:r>
      <w:r>
        <w:rPr>
          <w:rFonts w:hint="eastAsia"/>
        </w:rPr>
        <w:tab/>
        <w:t>为加强古巴所有相关法律文件的教育和理解，并扩大教育有关这些文件规定的实施和适用，最近印发了一本载有《行动计划》主要内容的小册子，并重新印发了有关该计划的正式文件以及一项附加说明的《公约》案文。这些材料对于政府机构、民间社会组织和妇女来说都是有用的工具。</w:t>
      </w:r>
    </w:p>
    <w:p w:rsidR="00354A26" w:rsidRDefault="00354A26" w:rsidP="0034182C">
      <w:pPr>
        <w:pStyle w:val="SingleTxt"/>
        <w:rPr>
          <w:rFonts w:hint="eastAsia"/>
        </w:rPr>
      </w:pPr>
      <w:r>
        <w:rPr>
          <w:rFonts w:hint="eastAsia"/>
        </w:rPr>
        <w:t>12.</w:t>
      </w:r>
      <w:r>
        <w:tab/>
      </w:r>
      <w:r>
        <w:rPr>
          <w:rFonts w:hint="eastAsia"/>
        </w:rPr>
        <w:t>虽然本应在2012年12月举行第三次国家评估研讨会，但由于桑迪飓风对该国造成广泛破坏，各省都受到严重影响，迫使政府推迟这项活动，并优先考虑开展其他活动，特别是在修复遭破坏方面的合作。</w:t>
      </w:r>
    </w:p>
    <w:p w:rsidR="00354A26" w:rsidRDefault="00354A26" w:rsidP="0034182C">
      <w:pPr>
        <w:pStyle w:val="SingleTxt"/>
        <w:rPr>
          <w:rFonts w:hint="eastAsia"/>
        </w:rPr>
      </w:pPr>
      <w:r>
        <w:rPr>
          <w:rFonts w:hint="eastAsia"/>
        </w:rPr>
        <w:t>13.</w:t>
      </w:r>
      <w:r>
        <w:tab/>
      </w:r>
      <w:r>
        <w:rPr>
          <w:rFonts w:hint="eastAsia"/>
        </w:rPr>
        <w:t>无论如何，为证明该国政府有政治意愿进行这次评估，部长会议执行委员会、经济和规划部以及妇女联合会决定于2012年11月和12月对国家中央行政部门和省级政府在各自授权范围内执行《计划》中所列措施的情况进行一次评估。它们还同意推迟到2013年举行国家研讨会，以便在更好的条件下进行。</w:t>
      </w:r>
    </w:p>
    <w:p w:rsidR="00354A26" w:rsidRDefault="00354A26" w:rsidP="0034182C">
      <w:pPr>
        <w:pStyle w:val="SingleTxt"/>
        <w:rPr>
          <w:rFonts w:hint="eastAsia"/>
        </w:rPr>
      </w:pPr>
      <w:r>
        <w:rPr>
          <w:rFonts w:hint="eastAsia"/>
        </w:rPr>
        <w:t>14.</w:t>
      </w:r>
      <w:r>
        <w:tab/>
      </w:r>
      <w:r>
        <w:rPr>
          <w:rFonts w:hint="eastAsia"/>
        </w:rPr>
        <w:t>国家中央行政部门以及省市行政委员会已在国家一级两次审查了《行动计划》，确保对其中所载各项措施采取后续行动。《计划》全面生效，为执行《计划》，已向社区领袖和国家官员提供课程、讲习班和培训，并将其列入《计划》评价中。</w:t>
      </w:r>
    </w:p>
    <w:p w:rsidR="00354A26" w:rsidRDefault="00354A26" w:rsidP="0034182C">
      <w:pPr>
        <w:pStyle w:val="SingleTxt"/>
        <w:rPr>
          <w:rFonts w:hint="eastAsia"/>
        </w:rPr>
      </w:pPr>
      <w:r>
        <w:rPr>
          <w:rFonts w:hint="eastAsia"/>
        </w:rPr>
        <w:t>15.</w:t>
      </w:r>
      <w:r>
        <w:tab/>
      </w:r>
      <w:r>
        <w:rPr>
          <w:rFonts w:hint="eastAsia"/>
        </w:rPr>
        <w:t>在海外的合作下，已印刷新版的《行动计划》，并为公众提供有关其结构、意义以及监督和执行机构的培训。这一附加说明版本的重要性在于其中列出从市一级到中央一级各政府机构评价《计划》的方法。</w:t>
      </w:r>
    </w:p>
    <w:p w:rsidR="00354A26" w:rsidRDefault="00354A26" w:rsidP="00354A2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Pr>
          <w:rFonts w:hint="eastAsia"/>
        </w:rPr>
        <w:t>陈规定型观念和文化习俗</w:t>
      </w:r>
    </w:p>
    <w:p w:rsidR="00354A26" w:rsidRPr="00354A26" w:rsidRDefault="00354A26" w:rsidP="00354A26">
      <w:pPr>
        <w:pStyle w:val="SingleTxt"/>
        <w:spacing w:after="0" w:line="120" w:lineRule="exact"/>
        <w:ind w:right="0"/>
        <w:rPr>
          <w:rFonts w:hint="eastAsia"/>
          <w:sz w:val="10"/>
        </w:rPr>
      </w:pPr>
    </w:p>
    <w:p w:rsidR="00354A26" w:rsidRDefault="00354A26" w:rsidP="00354A2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Pr>
          <w:rFonts w:hint="eastAsia"/>
        </w:rPr>
        <w:t>6.</w:t>
      </w:r>
      <w:r>
        <w:rPr>
          <w:rFonts w:hint="eastAsia"/>
        </w:rPr>
        <w:tab/>
      </w:r>
      <w:r w:rsidRPr="00812C4D">
        <w:rPr>
          <w:rFonts w:hint="eastAsia"/>
          <w:spacing w:val="-2"/>
        </w:rPr>
        <w:t>采取措施确保遵守关于女工生育的第234(2003)号法令并摒弃性别陈规定型观念</w:t>
      </w:r>
    </w:p>
    <w:p w:rsidR="00354A26" w:rsidRPr="00354A26" w:rsidRDefault="00354A26" w:rsidP="00354A26">
      <w:pPr>
        <w:pStyle w:val="SingleTxt"/>
        <w:spacing w:after="0" w:line="120" w:lineRule="exact"/>
        <w:ind w:right="0"/>
        <w:rPr>
          <w:rFonts w:hint="eastAsia"/>
          <w:sz w:val="10"/>
        </w:rPr>
      </w:pPr>
    </w:p>
    <w:p w:rsidR="00354A26" w:rsidRDefault="00354A26" w:rsidP="0034182C">
      <w:pPr>
        <w:pStyle w:val="SingleTxt"/>
        <w:rPr>
          <w:rFonts w:hint="eastAsia"/>
        </w:rPr>
      </w:pPr>
      <w:r>
        <w:rPr>
          <w:rFonts w:hint="eastAsia"/>
        </w:rPr>
        <w:t>16.</w:t>
      </w:r>
      <w:r>
        <w:tab/>
      </w:r>
      <w:r>
        <w:rPr>
          <w:rFonts w:hint="eastAsia"/>
        </w:rPr>
        <w:t>将古巴妇女作为提倡者和受益者纳入该国的发展，这是该国最伟大的社会成就之一。妇女已能够在与男子平等的基础上进入公共领域。</w:t>
      </w:r>
    </w:p>
    <w:p w:rsidR="00354A26" w:rsidRDefault="00354A26" w:rsidP="0034182C">
      <w:pPr>
        <w:pStyle w:val="SingleTxt"/>
        <w:rPr>
          <w:rFonts w:hint="eastAsia"/>
        </w:rPr>
      </w:pPr>
      <w:r>
        <w:rPr>
          <w:rFonts w:hint="eastAsia"/>
        </w:rPr>
        <w:t>17.</w:t>
      </w:r>
      <w:r>
        <w:tab/>
      </w:r>
      <w:r>
        <w:rPr>
          <w:rFonts w:hint="eastAsia"/>
        </w:rPr>
        <w:t xml:space="preserve">在第七届立法机构第七届常会上，全国人民政权代表大会的青年、儿童和妇女平等权利委员会鼓励电视台和广播电台、文化部、唱片公司和其他文化机构的首长促进两性平等，同时尊重分歧。 </w:t>
      </w:r>
    </w:p>
    <w:p w:rsidR="00354A26" w:rsidRDefault="00354A26" w:rsidP="0034182C">
      <w:pPr>
        <w:pStyle w:val="SingleTxt"/>
        <w:rPr>
          <w:rFonts w:hint="eastAsia"/>
        </w:rPr>
      </w:pPr>
      <w:r>
        <w:rPr>
          <w:rFonts w:hint="eastAsia"/>
        </w:rPr>
        <w:t>18.</w:t>
      </w:r>
      <w:r>
        <w:tab/>
      </w:r>
      <w:r>
        <w:rPr>
          <w:rFonts w:hint="eastAsia"/>
        </w:rPr>
        <w:t>男女通过确立平等以及改变重男轻女的态度、文化模式和性别陈规定型观念，学校在教育两性儿童和成人方面发挥关键作用。全国各级教育系统作出努力，在这方面，有必要改进小学、中学和大学预科的课程，以解决这些问题。</w:t>
      </w:r>
    </w:p>
    <w:p w:rsidR="00354A26" w:rsidRDefault="00354A26" w:rsidP="0034182C">
      <w:pPr>
        <w:pStyle w:val="SingleTxt"/>
        <w:rPr>
          <w:rFonts w:hint="eastAsia"/>
        </w:rPr>
      </w:pPr>
      <w:r>
        <w:rPr>
          <w:rFonts w:hint="eastAsia"/>
        </w:rPr>
        <w:t>19.</w:t>
      </w:r>
      <w:r>
        <w:tab/>
      </w:r>
      <w:r>
        <w:rPr>
          <w:rFonts w:hint="eastAsia"/>
        </w:rPr>
        <w:t>每一级的课程包括旨在改变态度和陈规定型观念并承认妇女在社会中的作用的实质性内容。所有课程的共同主题有17个，如性别、性和人类性行为；作为人格组成部分的性行为；性行为的方方面面和质量(个人、伙伴、家庭和社会)；男子和妇女在生命各阶段以及各种情况和环境下的性权利和生殖权利；家庭和性行为(家庭团聚)；性别社会化；共同分担家庭责任；两性平等与各种形式的歧视和暴力；暴力及其表现形式；基于性和性别、年龄、种族和文化的暴力行为。</w:t>
      </w:r>
    </w:p>
    <w:p w:rsidR="00354A26" w:rsidRDefault="00354A26" w:rsidP="0034182C">
      <w:pPr>
        <w:pStyle w:val="SingleTxt"/>
        <w:rPr>
          <w:rFonts w:hint="eastAsia"/>
        </w:rPr>
      </w:pPr>
      <w:r>
        <w:rPr>
          <w:rFonts w:hint="eastAsia"/>
        </w:rPr>
        <w:t>20.</w:t>
      </w:r>
      <w:r>
        <w:tab/>
      </w:r>
      <w:r>
        <w:rPr>
          <w:rFonts w:hint="eastAsia"/>
        </w:rPr>
        <w:t>古巴通过教育部第139/2011号决议建立的新的基于性别、基于权利的性教育方案，制订了各类教育的性教育战略。</w:t>
      </w:r>
    </w:p>
    <w:p w:rsidR="00354A26" w:rsidRDefault="00354A26" w:rsidP="0034182C">
      <w:pPr>
        <w:pStyle w:val="SingleTxt"/>
        <w:rPr>
          <w:rFonts w:hint="eastAsia"/>
        </w:rPr>
      </w:pPr>
      <w:r>
        <w:rPr>
          <w:rFonts w:hint="eastAsia"/>
        </w:rPr>
        <w:t>21.</w:t>
      </w:r>
      <w:r>
        <w:tab/>
      </w:r>
      <w:r>
        <w:rPr>
          <w:rFonts w:hint="eastAsia"/>
        </w:rPr>
        <w:t>此外，还在实施国家性教育和性保健方案(proNESS)，其他机构如作为政府机构的国家性教育中心(CENESEX)也参与其中。该方案旨在消除妨碍提高妇女社会地位的男尊女卑观念。其活动范围很广，通过CENESEX社会网络(男子支持多样性组织、横跨古巴、Oremi、青年人支持多样性组织以及法学家支持性权利组织)开展从科学到社区各种工作。还在古巴一年一度的反恐同性恋日、世界性健康日、国际人权日、消除暴力侵害妇女日等框架内开展活动。</w:t>
      </w:r>
    </w:p>
    <w:p w:rsidR="00354A26" w:rsidRDefault="00354A26" w:rsidP="0034182C">
      <w:pPr>
        <w:pStyle w:val="SingleTxt"/>
      </w:pPr>
      <w:r>
        <w:rPr>
          <w:rFonts w:hint="eastAsia"/>
        </w:rPr>
        <w:t>22.</w:t>
      </w:r>
      <w:r>
        <w:tab/>
      </w:r>
      <w:r>
        <w:rPr>
          <w:rFonts w:hint="eastAsia"/>
        </w:rPr>
        <w:t>通过媒体以及培训、公共辩论、小组讨论和编写宣传材料，加紧努力消除性别陈规定型观念。以下是最近开展的一些努力：</w:t>
      </w:r>
    </w:p>
    <w:p w:rsidR="00354A26" w:rsidRDefault="00354A26" w:rsidP="0034182C">
      <w:pPr>
        <w:pStyle w:val="SingleTxt"/>
        <w:ind w:left="2126" w:hanging="431"/>
      </w:pPr>
      <w:r>
        <w:rPr>
          <w:rFonts w:hint="eastAsia"/>
        </w:rPr>
        <w:sym w:font="Symbol" w:char="F0B7"/>
      </w:r>
      <w:r>
        <w:tab/>
      </w:r>
      <w:r>
        <w:rPr>
          <w:rFonts w:hint="eastAsia"/>
        </w:rPr>
        <w:t>政府通过电视广播系统地涉及这些问题，包括节目“作为一名妇女时”(古巴电视台)和“揭露”(哈瓦那运河)。</w:t>
      </w:r>
    </w:p>
    <w:p w:rsidR="00354A26" w:rsidRDefault="00354A26" w:rsidP="0034182C">
      <w:pPr>
        <w:pStyle w:val="SingleTxt"/>
        <w:ind w:left="2126" w:hanging="431"/>
        <w:rPr>
          <w:rFonts w:hint="eastAsia"/>
        </w:rPr>
      </w:pPr>
      <w:r>
        <w:rPr>
          <w:rFonts w:hint="eastAsia"/>
        </w:rPr>
        <w:sym w:font="Symbol" w:char="F0B7"/>
      </w:r>
      <w:r>
        <w:tab/>
      </w:r>
      <w:r>
        <w:rPr>
          <w:rFonts w:hint="eastAsia"/>
        </w:rPr>
        <w:t>妇女联合会、音乐学院、文化黎明之家以及美洲和非洲阳刚之气网就古巴一名著名歌手(Rochy)主办的“妇女逆潮而上”项目进行合作，旨在消除印刷中存在的性别歧视形象和歌曲中存在的负面形象。2012年，该项目对艺术教师培训学校进行了16次访问，并帮助举办两性平等讲习班，3</w:t>
      </w:r>
      <w:r>
        <w:t xml:space="preserve"> </w:t>
      </w:r>
      <w:r>
        <w:rPr>
          <w:rFonts w:hint="eastAsia"/>
        </w:rPr>
        <w:t>400多名音乐、戏剧和艺术学生参加了讲习班。</w:t>
      </w:r>
    </w:p>
    <w:p w:rsidR="00354A26" w:rsidRDefault="00354A26" w:rsidP="0034182C">
      <w:pPr>
        <w:pStyle w:val="SingleTxt"/>
        <w:ind w:left="2126" w:hanging="431"/>
        <w:rPr>
          <w:rFonts w:hint="eastAsia"/>
        </w:rPr>
      </w:pPr>
      <w:r>
        <w:sym w:font="Symbol" w:char="F0B7"/>
      </w:r>
      <w:r>
        <w:tab/>
      </w:r>
      <w:r>
        <w:rPr>
          <w:rFonts w:hint="eastAsia"/>
        </w:rPr>
        <w:t>2012年，何塞·马蒂国际新闻学院性别与传播系举办了第十届伊比利亚美洲性别与传播会议；古巴先前主办召开了其中三次区域会议，该会议每两年举行一次。</w:t>
      </w:r>
    </w:p>
    <w:p w:rsidR="00354A26" w:rsidRDefault="00354A26" w:rsidP="0034182C">
      <w:pPr>
        <w:pStyle w:val="SingleTxt"/>
        <w:ind w:left="2126" w:hanging="431"/>
        <w:rPr>
          <w:rFonts w:hint="eastAsia"/>
        </w:rPr>
      </w:pPr>
      <w:r>
        <w:rPr>
          <w:rFonts w:hint="eastAsia"/>
        </w:rPr>
        <w:sym w:font="Symbol" w:char="F0B7"/>
      </w:r>
      <w:r>
        <w:tab/>
      </w:r>
      <w:r>
        <w:rPr>
          <w:rFonts w:hint="eastAsia"/>
        </w:rPr>
        <w:t>性别与传播系还开设性别与媒体研究文凭课程，8年中，古巴有200名学生以及其他拉丁美洲和加勒比国家及西班牙有11名学生毕业于此。</w:t>
      </w:r>
    </w:p>
    <w:p w:rsidR="00354A26" w:rsidRDefault="00354A26" w:rsidP="0034182C">
      <w:pPr>
        <w:pStyle w:val="SingleTxt"/>
        <w:ind w:left="2126" w:hanging="431"/>
        <w:rPr>
          <w:rFonts w:hint="eastAsia"/>
        </w:rPr>
      </w:pPr>
      <w:r>
        <w:rPr>
          <w:rFonts w:hint="eastAsia"/>
        </w:rPr>
        <w:sym w:font="Symbol" w:char="F0B7"/>
      </w:r>
      <w:r>
        <w:tab/>
      </w:r>
      <w:r>
        <w:rPr>
          <w:rFonts w:hint="eastAsia"/>
        </w:rPr>
        <w:t>妇女联合会出版社、《妇女》编辑部为社区媒体专业人士举办了一次关于“建立对性别问题敏感的新闻业”的专题讲习班。</w:t>
      </w:r>
    </w:p>
    <w:p w:rsidR="00354A26" w:rsidRDefault="00354A26" w:rsidP="0034182C">
      <w:pPr>
        <w:pStyle w:val="SingleTxt"/>
        <w:ind w:left="2126" w:hanging="431"/>
      </w:pPr>
      <w:r>
        <w:rPr>
          <w:rFonts w:hint="eastAsia"/>
        </w:rPr>
        <w:sym w:font="Symbol" w:char="F0B7"/>
      </w:r>
      <w:r>
        <w:tab/>
      </w:r>
      <w:r>
        <w:rPr>
          <w:rFonts w:hint="eastAsia"/>
        </w:rPr>
        <w:t>每月25日，伊比利亚-美洲和非洲阳刚之气网举办制止暴力侵害妇女和女童行为橙色日，并在各省的大学举办讲习班，为年轻人举办音乐会。</w:t>
      </w:r>
    </w:p>
    <w:p w:rsidR="00354A26" w:rsidRDefault="00354A26" w:rsidP="0034182C">
      <w:pPr>
        <w:pStyle w:val="SingleTxt"/>
        <w:ind w:left="2126" w:hanging="431"/>
      </w:pPr>
      <w:r>
        <w:rPr>
          <w:rFonts w:hint="eastAsia"/>
        </w:rPr>
        <w:sym w:font="Symbol" w:char="F0B7"/>
      </w:r>
      <w:r>
        <w:tab/>
      </w:r>
      <w:r>
        <w:rPr>
          <w:rFonts w:hint="eastAsia"/>
        </w:rPr>
        <w:t>已核准妇女联合会与西班牙语基金会、MUNDUBAT、古巴媒体行政人员和(或)专业人员国家性别问题培训方案实施的联合项目，以便通过提高记者的专业操守、特别是提高地方媒体的专业操守，促进媒体的性别角度出现有意识的改变。</w:t>
      </w:r>
    </w:p>
    <w:p w:rsidR="00354A26" w:rsidRPr="00354A26" w:rsidRDefault="00354A26" w:rsidP="0034182C">
      <w:pPr>
        <w:pStyle w:val="SingleTxt"/>
        <w:rPr>
          <w:rFonts w:hAnsi="SimSun"/>
        </w:rPr>
      </w:pPr>
      <w:r>
        <w:rPr>
          <w:rFonts w:hint="eastAsia"/>
        </w:rPr>
        <w:t>23.</w:t>
      </w:r>
      <w:r>
        <w:rPr>
          <w:rFonts w:hint="eastAsia"/>
        </w:rPr>
        <w:tab/>
        <w:t>各种出版物在宣传方面发挥了积极和重要的作用，以逐步消除遗留的社会陈旧固定观念和偏见。妇女联合会出版社、《妇女》编辑部出版了各种反映古巴社会正在就性别观念进行辩论的书籍，</w:t>
      </w:r>
      <w:r w:rsidRPr="00354A26">
        <w:rPr>
          <w:rFonts w:hAnsi="SimSun" w:hint="eastAsia"/>
        </w:rPr>
        <w:t>其中包括</w:t>
      </w:r>
      <w:r w:rsidRPr="00354A26">
        <w:rPr>
          <w:rFonts w:hAnsi="SimSun"/>
        </w:rPr>
        <w:t>Julio Cesar González Pagés的 《Macho，varón，masculino》，印数达16 000册；Norma Vasallo的《Ecos distantes，voces cercanas: Miradas feministas》，印数达3 000册；Lourdes Fernández的《Género y Ciencia》，印数达1 000册；哈瓦那大学的《Desde otra perspectiva：Memorias de la Cátedra de Género》，印数达1 000册；Aloyma Ravelo 的《Sexo，amor y erotoismo》，印数达20 000册。其他出版社出版了许多期刊和书籍。</w:t>
      </w:r>
    </w:p>
    <w:p w:rsidR="00354A26" w:rsidRDefault="00354A26" w:rsidP="0034182C">
      <w:pPr>
        <w:pStyle w:val="SingleTxt"/>
        <w:rPr>
          <w:rFonts w:hint="eastAsia"/>
        </w:rPr>
      </w:pPr>
      <w:r>
        <w:rPr>
          <w:rFonts w:hint="eastAsia"/>
        </w:rPr>
        <w:t>24.</w:t>
      </w:r>
      <w:r>
        <w:rPr>
          <w:rFonts w:hint="eastAsia"/>
        </w:rPr>
        <w:tab/>
        <w:t>妇女和家庭咨询中心、妇女事务部门、《妇女》编辑部和妇女联合会努力消除这些陈旧固定观念，作为其现行工作方案的一部分。</w:t>
      </w:r>
    </w:p>
    <w:p w:rsidR="00354A26" w:rsidRDefault="00354A26" w:rsidP="0034182C">
      <w:pPr>
        <w:pStyle w:val="SingleTxt"/>
        <w:rPr>
          <w:rFonts w:hint="eastAsia"/>
        </w:rPr>
      </w:pPr>
      <w:r>
        <w:rPr>
          <w:rFonts w:hint="eastAsia"/>
        </w:rPr>
        <w:t>25.</w:t>
      </w:r>
      <w:r>
        <w:rPr>
          <w:rFonts w:hint="eastAsia"/>
        </w:rPr>
        <w:tab/>
        <w:t>关于女工生育的第234(2003)号法令规定为孕妇提供适当的保护、产前和产后带薪产假、1岁以下儿童的哺乳和育儿津贴以及无薪育儿假直到儿童满16，虽然在消除潜在的文化的陈旧固定观念方面仍有许多工作要做。</w:t>
      </w:r>
    </w:p>
    <w:p w:rsidR="00354A26" w:rsidRDefault="00354A26" w:rsidP="0034182C">
      <w:pPr>
        <w:pStyle w:val="SingleTxt"/>
        <w:rPr>
          <w:rFonts w:hint="eastAsia"/>
        </w:rPr>
      </w:pPr>
      <w:r>
        <w:rPr>
          <w:rFonts w:hint="eastAsia"/>
        </w:rPr>
        <w:t>26.</w:t>
      </w:r>
      <w:r>
        <w:rPr>
          <w:rFonts w:hint="eastAsia"/>
        </w:rPr>
        <w:tab/>
        <w:t>与父亲分享这一假期的这种创新方式表明在摒弃老式做法以及确保父母双方共同负责子女的照料和教育方面出现重大进展。但尽管法律不断进步，2009年至2012年期间只有75名男子行使这一权利。人数之少是受客观和主观因素影响的，如根深蒂固的偏见和陈旧固定观念以及在有些情况下雇主造成的障碍。</w:t>
      </w:r>
    </w:p>
    <w:p w:rsidR="00354A26" w:rsidRDefault="00354A26" w:rsidP="0034182C">
      <w:pPr>
        <w:pStyle w:val="SingleTxt"/>
      </w:pPr>
      <w:r>
        <w:rPr>
          <w:rFonts w:hint="eastAsia"/>
        </w:rPr>
        <w:t>27.</w:t>
      </w:r>
      <w:r>
        <w:rPr>
          <w:rFonts w:hint="eastAsia"/>
        </w:rPr>
        <w:tab/>
        <w:t>《产假法》不仅涵盖从事公务员工作的妇女，而且也涵盖自雇妇女，这是保护所有部门妇女的新发展。</w:t>
      </w:r>
    </w:p>
    <w:p w:rsidR="00354A26" w:rsidRDefault="00354A26" w:rsidP="0034182C">
      <w:pPr>
        <w:pStyle w:val="SingleTxt"/>
        <w:rPr>
          <w:rFonts w:hint="eastAsia"/>
        </w:rPr>
      </w:pPr>
      <w:r>
        <w:rPr>
          <w:rFonts w:hint="eastAsia"/>
        </w:rPr>
        <w:t>28.</w:t>
      </w:r>
      <w:r>
        <w:rPr>
          <w:rFonts w:hint="eastAsia"/>
        </w:rPr>
        <w:tab/>
        <w:t>另一个相关措施是正在对严重残疾儿童的母亲实施的社会保护方案：</w:t>
      </w:r>
    </w:p>
    <w:p w:rsidR="00354A26" w:rsidRPr="004E52F7" w:rsidRDefault="00354A26" w:rsidP="0034182C">
      <w:pPr>
        <w:pStyle w:val="SingleTxt"/>
        <w:rPr>
          <w:rFonts w:ascii="SimHei" w:eastAsia="SimHei" w:hint="eastAsia"/>
        </w:rPr>
      </w:pPr>
      <w:r w:rsidRPr="004E52F7">
        <w:rPr>
          <w:rFonts w:ascii="SimHei" w:eastAsia="SimHei" w:hint="eastAsia"/>
        </w:rPr>
        <w:t xml:space="preserve">严重残疾儿童的母亲 </w:t>
      </w:r>
    </w:p>
    <w:tbl>
      <w:tblPr>
        <w:tblW w:w="0" w:type="auto"/>
        <w:tblInd w:w="1260" w:type="dxa"/>
        <w:tblLayout w:type="fixed"/>
        <w:tblCellMar>
          <w:left w:w="0" w:type="dxa"/>
          <w:right w:w="0" w:type="dxa"/>
        </w:tblCellMar>
        <w:tblLook w:val="0000"/>
      </w:tblPr>
      <w:tblGrid>
        <w:gridCol w:w="2440"/>
        <w:gridCol w:w="2440"/>
        <w:gridCol w:w="2440"/>
      </w:tblGrid>
      <w:tr w:rsidR="00354A26" w:rsidRPr="004E52F7" w:rsidTr="0034182C">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354A26" w:rsidRPr="004E52F7" w:rsidRDefault="00354A26" w:rsidP="0034182C">
            <w:pPr>
              <w:tabs>
                <w:tab w:val="left" w:pos="360"/>
                <w:tab w:val="left" w:pos="720"/>
                <w:tab w:val="left" w:pos="1080"/>
                <w:tab w:val="left" w:pos="1440"/>
              </w:tabs>
              <w:suppressAutoHyphens/>
              <w:spacing w:before="60" w:after="60" w:line="200" w:lineRule="exact"/>
              <w:ind w:right="57"/>
              <w:rPr>
                <w:rFonts w:ascii="KaiTi_GB2312" w:eastAsia="KaiTi_GB2312" w:hint="eastAsia"/>
                <w:sz w:val="15"/>
              </w:rPr>
            </w:pPr>
            <w:r w:rsidRPr="004E52F7">
              <w:rPr>
                <w:rFonts w:ascii="KaiTi_GB2312" w:eastAsia="KaiTi_GB2312" w:hint="eastAsia"/>
                <w:sz w:val="15"/>
              </w:rPr>
              <w:t>暴力侵害妇女行为</w:t>
            </w:r>
          </w:p>
        </w:tc>
        <w:tc>
          <w:tcPr>
            <w:tcW w:w="2440" w:type="dxa"/>
            <w:tcBorders>
              <w:top w:val="single" w:sz="4" w:space="0" w:color="auto"/>
              <w:bottom w:val="single" w:sz="12" w:space="0" w:color="auto"/>
            </w:tcBorders>
            <w:shd w:val="clear" w:color="auto" w:fill="auto"/>
            <w:vAlign w:val="bottom"/>
          </w:tcPr>
          <w:p w:rsidR="00354A26" w:rsidRPr="004E52F7" w:rsidRDefault="00354A26" w:rsidP="0034182C">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p>
        </w:tc>
        <w:tc>
          <w:tcPr>
            <w:tcW w:w="2440" w:type="dxa"/>
            <w:tcBorders>
              <w:top w:val="single" w:sz="4" w:space="0" w:color="auto"/>
              <w:bottom w:val="single" w:sz="12" w:space="0" w:color="auto"/>
            </w:tcBorders>
            <w:shd w:val="clear" w:color="auto" w:fill="auto"/>
            <w:vAlign w:val="bottom"/>
          </w:tcPr>
          <w:p w:rsidR="00354A26" w:rsidRPr="004E52F7" w:rsidRDefault="00354A26" w:rsidP="0034182C">
            <w:pPr>
              <w:tabs>
                <w:tab w:val="left" w:pos="360"/>
                <w:tab w:val="left" w:pos="720"/>
                <w:tab w:val="left" w:pos="1080"/>
                <w:tab w:val="left" w:pos="1440"/>
              </w:tabs>
              <w:suppressAutoHyphens/>
              <w:spacing w:before="60" w:after="60" w:line="200" w:lineRule="exact"/>
              <w:ind w:right="57"/>
              <w:jc w:val="right"/>
              <w:rPr>
                <w:rFonts w:ascii="KaiTi_GB2312" w:eastAsia="KaiTi_GB2312" w:hint="eastAsia"/>
                <w:sz w:val="15"/>
              </w:rPr>
            </w:pPr>
          </w:p>
        </w:tc>
      </w:tr>
      <w:tr w:rsidR="00354A26" w:rsidRPr="004E52F7" w:rsidTr="0034182C">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354A26" w:rsidRPr="004E52F7" w:rsidRDefault="00354A26" w:rsidP="0034182C">
            <w:pPr>
              <w:tabs>
                <w:tab w:val="left" w:pos="360"/>
                <w:tab w:val="left" w:pos="720"/>
                <w:tab w:val="left" w:pos="1080"/>
                <w:tab w:val="left" w:pos="1440"/>
              </w:tabs>
              <w:suppressAutoHyphens/>
              <w:spacing w:after="60" w:line="280" w:lineRule="exact"/>
              <w:ind w:right="57"/>
              <w:rPr>
                <w:rFonts w:hint="eastAsia"/>
                <w:sz w:val="17"/>
              </w:rPr>
            </w:pPr>
          </w:p>
        </w:tc>
        <w:tc>
          <w:tcPr>
            <w:tcW w:w="2440" w:type="dxa"/>
            <w:tcBorders>
              <w:top w:val="single" w:sz="12" w:space="0" w:color="auto"/>
            </w:tcBorders>
            <w:shd w:val="clear" w:color="auto" w:fill="auto"/>
            <w:vAlign w:val="bottom"/>
          </w:tcPr>
          <w:p w:rsidR="00354A26" w:rsidRPr="004E52F7" w:rsidRDefault="00354A26" w:rsidP="0034182C">
            <w:pPr>
              <w:tabs>
                <w:tab w:val="left" w:pos="360"/>
                <w:tab w:val="left" w:pos="720"/>
                <w:tab w:val="left" w:pos="1080"/>
                <w:tab w:val="left" w:pos="1440"/>
              </w:tabs>
              <w:suppressAutoHyphens/>
              <w:spacing w:after="60" w:line="280" w:lineRule="exact"/>
              <w:ind w:right="57"/>
              <w:jc w:val="right"/>
              <w:rPr>
                <w:rFonts w:hint="eastAsia"/>
                <w:sz w:val="17"/>
              </w:rPr>
            </w:pPr>
          </w:p>
        </w:tc>
        <w:tc>
          <w:tcPr>
            <w:tcW w:w="2440" w:type="dxa"/>
            <w:tcBorders>
              <w:top w:val="single" w:sz="12" w:space="0" w:color="auto"/>
            </w:tcBorders>
            <w:shd w:val="clear" w:color="auto" w:fill="auto"/>
            <w:vAlign w:val="bottom"/>
          </w:tcPr>
          <w:p w:rsidR="00354A26" w:rsidRPr="004E52F7" w:rsidRDefault="00354A26" w:rsidP="0034182C">
            <w:pPr>
              <w:tabs>
                <w:tab w:val="left" w:pos="360"/>
                <w:tab w:val="left" w:pos="720"/>
                <w:tab w:val="left" w:pos="1080"/>
                <w:tab w:val="left" w:pos="1440"/>
              </w:tabs>
              <w:suppressAutoHyphens/>
              <w:spacing w:after="60" w:line="280" w:lineRule="exact"/>
              <w:ind w:right="57"/>
              <w:jc w:val="right"/>
              <w:rPr>
                <w:rFonts w:hint="eastAsia"/>
                <w:sz w:val="17"/>
              </w:rPr>
            </w:pPr>
          </w:p>
        </w:tc>
      </w:tr>
      <w:tr w:rsidR="00354A26" w:rsidRPr="004E52F7" w:rsidTr="0034182C">
        <w:tblPrEx>
          <w:tblCellMar>
            <w:top w:w="0" w:type="dxa"/>
            <w:bottom w:w="0" w:type="dxa"/>
          </w:tblCellMar>
        </w:tblPrEx>
        <w:tc>
          <w:tcPr>
            <w:tcW w:w="2440" w:type="dxa"/>
            <w:shd w:val="clear" w:color="auto" w:fill="auto"/>
            <w:vAlign w:val="bottom"/>
          </w:tcPr>
          <w:p w:rsidR="00354A26" w:rsidRPr="00DC17C4" w:rsidRDefault="00354A26" w:rsidP="0034182C">
            <w:pPr>
              <w:tabs>
                <w:tab w:val="left" w:pos="334"/>
                <w:tab w:val="left" w:pos="669"/>
                <w:tab w:val="left" w:pos="1003"/>
                <w:tab w:val="left" w:pos="1338"/>
              </w:tabs>
              <w:suppressAutoHyphens/>
              <w:spacing w:after="60" w:line="280" w:lineRule="exact"/>
              <w:ind w:right="57"/>
              <w:jc w:val="left"/>
              <w:rPr>
                <w:rFonts w:hint="eastAsia"/>
                <w:sz w:val="17"/>
                <w:szCs w:val="17"/>
              </w:rPr>
            </w:pPr>
            <w:r w:rsidRPr="00DC17C4">
              <w:rPr>
                <w:rFonts w:hint="eastAsia"/>
                <w:sz w:val="17"/>
                <w:szCs w:val="17"/>
              </w:rPr>
              <w:t>2010年</w:t>
            </w:r>
          </w:p>
        </w:tc>
        <w:tc>
          <w:tcPr>
            <w:tcW w:w="2440" w:type="dxa"/>
            <w:shd w:val="clear" w:color="auto" w:fill="auto"/>
            <w:vAlign w:val="bottom"/>
          </w:tcPr>
          <w:p w:rsidR="00354A26" w:rsidRPr="00DC17C4" w:rsidRDefault="00354A26" w:rsidP="0034182C">
            <w:pPr>
              <w:tabs>
                <w:tab w:val="left" w:pos="334"/>
                <w:tab w:val="left" w:pos="669"/>
                <w:tab w:val="left" w:pos="1003"/>
                <w:tab w:val="left" w:pos="1338"/>
              </w:tabs>
              <w:suppressAutoHyphens/>
              <w:spacing w:after="60" w:line="280" w:lineRule="exact"/>
              <w:ind w:right="57"/>
              <w:jc w:val="right"/>
              <w:rPr>
                <w:rFonts w:hint="eastAsia"/>
                <w:sz w:val="17"/>
                <w:szCs w:val="17"/>
              </w:rPr>
            </w:pPr>
            <w:r w:rsidRPr="00DC17C4">
              <w:rPr>
                <w:rFonts w:hint="eastAsia"/>
                <w:sz w:val="17"/>
                <w:szCs w:val="17"/>
              </w:rPr>
              <w:t>2011年</w:t>
            </w:r>
          </w:p>
        </w:tc>
        <w:tc>
          <w:tcPr>
            <w:tcW w:w="2440" w:type="dxa"/>
            <w:shd w:val="clear" w:color="auto" w:fill="auto"/>
            <w:vAlign w:val="bottom"/>
          </w:tcPr>
          <w:p w:rsidR="00354A26" w:rsidRPr="00DC17C4" w:rsidRDefault="00354A26" w:rsidP="0034182C">
            <w:pPr>
              <w:tabs>
                <w:tab w:val="left" w:pos="334"/>
                <w:tab w:val="left" w:pos="669"/>
                <w:tab w:val="left" w:pos="1003"/>
                <w:tab w:val="left" w:pos="1338"/>
              </w:tabs>
              <w:suppressAutoHyphens/>
              <w:spacing w:after="60" w:line="280" w:lineRule="exact"/>
              <w:ind w:right="57"/>
              <w:jc w:val="right"/>
              <w:rPr>
                <w:rFonts w:hint="eastAsia"/>
                <w:sz w:val="17"/>
                <w:szCs w:val="17"/>
              </w:rPr>
            </w:pPr>
            <w:r w:rsidRPr="00DC17C4">
              <w:rPr>
                <w:rFonts w:hint="eastAsia"/>
                <w:sz w:val="17"/>
                <w:szCs w:val="17"/>
              </w:rPr>
              <w:t>2012年</w:t>
            </w:r>
          </w:p>
        </w:tc>
      </w:tr>
      <w:tr w:rsidR="00354A26" w:rsidRPr="004E52F7" w:rsidTr="0034182C">
        <w:tblPrEx>
          <w:tblCellMar>
            <w:top w:w="0" w:type="dxa"/>
            <w:bottom w:w="0" w:type="dxa"/>
          </w:tblCellMar>
        </w:tblPrEx>
        <w:tc>
          <w:tcPr>
            <w:tcW w:w="2440" w:type="dxa"/>
            <w:tcBorders>
              <w:bottom w:val="single" w:sz="12" w:space="0" w:color="auto"/>
            </w:tcBorders>
            <w:shd w:val="clear" w:color="auto" w:fill="auto"/>
            <w:vAlign w:val="bottom"/>
          </w:tcPr>
          <w:p w:rsidR="00354A26" w:rsidRPr="00DC17C4" w:rsidRDefault="00354A26" w:rsidP="0034182C">
            <w:pPr>
              <w:tabs>
                <w:tab w:val="left" w:pos="334"/>
                <w:tab w:val="left" w:pos="669"/>
                <w:tab w:val="left" w:pos="1003"/>
                <w:tab w:val="left" w:pos="1338"/>
              </w:tabs>
              <w:suppressAutoHyphens/>
              <w:spacing w:after="60" w:line="280" w:lineRule="exact"/>
              <w:ind w:right="57"/>
              <w:jc w:val="left"/>
              <w:rPr>
                <w:rFonts w:hint="eastAsia"/>
                <w:sz w:val="17"/>
                <w:szCs w:val="17"/>
              </w:rPr>
            </w:pPr>
            <w:r w:rsidRPr="00DC17C4">
              <w:rPr>
                <w:sz w:val="17"/>
                <w:szCs w:val="17"/>
              </w:rPr>
              <w:t>4 630</w:t>
            </w:r>
          </w:p>
        </w:tc>
        <w:tc>
          <w:tcPr>
            <w:tcW w:w="2440" w:type="dxa"/>
            <w:tcBorders>
              <w:bottom w:val="single" w:sz="12" w:space="0" w:color="auto"/>
            </w:tcBorders>
            <w:shd w:val="clear" w:color="auto" w:fill="auto"/>
            <w:vAlign w:val="bottom"/>
          </w:tcPr>
          <w:p w:rsidR="00354A26" w:rsidRPr="00DC17C4" w:rsidRDefault="00354A26" w:rsidP="0034182C">
            <w:pPr>
              <w:tabs>
                <w:tab w:val="left" w:pos="334"/>
                <w:tab w:val="left" w:pos="669"/>
                <w:tab w:val="left" w:pos="1003"/>
                <w:tab w:val="left" w:pos="1338"/>
              </w:tabs>
              <w:suppressAutoHyphens/>
              <w:spacing w:after="60" w:line="280" w:lineRule="exact"/>
              <w:ind w:right="57"/>
              <w:jc w:val="right"/>
              <w:rPr>
                <w:rFonts w:hint="eastAsia"/>
                <w:sz w:val="17"/>
                <w:szCs w:val="17"/>
              </w:rPr>
            </w:pPr>
            <w:r w:rsidRPr="00DC17C4">
              <w:rPr>
                <w:sz w:val="17"/>
                <w:szCs w:val="17"/>
              </w:rPr>
              <w:t>4 231</w:t>
            </w:r>
          </w:p>
        </w:tc>
        <w:tc>
          <w:tcPr>
            <w:tcW w:w="2440" w:type="dxa"/>
            <w:tcBorders>
              <w:bottom w:val="single" w:sz="12" w:space="0" w:color="auto"/>
            </w:tcBorders>
            <w:shd w:val="clear" w:color="auto" w:fill="auto"/>
            <w:vAlign w:val="bottom"/>
          </w:tcPr>
          <w:p w:rsidR="00354A26" w:rsidRPr="00DC17C4" w:rsidRDefault="00354A26" w:rsidP="0034182C">
            <w:pPr>
              <w:tabs>
                <w:tab w:val="left" w:pos="334"/>
                <w:tab w:val="left" w:pos="669"/>
                <w:tab w:val="left" w:pos="1003"/>
                <w:tab w:val="left" w:pos="1338"/>
              </w:tabs>
              <w:suppressAutoHyphens/>
              <w:spacing w:after="60" w:line="280" w:lineRule="exact"/>
              <w:ind w:right="57"/>
              <w:jc w:val="right"/>
              <w:rPr>
                <w:rFonts w:hint="eastAsia"/>
                <w:sz w:val="17"/>
                <w:szCs w:val="17"/>
              </w:rPr>
            </w:pPr>
            <w:r w:rsidRPr="00DC17C4">
              <w:rPr>
                <w:sz w:val="17"/>
                <w:szCs w:val="17"/>
              </w:rPr>
              <w:t>4 366</w:t>
            </w:r>
          </w:p>
        </w:tc>
      </w:tr>
    </w:tbl>
    <w:p w:rsidR="00354A26" w:rsidRPr="004E52F7" w:rsidRDefault="00354A26" w:rsidP="0034182C">
      <w:pPr>
        <w:pStyle w:val="SingleTxt"/>
        <w:spacing w:after="0" w:line="120" w:lineRule="exact"/>
        <w:rPr>
          <w:rFonts w:hint="eastAsia"/>
          <w:sz w:val="10"/>
        </w:rPr>
      </w:pPr>
    </w:p>
    <w:p w:rsidR="00354A26" w:rsidRPr="00DC17C4" w:rsidRDefault="00354A26" w:rsidP="0034182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354A26" w:rsidRDefault="00354A26" w:rsidP="0034182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Pr>
          <w:rFonts w:hint="eastAsia"/>
        </w:rPr>
        <w:t>7.</w:t>
      </w:r>
      <w:r>
        <w:tab/>
      </w:r>
      <w:r>
        <w:rPr>
          <w:rFonts w:hint="eastAsia"/>
        </w:rPr>
        <w:t>提高对暴力侵害妇女行为问题认识的运动</w:t>
      </w:r>
    </w:p>
    <w:p w:rsidR="00354A26" w:rsidRPr="00A262B6" w:rsidRDefault="00354A26" w:rsidP="0034182C">
      <w:pPr>
        <w:pStyle w:val="SingleTxt"/>
        <w:spacing w:after="0" w:line="120" w:lineRule="exact"/>
        <w:rPr>
          <w:rFonts w:hint="eastAsia"/>
          <w:sz w:val="10"/>
        </w:rPr>
      </w:pPr>
    </w:p>
    <w:p w:rsidR="00354A26" w:rsidRDefault="00354A26" w:rsidP="0034182C">
      <w:pPr>
        <w:pStyle w:val="SingleTxt"/>
        <w:rPr>
          <w:rFonts w:hint="eastAsia"/>
        </w:rPr>
      </w:pPr>
      <w:r>
        <w:rPr>
          <w:rFonts w:hint="eastAsia"/>
        </w:rPr>
        <w:t>29.</w:t>
      </w:r>
      <w:r>
        <w:tab/>
      </w:r>
      <w:r>
        <w:rPr>
          <w:rFonts w:hint="eastAsia"/>
        </w:rPr>
        <w:t xml:space="preserve">公共卫生部、教育部、高等教育部、内政部、司法部、古巴广播电视研究所、最高人民法院、检察长办公室、国家性教育中心与妇女研究中心合作，提高人们对虐待和暴力侵害妇女行为的认识。 </w:t>
      </w:r>
    </w:p>
    <w:p w:rsidR="00354A26" w:rsidRDefault="00354A26" w:rsidP="0034182C">
      <w:pPr>
        <w:pStyle w:val="SingleTxt"/>
      </w:pPr>
      <w:r>
        <w:rPr>
          <w:rFonts w:hint="eastAsia"/>
        </w:rPr>
        <w:t>30.</w:t>
      </w:r>
      <w:r>
        <w:tab/>
      </w:r>
      <w:r>
        <w:rPr>
          <w:rFonts w:hint="eastAsia"/>
        </w:rPr>
        <w:t xml:space="preserve">古巴全国法学家联盟、妇女联合会和哈瓦那大学法律系采取重大的联合举措，专门为提高人们对这些问题的认识，并向律师和法律专业学生提供相关培训。 </w:t>
      </w:r>
    </w:p>
    <w:p w:rsidR="00354A26" w:rsidRDefault="00354A26" w:rsidP="0034182C">
      <w:pPr>
        <w:pStyle w:val="SingleTxt"/>
        <w:rPr>
          <w:rFonts w:hint="eastAsia"/>
        </w:rPr>
      </w:pPr>
      <w:r>
        <w:rPr>
          <w:rFonts w:hint="eastAsia"/>
        </w:rPr>
        <w:t>31.</w:t>
      </w:r>
      <w:r>
        <w:tab/>
      </w:r>
      <w:r>
        <w:rPr>
          <w:rFonts w:hint="eastAsia"/>
        </w:rPr>
        <w:t xml:space="preserve">在过去两年里，与联合国开发计划署(开发署)、联合国人口基金(人口基金)以及非政府组织牛津救济会合作实施一个项目，以便更多地了解和诉诸《公约》以及促进提高妇女地位及两性平等的其他联合国文书，支持和加强在古巴执行这些文书。该项目产生了显著的影响：数百名法学家参加了有关性别与权利的研究生课程；第三次开办调解、性别和家庭方面的学位课程；开发了通信工具；正为二年级学生本科生开设“性别与法律”专题选修课程。 </w:t>
      </w:r>
    </w:p>
    <w:p w:rsidR="00354A26" w:rsidRDefault="00354A26" w:rsidP="0034182C">
      <w:pPr>
        <w:pStyle w:val="SingleTxt"/>
        <w:rPr>
          <w:rFonts w:hint="eastAsia"/>
        </w:rPr>
      </w:pPr>
      <w:r>
        <w:rPr>
          <w:rFonts w:hint="eastAsia"/>
        </w:rPr>
        <w:t>32.</w:t>
      </w:r>
      <w:r>
        <w:tab/>
      </w:r>
      <w:r>
        <w:rPr>
          <w:rFonts w:hint="eastAsia"/>
        </w:rPr>
        <w:t xml:space="preserve">大力促进和支持古巴妇女与男子一起参与联合国秘书长2008年在消除暴力侵害妇女行为国际日框架内发起的制止暴力侵害妇女行为联合运动的各项活动。 </w:t>
      </w:r>
    </w:p>
    <w:p w:rsidR="00354A26" w:rsidRDefault="00354A26" w:rsidP="00354A26">
      <w:pPr>
        <w:pStyle w:val="SingleTxt"/>
        <w:spacing w:line="310" w:lineRule="exact"/>
        <w:rPr>
          <w:rFonts w:hint="eastAsia"/>
        </w:rPr>
      </w:pPr>
      <w:r>
        <w:rPr>
          <w:rFonts w:hint="eastAsia"/>
        </w:rPr>
        <w:t>33.</w:t>
      </w:r>
      <w:r>
        <w:tab/>
      </w:r>
      <w:r>
        <w:rPr>
          <w:rFonts w:hint="eastAsia"/>
        </w:rPr>
        <w:t xml:space="preserve">2012年这一天的庆祝活动不同寻常，活动一直持续到12月10日国际人权日，最后以妇女世界步行古巴分会举办全国性活动作为国际24小时女权行动的一部分告终。这次活动高潮时共举办70多项活动，其中包括在古巴各地举办讲习班、步行、恐怖主义和人权侵犯的受害者的诉说、妇女法庭、文化活动以及其他许多妇女活动。 </w:t>
      </w:r>
    </w:p>
    <w:p w:rsidR="00354A26" w:rsidRDefault="00354A26" w:rsidP="00354A26">
      <w:pPr>
        <w:pStyle w:val="SingleTxt"/>
        <w:spacing w:line="310" w:lineRule="exact"/>
      </w:pPr>
      <w:r>
        <w:rPr>
          <w:rFonts w:hint="eastAsia"/>
        </w:rPr>
        <w:t>34.</w:t>
      </w:r>
      <w:r>
        <w:tab/>
      </w:r>
      <w:r>
        <w:rPr>
          <w:rFonts w:hint="eastAsia"/>
        </w:rPr>
        <w:t xml:space="preserve">这次庆祝的主要活动包括：关于媒体报道性别暴力行为的新闻记者讲习班、哈瓦那总改造讲习班、国家交响乐团世界艾滋病日妇女专场音乐会以及在意大利文化节框架内举办的关于性别暴力主题的第二场此类音乐会。此外，文化部合作推动举办各项活动，作为制止暴力侵害妇女行为联合运动的一部分，参加活动的包括古巴和外国的主要表演者，如Raúl Torres和墨西哥人Julieta Venegas。还特地为官员、专家和专业人士、社区领袖和活动家、社会团体和组织的代表以及妇女联合会的官员举办了讨论讲习班、科学活动和培训课程。 </w:t>
      </w:r>
    </w:p>
    <w:p w:rsidR="00354A26" w:rsidRDefault="00354A26" w:rsidP="00354A26">
      <w:pPr>
        <w:pStyle w:val="SingleTxt"/>
        <w:spacing w:line="310" w:lineRule="exact"/>
        <w:rPr>
          <w:rFonts w:hint="eastAsia"/>
        </w:rPr>
      </w:pPr>
      <w:r>
        <w:rPr>
          <w:rFonts w:hint="eastAsia"/>
        </w:rPr>
        <w:t>35.</w:t>
      </w:r>
      <w:r>
        <w:tab/>
      </w:r>
      <w:r>
        <w:rPr>
          <w:rFonts w:hint="eastAsia"/>
        </w:rPr>
        <w:t xml:space="preserve">全国各地174个妇女和家庭咨询中心向到访这些机构的受害者以及社区中查明的其他人提供援助和咨询。已设立监测登记处来确保对已采取的措施进行适当的后续和系统评估，并逐案提供进展评估。合作者、社会工作者、辅导员、家庭医护专业的性治疗师、检察长办公室的各公民权利单位以及心理健康中心的专家提供小组和个别咨询辅导。妇女联合会的专家就《刑法》修正案提供有用的评价。 </w:t>
      </w:r>
    </w:p>
    <w:p w:rsidR="00354A26" w:rsidRDefault="00354A26" w:rsidP="00354A26">
      <w:pPr>
        <w:pStyle w:val="SingleTxt"/>
        <w:spacing w:line="310" w:lineRule="exact"/>
        <w:rPr>
          <w:rFonts w:hint="eastAsia"/>
        </w:rPr>
      </w:pPr>
      <w:r>
        <w:rPr>
          <w:rFonts w:hint="eastAsia"/>
        </w:rPr>
        <w:t>36.</w:t>
      </w:r>
      <w:r>
        <w:tab/>
      </w:r>
      <w:r>
        <w:rPr>
          <w:rFonts w:hint="eastAsia"/>
        </w:rPr>
        <w:t xml:space="preserve">国家性教育中心提供法律指导服务，其中包括治疗、指导以及在某些情况下为各种受人权侵犯的报告者提供机构支持。收集到的信息提供有关各种不同形式暴力以及各种暴力的具体特点的数据。虽然这些服务不能被视为官方机制，但却因此有机会收集到大力有关这些案件的报告。 </w:t>
      </w:r>
    </w:p>
    <w:p w:rsidR="00354A26" w:rsidRDefault="00354A26" w:rsidP="00354A26">
      <w:pPr>
        <w:pStyle w:val="SingleTxt"/>
        <w:spacing w:line="310" w:lineRule="exact"/>
      </w:pPr>
      <w:r>
        <w:rPr>
          <w:rFonts w:hint="eastAsia"/>
        </w:rPr>
        <w:t>37.</w:t>
      </w:r>
      <w:r>
        <w:tab/>
      </w:r>
      <w:r>
        <w:rPr>
          <w:rFonts w:hint="eastAsia"/>
        </w:rPr>
        <w:t>古巴的专业法官自身在查明、防止和消除各类司法诉讼中出现或可能出现的任何形式的暴力或歧视方面不断接受培训。</w:t>
      </w:r>
    </w:p>
    <w:p w:rsidR="00354A26" w:rsidRDefault="00354A26" w:rsidP="0034182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Pr>
          <w:rFonts w:hint="eastAsia"/>
        </w:rPr>
        <w:t>8.</w:t>
      </w:r>
      <w:r>
        <w:tab/>
      </w:r>
      <w:r>
        <w:rPr>
          <w:rFonts w:hint="eastAsia"/>
        </w:rPr>
        <w:t>暴力受害者与施暴者的护理</w:t>
      </w:r>
    </w:p>
    <w:p w:rsidR="00354A26" w:rsidRPr="004E52F7" w:rsidRDefault="00354A26" w:rsidP="0034182C">
      <w:pPr>
        <w:pStyle w:val="SingleTxt"/>
        <w:spacing w:after="0" w:line="120" w:lineRule="exact"/>
        <w:rPr>
          <w:rFonts w:hint="eastAsia"/>
          <w:sz w:val="10"/>
        </w:rPr>
      </w:pPr>
    </w:p>
    <w:p w:rsidR="00354A26" w:rsidRDefault="00354A26" w:rsidP="0034182C">
      <w:pPr>
        <w:pStyle w:val="SingleTxt"/>
        <w:rPr>
          <w:rFonts w:hint="eastAsia"/>
        </w:rPr>
      </w:pPr>
      <w:r>
        <w:rPr>
          <w:rFonts w:hint="eastAsia"/>
        </w:rPr>
        <w:t>38.</w:t>
      </w:r>
      <w:r>
        <w:tab/>
      </w:r>
      <w:r>
        <w:rPr>
          <w:rFonts w:hint="eastAsia"/>
        </w:rPr>
        <w:t xml:space="preserve">预防和处理家庭暴力的主要障碍是普遍长期存在的陈旧固定观念。因此，除了在古巴实施的政策和方案之外，还应重视提高官员、专家和公众的意识，并为其提供培训。 </w:t>
      </w:r>
    </w:p>
    <w:p w:rsidR="00354A26" w:rsidRDefault="00354A26" w:rsidP="0034182C">
      <w:pPr>
        <w:pStyle w:val="SingleTxt"/>
        <w:rPr>
          <w:rFonts w:hint="eastAsia"/>
        </w:rPr>
      </w:pPr>
      <w:r>
        <w:rPr>
          <w:rFonts w:hint="eastAsia"/>
        </w:rPr>
        <w:t>39.</w:t>
      </w:r>
      <w:r>
        <w:tab/>
      </w:r>
      <w:r>
        <w:rPr>
          <w:rFonts w:hint="eastAsia"/>
        </w:rPr>
        <w:t xml:space="preserve">暴力受害者从其受到攻击时求救的健康中心、特别是遍布全国各地的心理健康中心及妇女和家庭咨询辅导中心接受专业的医疗和心理护理，这些中心所配备的许多专家都是志愿者。施暴者也在这两个中心以及妇女和家庭咨询辅导中心接受护理和治疗，越来越多的男子寻求向这些中心获得护理和治疗。市政的公民权利检察官积极与这些中心合作，为前来求助的人提供法律指导。 </w:t>
      </w:r>
    </w:p>
    <w:p w:rsidR="00354A26" w:rsidRDefault="00354A26" w:rsidP="0034182C">
      <w:pPr>
        <w:pStyle w:val="SingleTxt"/>
        <w:rPr>
          <w:rFonts w:hint="eastAsia"/>
        </w:rPr>
      </w:pPr>
      <w:r>
        <w:rPr>
          <w:rFonts w:hint="eastAsia"/>
        </w:rPr>
        <w:t>40.</w:t>
      </w:r>
      <w:r>
        <w:tab/>
      </w:r>
      <w:r>
        <w:rPr>
          <w:rFonts w:hint="eastAsia"/>
        </w:rPr>
        <w:t xml:space="preserve">国家性教育中心有专门处理以下领域问题的两个办事处：一个处理暴力侵害妇女案件，另一个处理作为儿童性虐待受害者的儿童和青少年问题。儿童和青少年保护中心还设有专门办事处，在内政部儿童事务司下运作。 </w:t>
      </w:r>
    </w:p>
    <w:p w:rsidR="00354A26" w:rsidRDefault="00354A26" w:rsidP="0034182C">
      <w:pPr>
        <w:pStyle w:val="SingleTxt"/>
        <w:rPr>
          <w:rFonts w:hint="eastAsia"/>
        </w:rPr>
      </w:pPr>
      <w:r>
        <w:rPr>
          <w:rFonts w:hint="eastAsia"/>
        </w:rPr>
        <w:t>41.</w:t>
      </w:r>
      <w:r>
        <w:tab/>
      </w:r>
      <w:r>
        <w:rPr>
          <w:rFonts w:hint="eastAsia"/>
        </w:rPr>
        <w:t xml:space="preserve">国家革命警察派出所内设有接受和处理有关暴力侵害妇女投诉的各种机构。执法人员和接受此类投诉的官员都接受过适当的培训，都会本着所需的专业精神处理投诉。此外，《刑法》确保暴力侵害妇女罪行将受到相应的处罚，并确保受害者得到保护。 </w:t>
      </w:r>
    </w:p>
    <w:p w:rsidR="00354A26" w:rsidRDefault="00354A26" w:rsidP="0034182C">
      <w:pPr>
        <w:pStyle w:val="SingleTxt"/>
        <w:rPr>
          <w:rFonts w:hint="eastAsia"/>
        </w:rPr>
      </w:pPr>
      <w:r>
        <w:rPr>
          <w:rFonts w:hint="eastAsia"/>
        </w:rPr>
        <w:t>42.</w:t>
      </w:r>
      <w:r>
        <w:tab/>
      </w:r>
      <w:r>
        <w:rPr>
          <w:rFonts w:hint="eastAsia"/>
        </w:rPr>
        <w:t xml:space="preserve">妇女联合会针对女性领导者、社会工作者和卫生保健志愿工作者开展培训活动。努力查明家庭暴力案件，不仅为个人提供有关权利、报案程序和咨询服务的信息，而且为团体以及有复杂社会背景的暴力倾向家庭、社区、工作和学习场所以及沙文主义是根深蒂固的农村地区提供信息。在女子监狱中也涉及这个问题。预防和处理家庭暴力问题工作组在预防和处理家庭暴力问题方面发挥关键作用。 </w:t>
      </w:r>
    </w:p>
    <w:p w:rsidR="00354A26" w:rsidRDefault="00354A26" w:rsidP="0034182C">
      <w:pPr>
        <w:pStyle w:val="SingleTxt"/>
        <w:rPr>
          <w:rFonts w:hint="eastAsia"/>
        </w:rPr>
      </w:pPr>
      <w:r>
        <w:rPr>
          <w:rFonts w:hint="eastAsia"/>
        </w:rPr>
        <w:t>43.</w:t>
      </w:r>
      <w:r>
        <w:tab/>
      </w:r>
      <w:r>
        <w:rPr>
          <w:rFonts w:hint="eastAsia"/>
        </w:rPr>
        <w:t xml:space="preserve">关于家庭暴力和采取措施确保法律制度采用预防和教育办法的研究结果，正在不断完善现有的立法，特别是在预防办法方面。然而，研究结果尚未表明制订这方面具体立法的可行性。 </w:t>
      </w:r>
    </w:p>
    <w:p w:rsidR="00354A26" w:rsidRDefault="00354A26" w:rsidP="0034182C">
      <w:pPr>
        <w:pStyle w:val="SingleTxt"/>
        <w:rPr>
          <w:rFonts w:hint="eastAsia"/>
        </w:rPr>
      </w:pPr>
      <w:r>
        <w:rPr>
          <w:rFonts w:hint="eastAsia"/>
        </w:rPr>
        <w:t>44.</w:t>
      </w:r>
      <w:r>
        <w:tab/>
      </w:r>
      <w:r>
        <w:rPr>
          <w:rFonts w:hint="eastAsia"/>
        </w:rPr>
        <w:t xml:space="preserve">无论如何，从实质性和程序性角度来看，在起草新立法时反思暴力问题显然是值得的，立法趋势是朝着这个方向发展的。该计划会将这一办法纳入到《劳动法》和《刑法》的修正案中，并纳入《家庭法》修正案中。拟议修正案符合第19号一般性建议中所载各项建议，须经主管机构批准。 </w:t>
      </w:r>
    </w:p>
    <w:p w:rsidR="00354A26" w:rsidRDefault="00354A26" w:rsidP="0034182C">
      <w:pPr>
        <w:pStyle w:val="SingleTxt"/>
        <w:rPr>
          <w:rFonts w:hint="eastAsia"/>
        </w:rPr>
      </w:pPr>
      <w:r>
        <w:rPr>
          <w:rFonts w:hint="eastAsia"/>
        </w:rPr>
        <w:t>45.</w:t>
      </w:r>
      <w:r>
        <w:tab/>
      </w:r>
      <w:r>
        <w:rPr>
          <w:rFonts w:hint="eastAsia"/>
        </w:rPr>
        <w:t xml:space="preserve">还有必要扩大和加强为教育、卫生、司法和社区机构的工作人员提供培训，并以多学科办法设立专门服务，改进对受害者的治疗。 </w:t>
      </w:r>
    </w:p>
    <w:p w:rsidR="00354A26" w:rsidRDefault="00354A26" w:rsidP="0034182C">
      <w:pPr>
        <w:pStyle w:val="SingleTxt"/>
        <w:rPr>
          <w:rFonts w:hint="eastAsia"/>
        </w:rPr>
      </w:pPr>
      <w:r>
        <w:rPr>
          <w:rFonts w:hint="eastAsia"/>
        </w:rPr>
        <w:t>46.</w:t>
      </w:r>
      <w:r>
        <w:tab/>
      </w:r>
      <w:r>
        <w:rPr>
          <w:rFonts w:hint="eastAsia"/>
        </w:rPr>
        <w:t xml:space="preserve">在近几年开展的行动中，特别值得一提的是最高人民法院理事会2007年12月实施的第187号指示。该指示设立专门法庭审理家庭案件，由专门法官在妇女联合会协调的多学科技术咨询小组的支持下进行审理。这对努力加强家庭司法产生了积极的影响，使之有可能查明暴力案件，并通过联合会的妇女和家庭咨询中心移交案件进行特别处理，或在必要时将案件移交刑事司法系统。 </w:t>
      </w:r>
    </w:p>
    <w:p w:rsidR="00354A26" w:rsidRDefault="00354A26" w:rsidP="0034182C">
      <w:pPr>
        <w:pStyle w:val="SingleTxt"/>
        <w:rPr>
          <w:rFonts w:hint="eastAsia"/>
        </w:rPr>
      </w:pPr>
      <w:r>
        <w:rPr>
          <w:rFonts w:hint="eastAsia"/>
        </w:rPr>
        <w:t>47.</w:t>
      </w:r>
      <w:r>
        <w:tab/>
      </w:r>
      <w:r>
        <w:rPr>
          <w:rFonts w:hint="eastAsia"/>
        </w:rPr>
        <w:t xml:space="preserve">2012年5月17日，古巴各法院在这一方面的经验产生最高人民法院理事会批准第216号指示，这是在确保家庭司法高质量方面迈出重要的一步。 </w:t>
      </w:r>
    </w:p>
    <w:p w:rsidR="00354A26" w:rsidRDefault="00354A26" w:rsidP="0034182C">
      <w:pPr>
        <w:pStyle w:val="SingleTxt"/>
        <w:rPr>
          <w:rFonts w:hint="eastAsia"/>
        </w:rPr>
      </w:pPr>
      <w:r>
        <w:rPr>
          <w:rFonts w:hint="eastAsia"/>
        </w:rPr>
        <w:t>48.</w:t>
      </w:r>
      <w:r>
        <w:tab/>
      </w:r>
      <w:r>
        <w:rPr>
          <w:rFonts w:hint="eastAsia"/>
        </w:rPr>
        <w:t xml:space="preserve">该指示的第三个“鉴于条款”规定并包含有关根据《民事、行政、劳工及经济程序法》第42条规定出庭的各方面；传唤有合法权益的第三方的诉讼时间点；审理未成年人的程序；公诉机关的作用；多学科小组在各地建立和运作的程序。其中还要求建立机制，确保遵守通过具体预防制度作出最终司法裁决规定的义务，这种预防制度包括非正式法庭诉讼程序、有关各方的申请及鉴于要保护的利益的性质可能采取的紧急羁押措施以及强制执行根据对现有制度进行整体协调考虑而作出的最后裁决的具体规定。 </w:t>
      </w:r>
    </w:p>
    <w:p w:rsidR="00354A26" w:rsidRDefault="00354A26" w:rsidP="0034182C">
      <w:pPr>
        <w:pStyle w:val="SingleTxt"/>
      </w:pPr>
      <w:r>
        <w:rPr>
          <w:rFonts w:hint="eastAsia"/>
        </w:rPr>
        <w:t>49.</w:t>
      </w:r>
      <w:r>
        <w:tab/>
      </w:r>
      <w:r>
        <w:rPr>
          <w:rFonts w:hint="eastAsia"/>
        </w:rPr>
        <w:t>法院可依职或按各方要求采取、且有助于遏制家事法庭审判中查明的家庭暴力情况的一些预防措施如下：</w:t>
      </w:r>
      <w:r>
        <w:rPr>
          <w:rFonts w:hAnsi="SimSun" w:hint="eastAsia"/>
        </w:rPr>
        <w:t>㈠</w:t>
      </w:r>
      <w:r>
        <w:t xml:space="preserve"> </w:t>
      </w:r>
      <w:r>
        <w:rPr>
          <w:rFonts w:hint="eastAsia"/>
        </w:rPr>
        <w:t>送回儿童加以管束；</w:t>
      </w:r>
      <w:r>
        <w:rPr>
          <w:rFonts w:hAnsi="SimSun" w:hint="eastAsia"/>
        </w:rPr>
        <w:t>㈡</w:t>
      </w:r>
      <w:r>
        <w:t xml:space="preserve"> </w:t>
      </w:r>
      <w:r>
        <w:rPr>
          <w:rFonts w:hint="eastAsia"/>
        </w:rPr>
        <w:t>禁止或授权改变儿童的常居处；</w:t>
      </w:r>
      <w:r>
        <w:rPr>
          <w:rFonts w:hAnsi="SimSun" w:hint="eastAsia"/>
        </w:rPr>
        <w:t>㈢</w:t>
      </w:r>
      <w:r>
        <w:t xml:space="preserve"> </w:t>
      </w:r>
      <w:r>
        <w:rPr>
          <w:rFonts w:hint="eastAsia"/>
        </w:rPr>
        <w:t>裁决在法庭诉讼期间由父母、祖父母或在特殊情况下由其他监护人临时看管儿童；</w:t>
      </w:r>
      <w:r>
        <w:rPr>
          <w:rFonts w:hAnsi="SimSun" w:hint="eastAsia"/>
        </w:rPr>
        <w:t>㈣</w:t>
      </w:r>
      <w:r>
        <w:t xml:space="preserve"> </w:t>
      </w:r>
      <w:r>
        <w:rPr>
          <w:rFonts w:hint="eastAsia"/>
        </w:rPr>
        <w:t>强制儿童、父母或其他人参与教育或治疗方案或医疗、心理或精神治疗；</w:t>
      </w:r>
      <w:r>
        <w:rPr>
          <w:rFonts w:hAnsi="SimSun" w:hint="eastAsia"/>
        </w:rPr>
        <w:t>㈤</w:t>
      </w:r>
      <w:r>
        <w:t xml:space="preserve"> </w:t>
      </w:r>
      <w:r>
        <w:rPr>
          <w:rFonts w:hint="eastAsia"/>
        </w:rPr>
        <w:t>禁止进入家庭、工作或学习场所以及家庭中有成员经常光顾的其他场所，以防止可能对家庭中任何成员作出身体或心理的伤害。</w:t>
      </w:r>
    </w:p>
    <w:p w:rsidR="00354A26" w:rsidRPr="00A262B6" w:rsidRDefault="00354A26" w:rsidP="0034182C">
      <w:pPr>
        <w:pStyle w:val="SingleTxt"/>
      </w:pPr>
      <w:r>
        <w:rPr>
          <w:rFonts w:hint="eastAsia"/>
        </w:rPr>
        <w:t>50.</w:t>
      </w:r>
      <w:r>
        <w:tab/>
      </w:r>
      <w:r>
        <w:rPr>
          <w:rFonts w:hint="eastAsia"/>
        </w:rPr>
        <w:t>在涉及家庭暴力的妇女或儿童的受害者的刑事诉讼中，司法程序有避免双重受害的解决办法。</w:t>
      </w:r>
    </w:p>
    <w:p w:rsidR="00354A26" w:rsidRPr="00A262B6" w:rsidRDefault="00354A26" w:rsidP="0034182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sidRPr="00A262B6">
        <w:rPr>
          <w:rFonts w:hint="eastAsia"/>
        </w:rPr>
        <w:t>贩运人口和利用妇女卖淫营利</w:t>
      </w:r>
    </w:p>
    <w:p w:rsidR="00354A26" w:rsidRPr="00A262B6" w:rsidRDefault="00354A26" w:rsidP="0034182C">
      <w:pPr>
        <w:pStyle w:val="SingleTxt"/>
        <w:spacing w:after="0" w:line="120" w:lineRule="exact"/>
        <w:rPr>
          <w:sz w:val="10"/>
        </w:rPr>
      </w:pPr>
    </w:p>
    <w:p w:rsidR="00354A26" w:rsidRDefault="00354A26" w:rsidP="0034182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imes New Roman"/>
        </w:rPr>
      </w:pPr>
      <w:r>
        <w:tab/>
      </w:r>
      <w:r>
        <w:rPr>
          <w:rFonts w:hint="eastAsia"/>
        </w:rPr>
        <w:t>9.</w:t>
      </w:r>
      <w:r>
        <w:tab/>
      </w:r>
      <w:r>
        <w:rPr>
          <w:rFonts w:hint="eastAsia"/>
        </w:rPr>
        <w:t>采取措施预防和打击贩运妇女和女童</w:t>
      </w:r>
    </w:p>
    <w:p w:rsidR="00354A26" w:rsidRPr="00354A26" w:rsidRDefault="00354A26" w:rsidP="00354A26">
      <w:pPr>
        <w:pStyle w:val="SingleTxt"/>
        <w:spacing w:after="0" w:line="120" w:lineRule="exact"/>
        <w:rPr>
          <w:rFonts w:hint="eastAsia"/>
          <w:sz w:val="10"/>
        </w:rPr>
      </w:pPr>
    </w:p>
    <w:p w:rsidR="00354A26" w:rsidRDefault="00354A26" w:rsidP="00354A26">
      <w:pPr>
        <w:pStyle w:val="SingleTxt"/>
        <w:spacing w:after="120" w:line="316" w:lineRule="exact"/>
      </w:pPr>
      <w:r>
        <w:rPr>
          <w:rFonts w:hint="eastAsia"/>
        </w:rPr>
        <w:t>51.</w:t>
      </w:r>
      <w:r>
        <w:tab/>
      </w:r>
      <w:r>
        <w:rPr>
          <w:rFonts w:hint="eastAsia"/>
        </w:rPr>
        <w:t>古巴对各社会团体间的协调采取综合的政策，这些团体对努力解决贩运人口和利用妇女卖淫营利问题具有或可能有影响。</w:t>
      </w:r>
    </w:p>
    <w:p w:rsidR="00354A26" w:rsidRDefault="00354A26" w:rsidP="00354A26">
      <w:pPr>
        <w:pStyle w:val="SingleTxt"/>
        <w:spacing w:after="120" w:line="316" w:lineRule="exact"/>
      </w:pPr>
      <w:r>
        <w:rPr>
          <w:rFonts w:hint="eastAsia"/>
        </w:rPr>
        <w:t>52.</w:t>
      </w:r>
      <w:r>
        <w:tab/>
      </w:r>
      <w:r>
        <w:rPr>
          <w:rFonts w:hint="eastAsia"/>
        </w:rPr>
        <w:t>《刑事诉讼法》第41条规定，包括私营部门在内的国家所有机构、组织和其他实体的固有义务是向法院、检查治安法官和警察提供所需的任何报告、数据和背景信息，以调查包括贩运人口在内的犯罪。</w:t>
      </w:r>
    </w:p>
    <w:p w:rsidR="00354A26" w:rsidRDefault="00354A26" w:rsidP="00354A26">
      <w:pPr>
        <w:pStyle w:val="SingleTxt"/>
        <w:spacing w:after="120" w:line="316" w:lineRule="exact"/>
        <w:rPr>
          <w:rFonts w:hint="eastAsia"/>
        </w:rPr>
      </w:pPr>
      <w:r>
        <w:rPr>
          <w:rFonts w:hint="eastAsia"/>
        </w:rPr>
        <w:t>53.</w:t>
      </w:r>
      <w:r>
        <w:tab/>
      </w:r>
      <w:r>
        <w:rPr>
          <w:rFonts w:hint="eastAsia"/>
        </w:rPr>
        <w:t xml:space="preserve">此外，内政部所属的国家革命警察总局和刑事侦查行动总局设有侦查和刑事诉讼单位，处理与性犯罪有关的事项，其中包括腐蚀未成年人、性侮辱、贩卖未成年人、拉皮条和贩运人口。 </w:t>
      </w:r>
    </w:p>
    <w:p w:rsidR="00354A26" w:rsidRDefault="00354A26" w:rsidP="00354A26">
      <w:pPr>
        <w:pStyle w:val="SingleTxt"/>
        <w:spacing w:after="120" w:line="316" w:lineRule="exact"/>
      </w:pPr>
      <w:r>
        <w:rPr>
          <w:rFonts w:hint="eastAsia"/>
        </w:rPr>
        <w:t>54.</w:t>
      </w:r>
      <w:r>
        <w:tab/>
      </w:r>
      <w:r>
        <w:rPr>
          <w:rFonts w:hint="eastAsia"/>
        </w:rPr>
        <w:t>该国还设有专门法院，在必要时尤其有权起诉贩运人口罪。</w:t>
      </w:r>
    </w:p>
    <w:p w:rsidR="00354A26" w:rsidRDefault="00354A26" w:rsidP="00354A26">
      <w:pPr>
        <w:pStyle w:val="SingleTxt"/>
        <w:spacing w:after="120" w:line="316" w:lineRule="exact"/>
      </w:pPr>
      <w:r>
        <w:rPr>
          <w:rFonts w:hint="eastAsia"/>
        </w:rPr>
        <w:t>55.</w:t>
      </w:r>
      <w:r>
        <w:tab/>
      </w:r>
      <w:r>
        <w:rPr>
          <w:rFonts w:hint="eastAsia"/>
        </w:rPr>
        <w:t>古巴全国正在执行《打击对儿童和青少年进行性剥削的国家计划》，其中涉及国家中央行政机关的各个机构。此外，全国人民政权代表大会的托儿、青年和妇女平等权利常设委员会负责处理这一事项及相关问题。</w:t>
      </w:r>
    </w:p>
    <w:p w:rsidR="00354A26" w:rsidRDefault="00354A26" w:rsidP="00354A26">
      <w:pPr>
        <w:pStyle w:val="SingleTxt"/>
        <w:spacing w:after="120" w:line="316" w:lineRule="exact"/>
      </w:pPr>
      <w:r>
        <w:rPr>
          <w:rFonts w:hint="eastAsia"/>
        </w:rPr>
        <w:t>56.</w:t>
      </w:r>
      <w:r>
        <w:tab/>
      </w:r>
      <w:r>
        <w:rPr>
          <w:rFonts w:hint="eastAsia"/>
        </w:rPr>
        <w:t>内政部保持与其执法机关以及国际刑事警察组织(国际刑警组织)秘书处和各国家中心局进行业务合作的政策，以确保警方对由于牵连贩运人口、拉皮条、唆使卖淫或其他性犯罪而受国际刑警组织或其他国家的警察或司法当局通缉或在其监视下身在古巴的人进行监控。</w:t>
      </w:r>
    </w:p>
    <w:p w:rsidR="00354A26" w:rsidRDefault="00354A26" w:rsidP="00354A26">
      <w:pPr>
        <w:pStyle w:val="SingleTxt"/>
        <w:spacing w:after="120" w:line="316" w:lineRule="exact"/>
      </w:pPr>
      <w:r>
        <w:rPr>
          <w:rFonts w:hint="eastAsia"/>
        </w:rPr>
        <w:t>57.</w:t>
      </w:r>
      <w:r>
        <w:tab/>
      </w:r>
      <w:r>
        <w:rPr>
          <w:rFonts w:hint="eastAsia"/>
        </w:rPr>
        <w:t>《刑法》(自1988年4月30日起生效的1987年第62号法)将对贩卖未成年人以及贩卖人口(包括妇女)的行为以刑事罪论处。通过以下法令修订《刑法》来扩大刑事定罪：1993年8月13日第140号法令、1994年6月6日第150号法令和1997年6月17日第175号法令以及1999年2月16日第87号法。该立法保护刑法所有人权，并根据这些宗旨和原则，涵盖涉及贩运人口的罪行，如拉皮条和贩运人口(第十一编第一章第4节第302条第1款)。如上所述，《刑法》还对贩运人口(第十五编第一章第347条第1款和第348条第1款)和贩运未成年人(第十一编第三章第3节第316条)进行刑事定罪。</w:t>
      </w:r>
    </w:p>
    <w:p w:rsidR="00354A26" w:rsidRDefault="00354A26" w:rsidP="0034182C">
      <w:pPr>
        <w:pStyle w:val="SingleTxt"/>
        <w:rPr>
          <w:rFonts w:hint="eastAsia"/>
        </w:rPr>
      </w:pPr>
      <w:r>
        <w:rPr>
          <w:rFonts w:hint="eastAsia"/>
        </w:rPr>
        <w:t>58.</w:t>
      </w:r>
      <w:r>
        <w:tab/>
      </w:r>
      <w:r>
        <w:rPr>
          <w:rFonts w:hint="eastAsia"/>
        </w:rPr>
        <w:t xml:space="preserve">该国司法系统正通过一些变革加以改进来满足古巴社会的需要。正在起草或修订包括《刑法》《刑事诉讼法》、《刑罚执行法》、《警察法》、《违权法》和《处理犯罪儿童法》等各项立法。在这方面，正考虑进一步扩大打击人口贩运立法，并使之更全面。 </w:t>
      </w:r>
    </w:p>
    <w:p w:rsidR="00354A26" w:rsidRDefault="00354A26" w:rsidP="0034182C">
      <w:pPr>
        <w:pStyle w:val="SingleTxt"/>
        <w:rPr>
          <w:rFonts w:hint="eastAsia"/>
        </w:rPr>
      </w:pPr>
      <w:r>
        <w:rPr>
          <w:rFonts w:hint="eastAsia"/>
        </w:rPr>
        <w:t>59.</w:t>
      </w:r>
      <w:r>
        <w:tab/>
      </w:r>
      <w:r>
        <w:rPr>
          <w:rFonts w:hint="eastAsia"/>
        </w:rPr>
        <w:t>此外，有关国家机关和机构目前正在审查、讨论和分析各项国际人权法及相关文书，以便将来加入或批准。这些文书包括《联合国打击跨国有组织犯罪公约关于预防、禁止和惩治贩运人口特别是妇女和儿童行为的补充议定书》。</w:t>
      </w:r>
    </w:p>
    <w:p w:rsidR="00354A26" w:rsidRDefault="00354A26" w:rsidP="0034182C">
      <w:pPr>
        <w:pStyle w:val="SingleTxt"/>
      </w:pPr>
      <w:r>
        <w:rPr>
          <w:rFonts w:hint="eastAsia"/>
        </w:rPr>
        <w:t>60.</w:t>
      </w:r>
      <w:r>
        <w:tab/>
      </w:r>
      <w:r>
        <w:rPr>
          <w:rFonts w:hint="eastAsia"/>
        </w:rPr>
        <w:t>这证明古巴特别重视打击贩运人口，这是令人厌恶的当代形式奴隶制，使人沦为物品或商品，并侵犯其最基本的权利。</w:t>
      </w:r>
    </w:p>
    <w:p w:rsidR="00354A26" w:rsidRDefault="00354A26" w:rsidP="0034182C">
      <w:pPr>
        <w:pStyle w:val="SingleTxt"/>
      </w:pPr>
      <w:r>
        <w:rPr>
          <w:rFonts w:hint="eastAsia"/>
        </w:rPr>
        <w:t>61.</w:t>
      </w:r>
      <w:r>
        <w:tab/>
      </w:r>
      <w:r>
        <w:rPr>
          <w:rFonts w:hint="eastAsia"/>
        </w:rPr>
        <w:t>古巴于2000年签署了《联合国打击跨国有组织犯罪公约》，并于2007年2月9日批准了该公约。古巴还签署并批准了涉及这一问题的其他国际文书，</w:t>
      </w:r>
      <w:r w:rsidRPr="0034182C">
        <w:rPr>
          <w:rStyle w:val="FootnoteReference"/>
        </w:rPr>
        <w:footnoteReference w:id="2"/>
      </w:r>
      <w:r>
        <w:t xml:space="preserve"> </w:t>
      </w:r>
      <w:r>
        <w:rPr>
          <w:rFonts w:hint="eastAsia"/>
        </w:rPr>
        <w:t>表明该国有政治意愿打击这一祸害。</w:t>
      </w:r>
      <w:r w:rsidRPr="0034182C">
        <w:rPr>
          <w:rStyle w:val="FootnoteReference"/>
        </w:rPr>
        <w:footnoteReference w:id="3"/>
      </w:r>
    </w:p>
    <w:p w:rsidR="00354A26" w:rsidRDefault="00354A26" w:rsidP="0034182C">
      <w:pPr>
        <w:pStyle w:val="SingleTxt"/>
        <w:rPr>
          <w:rFonts w:hint="eastAsia"/>
        </w:rPr>
      </w:pPr>
      <w:r>
        <w:rPr>
          <w:rFonts w:hint="eastAsia"/>
        </w:rPr>
        <w:t>62.</w:t>
      </w:r>
      <w:r>
        <w:tab/>
      </w:r>
      <w:r>
        <w:rPr>
          <w:rFonts w:hint="eastAsia"/>
        </w:rPr>
        <w:t xml:space="preserve">由于人口贩运发生率低，古巴不被视为人口贩运的来源、中转或目的地国；然而，古巴采取了一系列立法、司法、行政及其他措施来保护妇女和儿童，包括采取旨在防止和打击人口贩运的措施。这些行动使古巴成为该区域具有最先进的打击人口贩运立法的国家之一。 </w:t>
      </w:r>
    </w:p>
    <w:p w:rsidR="00354A26" w:rsidRDefault="00354A26" w:rsidP="0034182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10和11.</w:t>
      </w:r>
      <w:r>
        <w:tab/>
      </w:r>
      <w:r>
        <w:rPr>
          <w:rFonts w:hint="eastAsia"/>
        </w:rPr>
        <w:t>卖淫</w:t>
      </w:r>
    </w:p>
    <w:p w:rsidR="00354A26" w:rsidRPr="00A262B6" w:rsidRDefault="00354A26" w:rsidP="0034182C">
      <w:pPr>
        <w:pStyle w:val="SingleTxt"/>
        <w:spacing w:after="0" w:line="120" w:lineRule="exact"/>
        <w:rPr>
          <w:rFonts w:hint="eastAsia"/>
          <w:sz w:val="10"/>
        </w:rPr>
      </w:pPr>
    </w:p>
    <w:p w:rsidR="00354A26" w:rsidRDefault="00354A26" w:rsidP="0034182C">
      <w:pPr>
        <w:pStyle w:val="SingleTxt"/>
        <w:rPr>
          <w:rFonts w:hint="eastAsia"/>
        </w:rPr>
      </w:pPr>
      <w:r>
        <w:rPr>
          <w:rFonts w:hint="eastAsia"/>
        </w:rPr>
        <w:t>63.</w:t>
      </w:r>
      <w:r>
        <w:tab/>
      </w:r>
      <w:r>
        <w:rPr>
          <w:rFonts w:hint="eastAsia"/>
        </w:rPr>
        <w:t xml:space="preserve">在古巴，革命胜利根除了卖淫的结构性原因，使其不复存在。古巴妇女通过保护体系以及利用专业发展和就业获得社会地位，因而不可能脆弱到被迫从事卖淫作为谋生手段。因此，卖淫是有些男女人的个人选择，他们将其看作为其带来比其他工薪阶层更高的生活标准的消费品的手段，或在某些情况下是借机移民。 </w:t>
      </w:r>
    </w:p>
    <w:p w:rsidR="00354A26" w:rsidRDefault="00354A26" w:rsidP="0034182C">
      <w:pPr>
        <w:pStyle w:val="SingleTxt"/>
        <w:rPr>
          <w:rFonts w:hint="eastAsia"/>
        </w:rPr>
      </w:pPr>
      <w:r>
        <w:rPr>
          <w:rFonts w:hint="eastAsia"/>
        </w:rPr>
        <w:t>64.</w:t>
      </w:r>
      <w:r>
        <w:tab/>
      </w:r>
      <w:r>
        <w:rPr>
          <w:rFonts w:hint="eastAsia"/>
        </w:rPr>
        <w:t xml:space="preserve">即使在1990年代经济危机期间，没有一个古巴公民被遗弃。维护社会保障和就业保障，以确保体面的生活水平和防止卖淫。这一问题有多方面的原因、形式和方式，查明并解决这一问题以及采取必要的措施也是一个挑战。有研究表明，一些年轻妇女卖淫是利用性作为满足物质需求的一种手段，而不是为了生存。该研究的结果与查明年轻妓女及其家人的最常见心理——社会情况是一致的： </w:t>
      </w:r>
    </w:p>
    <w:p w:rsidR="00354A26" w:rsidRDefault="00354A26" w:rsidP="0034182C">
      <w:pPr>
        <w:pStyle w:val="SingleTxt"/>
        <w:ind w:left="2126" w:hanging="431"/>
      </w:pPr>
      <w:r>
        <w:sym w:font="Symbol" w:char="F0B7"/>
      </w:r>
      <w:r>
        <w:tab/>
      </w:r>
      <w:r>
        <w:rPr>
          <w:rFonts w:hint="eastAsia"/>
        </w:rPr>
        <w:t>她们在不正常的家庭被抚养长大，这些家庭无论社会经济地位如何，其明显特点是缺乏一个父亲般的人物。在她们最重要的成长期间，她们在社会和家庭小环境中忍受各种不利的条件，包括忍受家庭暴力或性虐待。因此，她们有自卑和严重的行为问题。</w:t>
      </w:r>
    </w:p>
    <w:p w:rsidR="00354A26" w:rsidRDefault="00354A26" w:rsidP="0034182C">
      <w:pPr>
        <w:pStyle w:val="SingleTxt"/>
        <w:ind w:left="2126" w:hanging="431"/>
      </w:pPr>
      <w:r>
        <w:rPr>
          <w:rFonts w:hint="eastAsia"/>
        </w:rPr>
        <w:sym w:font="Symbol" w:char="F0B7"/>
      </w:r>
      <w:r>
        <w:tab/>
      </w:r>
      <w:r>
        <w:rPr>
          <w:rFonts w:hint="eastAsia"/>
        </w:rPr>
        <w:t>她们所受的家庭教育不足，且这种教育是以鼓励和(或)协助进行这些做法的消极社会共存模式为主导。</w:t>
      </w:r>
    </w:p>
    <w:p w:rsidR="00354A26" w:rsidRDefault="00354A26" w:rsidP="0034182C">
      <w:pPr>
        <w:pStyle w:val="SingleTxt"/>
        <w:ind w:left="2126" w:hanging="431"/>
      </w:pPr>
      <w:r>
        <w:rPr>
          <w:rFonts w:hint="eastAsia"/>
        </w:rPr>
        <w:sym w:font="Symbol" w:char="F0B7"/>
      </w:r>
      <w:r>
        <w:tab/>
      </w:r>
      <w:r>
        <w:rPr>
          <w:rFonts w:hint="eastAsia"/>
        </w:rPr>
        <w:t>在许多情况下，她们的家人都知道年轻女孩从事的活动，并给予袒护，不让这种行为受到任何积极的影响。</w:t>
      </w:r>
    </w:p>
    <w:p w:rsidR="00354A26" w:rsidRDefault="00354A26" w:rsidP="0034182C">
      <w:pPr>
        <w:pStyle w:val="SingleTxt"/>
        <w:ind w:left="2126" w:hanging="431"/>
      </w:pPr>
      <w:r>
        <w:rPr>
          <w:rFonts w:hint="eastAsia"/>
        </w:rPr>
        <w:sym w:font="Symbol" w:char="F0B7"/>
      </w:r>
      <w:r>
        <w:tab/>
      </w:r>
      <w:r>
        <w:rPr>
          <w:rFonts w:hint="eastAsia"/>
        </w:rPr>
        <w:t>她们的价值观和生活方式选择不成熟。</w:t>
      </w:r>
    </w:p>
    <w:p w:rsidR="00354A26" w:rsidRDefault="00354A26" w:rsidP="0034182C">
      <w:pPr>
        <w:pStyle w:val="SingleTxt"/>
        <w:ind w:left="2126" w:hanging="431"/>
      </w:pPr>
      <w:r>
        <w:rPr>
          <w:rFonts w:hint="eastAsia"/>
        </w:rPr>
        <w:sym w:font="Symbol" w:char="F0B7"/>
      </w:r>
      <w:r>
        <w:tab/>
      </w:r>
      <w:r>
        <w:rPr>
          <w:rFonts w:hint="eastAsia"/>
        </w:rPr>
        <w:t>一般来说，这些女孩都是辍学的高中生，从小就不参加所有对社会有益的活动。这并不意味着有些具有高中或大学教育程度的年轻女性和工薪妇女不从事卖淫活动，以满足某些经济需要。</w:t>
      </w:r>
    </w:p>
    <w:p w:rsidR="00354A26" w:rsidRDefault="00354A26" w:rsidP="0034182C">
      <w:pPr>
        <w:pStyle w:val="SingleTxt"/>
        <w:rPr>
          <w:rFonts w:hint="eastAsia"/>
        </w:rPr>
      </w:pPr>
      <w:r>
        <w:rPr>
          <w:rFonts w:hint="eastAsia"/>
        </w:rPr>
        <w:t>65.</w:t>
      </w:r>
      <w:r>
        <w:tab/>
      </w:r>
      <w:r>
        <w:rPr>
          <w:rFonts w:hint="eastAsia"/>
        </w:rPr>
        <w:t xml:space="preserve">正在协调努力解决现有极少数卖淫案件；其中包括在通过全国教育系统实施的国家性教育方案框架内采取教育和预防行动。该方案由教育部、高等教育部和公共卫生部与妇女联合会和青年组织协作举办。该方案通过加强全国课程的性教育内容为教师、学生和家长做好准备，并辅之以课外活动和家庭教育学校。 </w:t>
      </w:r>
    </w:p>
    <w:p w:rsidR="00354A26" w:rsidRDefault="00354A26" w:rsidP="0034182C">
      <w:pPr>
        <w:pStyle w:val="SingleTxt"/>
        <w:rPr>
          <w:rFonts w:hint="eastAsia"/>
        </w:rPr>
      </w:pPr>
      <w:r>
        <w:rPr>
          <w:rFonts w:hint="eastAsia"/>
        </w:rPr>
        <w:t>66.</w:t>
      </w:r>
      <w:r>
        <w:tab/>
      </w:r>
      <w:r>
        <w:rPr>
          <w:rFonts w:hint="eastAsia"/>
        </w:rPr>
        <w:t xml:space="preserve">由于旅游部实行“零容忍”政策，性旅游遭到禁止，并采取严格和系统的监管措施。该部的安全保护司负责处理这个问题；培训旅游度假区的工作人员、制订标准、确保进行监测和监督以及与内政部和政府进行协调。此外，外国旅游运营商和旅行社受合同约束，绝对不能将古巴作为性旅游目的地来促销。 </w:t>
      </w:r>
    </w:p>
    <w:p w:rsidR="00354A26" w:rsidRDefault="00354A26" w:rsidP="0034182C">
      <w:pPr>
        <w:pStyle w:val="SingleTxt"/>
        <w:rPr>
          <w:rFonts w:hint="eastAsia"/>
        </w:rPr>
      </w:pPr>
      <w:r>
        <w:rPr>
          <w:rFonts w:hint="eastAsia"/>
        </w:rPr>
        <w:t>67.</w:t>
      </w:r>
      <w:r>
        <w:tab/>
      </w:r>
      <w:r>
        <w:rPr>
          <w:rFonts w:hint="eastAsia"/>
        </w:rPr>
        <w:t xml:space="preserve">古巴政府的政策是推动家庭旅游；因此，14岁以下的儿童可免费入住度假村，但需有其父母、亲戚或成年监护人陪同。禁止16岁以下的儿童进入迪斯科舞厅和夜生活场所，进入时必须出示官方身份证。 </w:t>
      </w:r>
    </w:p>
    <w:p w:rsidR="00354A26" w:rsidRDefault="00354A26" w:rsidP="0034182C">
      <w:pPr>
        <w:pStyle w:val="SingleTxt"/>
        <w:rPr>
          <w:rFonts w:hint="eastAsia"/>
        </w:rPr>
      </w:pPr>
      <w:r>
        <w:rPr>
          <w:rFonts w:hint="eastAsia"/>
        </w:rPr>
        <w:t>68.</w:t>
      </w:r>
      <w:r>
        <w:tab/>
      </w:r>
      <w:r>
        <w:rPr>
          <w:rFonts w:hint="eastAsia"/>
        </w:rPr>
        <w:t xml:space="preserve">进行卖淫或其他与性市场有关的侮辱行为的具体领域，如容忍区、合法销售淫秽物品和色情广告的中心，由于其以某种方式促进这样的活动而没有获得古巴批准。 </w:t>
      </w:r>
    </w:p>
    <w:p w:rsidR="00354A26" w:rsidRDefault="00354A26" w:rsidP="0034182C">
      <w:pPr>
        <w:pStyle w:val="SingleTxt"/>
        <w:rPr>
          <w:rFonts w:hint="eastAsia"/>
        </w:rPr>
      </w:pPr>
      <w:r>
        <w:rPr>
          <w:rFonts w:hint="eastAsia"/>
        </w:rPr>
        <w:t>69.</w:t>
      </w:r>
      <w:r>
        <w:tab/>
      </w:r>
      <w:r>
        <w:rPr>
          <w:rFonts w:hint="eastAsia"/>
        </w:rPr>
        <w:t xml:space="preserve">在回答问题清单中问题11时，古巴政府指出其保持“零容忍”立场不变，因为卖淫是非法的，因此，它是剥削和暴力侵害妇女的一种形式。因此，拉皮条被视为犯罪，会受到严厉的惩罚。 </w:t>
      </w:r>
    </w:p>
    <w:p w:rsidR="00354A26" w:rsidRDefault="00354A26" w:rsidP="0034182C">
      <w:pPr>
        <w:pStyle w:val="SingleTxt"/>
        <w:rPr>
          <w:rFonts w:hint="eastAsia"/>
        </w:rPr>
      </w:pPr>
      <w:r>
        <w:rPr>
          <w:rFonts w:hint="eastAsia"/>
        </w:rPr>
        <w:t>70.</w:t>
      </w:r>
      <w:r>
        <w:tab/>
      </w:r>
      <w:r>
        <w:rPr>
          <w:rFonts w:hint="eastAsia"/>
        </w:rPr>
        <w:t xml:space="preserve">负责消除卖淫原因和滋生卖淫的条件的机构还主要针对年轻女性采取指导、说服、教育和预防的综合办法，努力为妓女提供接受再教育的其他办法。国家机关和社会团体在这方面共同作出努力。尤其是妇女联合会与家庭协作，通过其在全国各地的社会工作者网络在预防领域开展工作。 </w:t>
      </w:r>
    </w:p>
    <w:p w:rsidR="00354A26" w:rsidRDefault="00354A26" w:rsidP="0034182C">
      <w:pPr>
        <w:pStyle w:val="SingleTxt"/>
        <w:rPr>
          <w:rFonts w:hint="eastAsia"/>
        </w:rPr>
      </w:pPr>
      <w:r>
        <w:rPr>
          <w:rFonts w:hint="eastAsia"/>
        </w:rPr>
        <w:t>71.</w:t>
      </w:r>
      <w:r>
        <w:tab/>
      </w:r>
      <w:r>
        <w:rPr>
          <w:rFonts w:hint="eastAsia"/>
        </w:rPr>
        <w:t xml:space="preserve">《刑法》第十一编第一章第73条第1款(2)(关于风险状况和安全措施)涉及反社会行为带来的风险状况。《刑法》的这一编以及《刑事诉讼法》(第5号法)第四编第一章和第二章确立了适用安全措施的标准和程序，并正当程序保障确保这些措施的适用符合必要的合法性。 </w:t>
      </w:r>
    </w:p>
    <w:p w:rsidR="00354A26" w:rsidRDefault="00354A26" w:rsidP="00354A26">
      <w:pPr>
        <w:pStyle w:val="SingleTxt"/>
        <w:spacing w:line="330" w:lineRule="exact"/>
        <w:rPr>
          <w:rFonts w:hint="eastAsia"/>
        </w:rPr>
      </w:pPr>
      <w:r>
        <w:rPr>
          <w:rFonts w:hint="eastAsia"/>
        </w:rPr>
        <w:t>72.</w:t>
      </w:r>
      <w:r>
        <w:tab/>
      </w:r>
      <w:r>
        <w:rPr>
          <w:rFonts w:hint="eastAsia"/>
        </w:rPr>
        <w:t xml:space="preserve">卖淫被视为应遭谴责的恶习，因此，公共部门和非政府团体、组织和机构将对有关人员给予预防性治疗。此外，还寻求家人和亲人的合作来改变这种行为。 </w:t>
      </w:r>
    </w:p>
    <w:p w:rsidR="00354A26" w:rsidRDefault="00354A26" w:rsidP="00354A26">
      <w:pPr>
        <w:pStyle w:val="SingleTxt"/>
        <w:spacing w:line="330" w:lineRule="exact"/>
        <w:rPr>
          <w:rFonts w:hint="eastAsia"/>
        </w:rPr>
      </w:pPr>
      <w:r>
        <w:rPr>
          <w:rFonts w:hint="eastAsia"/>
        </w:rPr>
        <w:t>73.</w:t>
      </w:r>
      <w:r>
        <w:tab/>
      </w:r>
      <w:r>
        <w:rPr>
          <w:rFonts w:hint="eastAsia"/>
        </w:rPr>
        <w:t xml:space="preserve">如这些人坚持从事这类活动，其行为如被证明犯下轻罪，在经过深入调查和犯罪背景审查之后，可根据《刑法》第78条采取犯罪前少年安全措施(治疗、康复或监督)。按照《刑事诉讼法》第404至416条的保障措施规定，犯罪人或公设辩护人指定的辩护律师在场的情况下进行公正审判来确定这一点。 </w:t>
      </w:r>
    </w:p>
    <w:p w:rsidR="00354A26" w:rsidRDefault="00354A26" w:rsidP="00354A26">
      <w:pPr>
        <w:pStyle w:val="SingleTxt"/>
        <w:spacing w:line="330" w:lineRule="exact"/>
        <w:rPr>
          <w:rFonts w:hint="eastAsia"/>
        </w:rPr>
      </w:pPr>
      <w:r>
        <w:rPr>
          <w:rFonts w:hint="eastAsia"/>
        </w:rPr>
        <w:t>74.</w:t>
      </w:r>
      <w:r>
        <w:tab/>
      </w:r>
      <w:r>
        <w:rPr>
          <w:rFonts w:hint="eastAsia"/>
        </w:rPr>
        <w:t xml:space="preserve">内政部设有一个由若干机构组成的系统，共同调查、预防和打击拉皮条、贩运人口、腐蚀未成年人、恋童癖以及其他涉及促使他人卖淫的罪行；它还努力打击有组织卖淫的男女。有一个拉皮条团伙遭到起诉。 </w:t>
      </w:r>
    </w:p>
    <w:p w:rsidR="00354A26" w:rsidRDefault="00354A26" w:rsidP="00354A26">
      <w:pPr>
        <w:pStyle w:val="SingleTxt"/>
        <w:spacing w:line="330" w:lineRule="exact"/>
        <w:rPr>
          <w:rFonts w:hint="eastAsia"/>
        </w:rPr>
      </w:pPr>
      <w:r>
        <w:rPr>
          <w:rFonts w:hint="eastAsia"/>
        </w:rPr>
        <w:t>75.</w:t>
      </w:r>
      <w:r>
        <w:tab/>
      </w:r>
      <w:r>
        <w:rPr>
          <w:rFonts w:hint="eastAsia"/>
        </w:rPr>
        <w:t xml:space="preserve">该部还向各国家机构提供信息，说明可能出现卖淫的方式和地点，这有助于规划行动，以防止和公开打击这一现象。该部还参与分析造成从事这一活动的各种因素、原因和条件。 </w:t>
      </w:r>
    </w:p>
    <w:p w:rsidR="00354A26" w:rsidRDefault="00354A26" w:rsidP="00354A26">
      <w:pPr>
        <w:pStyle w:val="SingleTxt"/>
        <w:spacing w:line="330" w:lineRule="exact"/>
        <w:rPr>
          <w:rFonts w:hint="eastAsia"/>
        </w:rPr>
      </w:pPr>
      <w:r>
        <w:rPr>
          <w:rFonts w:hint="eastAsia"/>
        </w:rPr>
        <w:t>76.</w:t>
      </w:r>
      <w:r>
        <w:tab/>
      </w:r>
      <w:r>
        <w:rPr>
          <w:rFonts w:hint="eastAsia"/>
        </w:rPr>
        <w:t xml:space="preserve">媒体在倡导价值观和传播信息方面发挥关键作用，以便防止卖淫，并对家庭和年轻人进行教育和培训。 </w:t>
      </w:r>
    </w:p>
    <w:p w:rsidR="00354A26" w:rsidRDefault="00354A26" w:rsidP="00354A26">
      <w:pPr>
        <w:pStyle w:val="SingleTxt"/>
        <w:spacing w:line="330" w:lineRule="exact"/>
      </w:pPr>
      <w:r>
        <w:rPr>
          <w:rFonts w:hint="eastAsia"/>
        </w:rPr>
        <w:t>77.</w:t>
      </w:r>
      <w:r>
        <w:tab/>
      </w:r>
      <w:r>
        <w:rPr>
          <w:rFonts w:hint="eastAsia"/>
        </w:rPr>
        <w:t>受性犯罪侵害的儿童和青少年及其家人接受内政部各中心提供的专门护理，以防止双重受害，并由心理健康心理学家、儿童心理学家、儿童和青少年精神病学家以及鼓励重新融入社会的其他专家提供后续护理。</w:t>
      </w:r>
    </w:p>
    <w:p w:rsidR="00354A26" w:rsidRDefault="00354A26" w:rsidP="00354A26">
      <w:pPr>
        <w:pStyle w:val="SingleTxt"/>
        <w:spacing w:line="330" w:lineRule="exact"/>
        <w:rPr>
          <w:rFonts w:hint="eastAsia"/>
        </w:rPr>
      </w:pPr>
      <w:r>
        <w:rPr>
          <w:rFonts w:hint="eastAsia"/>
        </w:rPr>
        <w:t>78.</w:t>
      </w:r>
      <w:r>
        <w:tab/>
      </w:r>
      <w:r>
        <w:rPr>
          <w:rFonts w:hint="eastAsia"/>
        </w:rPr>
        <w:t xml:space="preserve">其他犯罪的年幼受害者在上述儿童和青少年保护中心得到照料(如前所述，没有有关贩运儿童的报告)。这些中心的主要任务是减少二次伤害，对涉及性犯罪的案件只进行一次检查，且不要求儿童出庭。这些中心还向儿童受害者及其亲属提供专门服务(心理、精神治疗和辅导)，在该领域进行各种研究，并推动开展有关早期预防性犯罪的活动。 </w:t>
      </w:r>
    </w:p>
    <w:p w:rsidR="00354A26" w:rsidRDefault="00354A26" w:rsidP="00354A26">
      <w:pPr>
        <w:pStyle w:val="SingleTxt"/>
        <w:spacing w:line="330" w:lineRule="exact"/>
      </w:pPr>
      <w:r>
        <w:rPr>
          <w:rFonts w:hint="eastAsia"/>
        </w:rPr>
        <w:t>79.</w:t>
      </w:r>
      <w:r>
        <w:tab/>
      </w:r>
      <w:r>
        <w:rPr>
          <w:rFonts w:hint="eastAsia"/>
        </w:rPr>
        <w:t>古巴目前有三个这样的中心(哈瓦那、古巴圣地亚哥和比亚克拉拉)；其他省份采用其他方法来确保按照国际惯例和方法为儿童受害者提供专业护理。</w:t>
      </w:r>
    </w:p>
    <w:p w:rsidR="00354A26" w:rsidRDefault="00354A26" w:rsidP="00354A26">
      <w:pPr>
        <w:pStyle w:val="SingleTxt"/>
        <w:spacing w:line="330" w:lineRule="exact"/>
      </w:pPr>
      <w:r>
        <w:rPr>
          <w:rFonts w:hint="eastAsia"/>
        </w:rPr>
        <w:t>80.</w:t>
      </w:r>
      <w:r>
        <w:tab/>
      </w:r>
      <w:r>
        <w:rPr>
          <w:rFonts w:hint="eastAsia"/>
        </w:rPr>
        <w:t>在康复中心接受治疗的妇女只占古巴经查明的妓女人数的小部分，她们从社会工作者得到个人化的社会治疗。这些中心提供教育、培训和反思的机会。</w:t>
      </w:r>
    </w:p>
    <w:p w:rsidR="00354A26" w:rsidRDefault="00354A26" w:rsidP="00354A26">
      <w:pPr>
        <w:pStyle w:val="SingleTxt"/>
        <w:spacing w:line="330" w:lineRule="exact"/>
      </w:pPr>
      <w:r>
        <w:rPr>
          <w:rFonts w:hint="eastAsia"/>
        </w:rPr>
        <w:t>81.</w:t>
      </w:r>
      <w:r>
        <w:tab/>
      </w:r>
      <w:r>
        <w:rPr>
          <w:rFonts w:hint="eastAsia"/>
        </w:rPr>
        <w:t>在过去一年中，很多人(其中大部分是妇女)已停止从事卖淫工作，并重新进入教育系统或加入劳动队伍。她们当中有很多人在妇女联合会充当福利活动家，并参加了妇女和家庭辅导中心开设的课程，接受各种学科和职业培训。</w:t>
      </w:r>
    </w:p>
    <w:p w:rsidR="00354A26" w:rsidRDefault="00354A26" w:rsidP="00354A26">
      <w:pPr>
        <w:pStyle w:val="SingleTxt"/>
        <w:spacing w:line="330" w:lineRule="exact"/>
        <w:rPr>
          <w:rFonts w:hint="eastAsia"/>
        </w:rPr>
      </w:pPr>
      <w:r>
        <w:rPr>
          <w:rFonts w:hint="eastAsia"/>
        </w:rPr>
        <w:t>82.</w:t>
      </w:r>
      <w:r>
        <w:tab/>
      </w:r>
      <w:r>
        <w:rPr>
          <w:rFonts w:hint="eastAsia"/>
        </w:rPr>
        <w:t xml:space="preserve">当局与度假村、旅游景点和租房者合作，以查明和解决男女卖淫问题，将以同样的方式处理这两者。对家庭开展的工作因具体情况而异，并在问题最普遍存在的地方举行省级讨论讲习班。 </w:t>
      </w:r>
    </w:p>
    <w:p w:rsidR="00354A26" w:rsidRPr="00A262B6" w:rsidRDefault="00354A26" w:rsidP="0034182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sidRPr="00A262B6">
        <w:rPr>
          <w:rFonts w:hint="eastAsia"/>
        </w:rPr>
        <w:t xml:space="preserve">卫生保健 </w:t>
      </w:r>
    </w:p>
    <w:p w:rsidR="00354A26" w:rsidRPr="00301EB8" w:rsidRDefault="00354A26" w:rsidP="0034182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354A26" w:rsidRDefault="00354A26" w:rsidP="0034182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Pr>
          <w:rFonts w:hint="eastAsia"/>
        </w:rPr>
        <w:t>12.</w:t>
      </w:r>
      <w:r>
        <w:tab/>
      </w:r>
      <w:r>
        <w:rPr>
          <w:rFonts w:hint="eastAsia"/>
        </w:rPr>
        <w:t>堕胎发生率</w:t>
      </w:r>
    </w:p>
    <w:p w:rsidR="00354A26" w:rsidRPr="00A262B6" w:rsidRDefault="00354A26" w:rsidP="0034182C">
      <w:pPr>
        <w:pStyle w:val="SingleTxt"/>
        <w:spacing w:after="0" w:line="120" w:lineRule="exact"/>
        <w:rPr>
          <w:rFonts w:hint="eastAsia"/>
          <w:sz w:val="10"/>
        </w:rPr>
      </w:pPr>
    </w:p>
    <w:p w:rsidR="00354A26" w:rsidRDefault="00354A26" w:rsidP="0034182C">
      <w:pPr>
        <w:pStyle w:val="SingleTxt"/>
      </w:pPr>
      <w:r>
        <w:rPr>
          <w:rFonts w:hint="eastAsia"/>
        </w:rPr>
        <w:t>83.</w:t>
      </w:r>
      <w:r>
        <w:tab/>
      </w:r>
      <w:r>
        <w:rPr>
          <w:rFonts w:hint="eastAsia"/>
        </w:rPr>
        <w:t>在古巴，计划生育服务的主要目标是根据男女的共同责任感进行有计划的怀孕。这些服务注重确保孩子是双方想要的，其出生对于孩子、母亲和家庭来说是最佳和最适当的时候，并为不育夫妇提供治疗，使他们能实现生出想要的孩子的目标。他们尊重生育自由，并尊重在得到适当的知情同意和必要的保密的情况下人们有自由选择生育的权利，其中包括防止生育风险权利以及自由行使两性平等和赋予妇女权能的权利。</w:t>
      </w:r>
    </w:p>
    <w:p w:rsidR="00354A26" w:rsidRDefault="00354A26" w:rsidP="0034182C">
      <w:pPr>
        <w:pStyle w:val="SingleTxt"/>
      </w:pPr>
      <w:r>
        <w:rPr>
          <w:rFonts w:hint="eastAsia"/>
        </w:rPr>
        <w:t>84.</w:t>
      </w:r>
      <w:r>
        <w:tab/>
      </w:r>
      <w:r>
        <w:rPr>
          <w:rFonts w:hint="eastAsia"/>
        </w:rPr>
        <w:t>古巴妇女自由选择生育的权利赋予她们有权自愿终止妊娠；45年前的古巴法律已载有这一权利，当时将堕胎作为制度化的合法医疗做法在被认可的卫生保健中心推行，由专业认证的医疗专业人员在有安全保障和程序的情况下进行。</w:t>
      </w:r>
    </w:p>
    <w:p w:rsidR="00354A26" w:rsidRDefault="00354A26" w:rsidP="0034182C">
      <w:pPr>
        <w:pStyle w:val="SingleTxt"/>
      </w:pPr>
      <w:r>
        <w:rPr>
          <w:rFonts w:hint="eastAsia"/>
        </w:rPr>
        <w:t>85.</w:t>
      </w:r>
      <w:r>
        <w:tab/>
      </w:r>
      <w:r>
        <w:rPr>
          <w:rFonts w:hint="eastAsia"/>
        </w:rPr>
        <w:t>古巴并不鼓励堕胎，但却保障安全堕胎，以体现妇女的人权。还制订了性与避孕教育综合方案，力求减少最终进行流产的意外怀孕数量。</w:t>
      </w:r>
    </w:p>
    <w:p w:rsidR="00354A26" w:rsidRPr="00214C8F" w:rsidRDefault="00354A26" w:rsidP="0034182C">
      <w:pPr>
        <w:pStyle w:val="SingleTxt"/>
        <w:rPr>
          <w:rFonts w:ascii="Times New Roman" w:eastAsia="SimHei"/>
        </w:rPr>
      </w:pPr>
      <w:r w:rsidRPr="00E432F7">
        <w:rPr>
          <w:rFonts w:ascii="SimHei" w:eastAsia="SimHei" w:hint="eastAsia"/>
        </w:rPr>
        <w:t xml:space="preserve">1970至2011年古巴人工流产选定指标(五年期) </w:t>
      </w:r>
    </w:p>
    <w:tbl>
      <w:tblPr>
        <w:tblW w:w="0" w:type="auto"/>
        <w:tblInd w:w="1260" w:type="dxa"/>
        <w:tblLayout w:type="fixed"/>
        <w:tblCellMar>
          <w:left w:w="0" w:type="dxa"/>
          <w:right w:w="0" w:type="dxa"/>
        </w:tblCellMar>
        <w:tblLook w:val="0000"/>
      </w:tblPr>
      <w:tblGrid>
        <w:gridCol w:w="924"/>
        <w:gridCol w:w="1582"/>
        <w:gridCol w:w="1596"/>
        <w:gridCol w:w="1371"/>
        <w:gridCol w:w="1847"/>
      </w:tblGrid>
      <w:tr w:rsidR="00354A26" w:rsidRPr="00214C8F" w:rsidTr="0034182C">
        <w:tblPrEx>
          <w:tblCellMar>
            <w:top w:w="0" w:type="dxa"/>
            <w:bottom w:w="0" w:type="dxa"/>
          </w:tblCellMar>
        </w:tblPrEx>
        <w:trPr>
          <w:tblHeader/>
        </w:trPr>
        <w:tc>
          <w:tcPr>
            <w:tcW w:w="924" w:type="dxa"/>
            <w:tcBorders>
              <w:top w:val="single" w:sz="4" w:space="0" w:color="auto"/>
            </w:tcBorders>
            <w:shd w:val="clear" w:color="auto" w:fill="auto"/>
            <w:vAlign w:val="bottom"/>
          </w:tcPr>
          <w:p w:rsidR="00354A26" w:rsidRPr="00214C8F" w:rsidRDefault="00354A26" w:rsidP="0034182C">
            <w:pPr>
              <w:tabs>
                <w:tab w:val="left" w:pos="360"/>
                <w:tab w:val="left" w:pos="720"/>
                <w:tab w:val="left" w:pos="1080"/>
                <w:tab w:val="left" w:pos="1440"/>
              </w:tabs>
              <w:suppressAutoHyphens/>
              <w:spacing w:before="60" w:after="60" w:line="220" w:lineRule="exact"/>
              <w:ind w:right="57"/>
              <w:rPr>
                <w:rFonts w:ascii="KaiTi_GB2312" w:eastAsia="KaiTi_GB2312"/>
                <w:sz w:val="15"/>
                <w:szCs w:val="15"/>
              </w:rPr>
            </w:pPr>
          </w:p>
        </w:tc>
        <w:tc>
          <w:tcPr>
            <w:tcW w:w="6396" w:type="dxa"/>
            <w:gridSpan w:val="4"/>
            <w:tcBorders>
              <w:top w:val="single" w:sz="4" w:space="0" w:color="auto"/>
              <w:bottom w:val="single" w:sz="4" w:space="0" w:color="auto"/>
            </w:tcBorders>
            <w:shd w:val="clear" w:color="auto" w:fill="auto"/>
            <w:vAlign w:val="bottom"/>
          </w:tcPr>
          <w:p w:rsidR="00354A26" w:rsidRPr="00214C8F" w:rsidRDefault="00354A26" w:rsidP="0034182C">
            <w:pPr>
              <w:tabs>
                <w:tab w:val="left" w:pos="360"/>
                <w:tab w:val="left" w:pos="720"/>
                <w:tab w:val="left" w:pos="1080"/>
                <w:tab w:val="left" w:pos="1440"/>
              </w:tabs>
              <w:suppressAutoHyphens/>
              <w:spacing w:before="60" w:after="60" w:line="220" w:lineRule="exact"/>
              <w:ind w:right="57"/>
              <w:jc w:val="center"/>
              <w:rPr>
                <w:rFonts w:ascii="KaiTi_GB2312" w:eastAsia="KaiTi_GB2312"/>
                <w:sz w:val="15"/>
                <w:szCs w:val="15"/>
              </w:rPr>
            </w:pPr>
            <w:r w:rsidRPr="00214C8F">
              <w:rPr>
                <w:rFonts w:ascii="KaiTi_GB2312" w:eastAsia="KaiTi_GB2312" w:hint="eastAsia"/>
                <w:sz w:val="15"/>
                <w:szCs w:val="15"/>
              </w:rPr>
              <w:t>人工流产</w:t>
            </w:r>
          </w:p>
        </w:tc>
      </w:tr>
      <w:tr w:rsidR="00354A26" w:rsidRPr="00214C8F" w:rsidTr="0034182C">
        <w:tblPrEx>
          <w:tblCellMar>
            <w:top w:w="0" w:type="dxa"/>
            <w:bottom w:w="0" w:type="dxa"/>
          </w:tblCellMar>
        </w:tblPrEx>
        <w:trPr>
          <w:trHeight w:val="850"/>
          <w:tblHeader/>
        </w:trPr>
        <w:tc>
          <w:tcPr>
            <w:tcW w:w="924" w:type="dxa"/>
            <w:shd w:val="clear" w:color="auto" w:fill="auto"/>
            <w:vAlign w:val="bottom"/>
          </w:tcPr>
          <w:p w:rsidR="00354A26" w:rsidRPr="00214C8F" w:rsidRDefault="00354A26" w:rsidP="0034182C">
            <w:pPr>
              <w:tabs>
                <w:tab w:val="left" w:pos="360"/>
                <w:tab w:val="left" w:pos="720"/>
                <w:tab w:val="left" w:pos="1080"/>
                <w:tab w:val="left" w:pos="1440"/>
              </w:tabs>
              <w:spacing w:before="60" w:after="60" w:line="220" w:lineRule="exact"/>
              <w:ind w:right="40"/>
              <w:rPr>
                <w:rFonts w:ascii="KaiTi_GB2312" w:eastAsia="KaiTi_GB2312"/>
                <w:sz w:val="15"/>
                <w:szCs w:val="15"/>
              </w:rPr>
            </w:pPr>
            <w:r w:rsidRPr="00214C8F">
              <w:rPr>
                <w:rFonts w:ascii="KaiTi_GB2312" w:eastAsia="KaiTi_GB2312" w:hint="eastAsia"/>
                <w:sz w:val="15"/>
                <w:szCs w:val="15"/>
              </w:rPr>
              <w:t>年份</w:t>
            </w:r>
          </w:p>
        </w:tc>
        <w:tc>
          <w:tcPr>
            <w:tcW w:w="1582" w:type="dxa"/>
            <w:tcBorders>
              <w:top w:val="single" w:sz="4" w:space="0" w:color="auto"/>
            </w:tcBorders>
            <w:shd w:val="clear" w:color="auto" w:fill="auto"/>
            <w:vAlign w:val="bottom"/>
          </w:tcPr>
          <w:p w:rsidR="00354A26" w:rsidRPr="00214C8F" w:rsidRDefault="00354A26" w:rsidP="0034182C">
            <w:pPr>
              <w:tabs>
                <w:tab w:val="left" w:pos="360"/>
                <w:tab w:val="left" w:pos="720"/>
                <w:tab w:val="left" w:pos="1080"/>
                <w:tab w:val="left" w:pos="1440"/>
              </w:tabs>
              <w:spacing w:before="60" w:after="60" w:line="220" w:lineRule="exact"/>
              <w:ind w:right="40"/>
              <w:jc w:val="right"/>
              <w:rPr>
                <w:rFonts w:ascii="KaiTi_GB2312" w:eastAsia="KaiTi_GB2312"/>
                <w:sz w:val="15"/>
                <w:szCs w:val="15"/>
              </w:rPr>
            </w:pPr>
            <w:r w:rsidRPr="00214C8F">
              <w:rPr>
                <w:rFonts w:ascii="KaiTi_GB2312" w:eastAsia="KaiTi_GB2312" w:hint="eastAsia"/>
                <w:sz w:val="15"/>
                <w:szCs w:val="15"/>
              </w:rPr>
              <w:t>每1 000名年龄介于</w:t>
            </w:r>
            <w:r>
              <w:rPr>
                <w:rFonts w:ascii="KaiTi_GB2312" w:eastAsia="KaiTi_GB2312"/>
                <w:sz w:val="15"/>
                <w:szCs w:val="15"/>
              </w:rPr>
              <w:br/>
            </w:r>
            <w:r w:rsidRPr="00214C8F">
              <w:rPr>
                <w:rFonts w:ascii="KaiTi_GB2312" w:eastAsia="KaiTi_GB2312" w:hint="eastAsia"/>
                <w:sz w:val="15"/>
                <w:szCs w:val="15"/>
              </w:rPr>
              <w:t>12-49岁的妇女</w:t>
            </w:r>
          </w:p>
        </w:tc>
        <w:tc>
          <w:tcPr>
            <w:tcW w:w="1596" w:type="dxa"/>
            <w:tcBorders>
              <w:top w:val="single" w:sz="4" w:space="0" w:color="auto"/>
            </w:tcBorders>
            <w:shd w:val="clear" w:color="auto" w:fill="auto"/>
            <w:vAlign w:val="bottom"/>
          </w:tcPr>
          <w:p w:rsidR="00354A26" w:rsidRPr="00214C8F" w:rsidRDefault="00354A26" w:rsidP="0034182C">
            <w:pPr>
              <w:tabs>
                <w:tab w:val="left" w:pos="360"/>
                <w:tab w:val="left" w:pos="720"/>
                <w:tab w:val="left" w:pos="1080"/>
                <w:tab w:val="left" w:pos="1440"/>
              </w:tabs>
              <w:spacing w:before="60" w:after="60" w:line="220" w:lineRule="exact"/>
              <w:ind w:right="40"/>
              <w:jc w:val="right"/>
              <w:rPr>
                <w:rFonts w:ascii="KaiTi_GB2312" w:eastAsia="KaiTi_GB2312"/>
                <w:sz w:val="15"/>
                <w:szCs w:val="15"/>
              </w:rPr>
            </w:pPr>
            <w:r w:rsidRPr="00214C8F">
              <w:rPr>
                <w:rFonts w:ascii="KaiTi_GB2312" w:eastAsia="KaiTi_GB2312" w:hint="eastAsia"/>
                <w:sz w:val="15"/>
                <w:szCs w:val="15"/>
              </w:rPr>
              <w:t>每100次分娩</w:t>
            </w:r>
          </w:p>
        </w:tc>
        <w:tc>
          <w:tcPr>
            <w:tcW w:w="1371" w:type="dxa"/>
            <w:tcBorders>
              <w:top w:val="single" w:sz="4" w:space="0" w:color="auto"/>
            </w:tcBorders>
            <w:shd w:val="clear" w:color="auto" w:fill="auto"/>
            <w:vAlign w:val="bottom"/>
          </w:tcPr>
          <w:p w:rsidR="00354A26" w:rsidRPr="00214C8F" w:rsidRDefault="00354A26" w:rsidP="0034182C">
            <w:pPr>
              <w:tabs>
                <w:tab w:val="left" w:pos="360"/>
                <w:tab w:val="left" w:pos="720"/>
                <w:tab w:val="left" w:pos="1080"/>
                <w:tab w:val="left" w:pos="1440"/>
              </w:tabs>
              <w:spacing w:before="60" w:after="60" w:line="220" w:lineRule="exact"/>
              <w:ind w:right="40"/>
              <w:jc w:val="right"/>
              <w:rPr>
                <w:rFonts w:ascii="KaiTi_GB2312" w:eastAsia="KaiTi_GB2312"/>
                <w:sz w:val="15"/>
                <w:szCs w:val="15"/>
              </w:rPr>
            </w:pPr>
            <w:r w:rsidRPr="00214C8F">
              <w:rPr>
                <w:rFonts w:ascii="KaiTi_GB2312" w:eastAsia="KaiTi_GB2312" w:hint="eastAsia"/>
                <w:sz w:val="15"/>
                <w:szCs w:val="15"/>
              </w:rPr>
              <w:t>每100名孕妇</w:t>
            </w:r>
          </w:p>
        </w:tc>
        <w:tc>
          <w:tcPr>
            <w:tcW w:w="1847" w:type="dxa"/>
            <w:tcBorders>
              <w:top w:val="single" w:sz="4" w:space="0" w:color="auto"/>
            </w:tcBorders>
            <w:shd w:val="clear" w:color="auto" w:fill="auto"/>
            <w:vAlign w:val="bottom"/>
          </w:tcPr>
          <w:p w:rsidR="00354A26" w:rsidRPr="00214C8F" w:rsidRDefault="00354A26" w:rsidP="0034182C">
            <w:pPr>
              <w:tabs>
                <w:tab w:val="left" w:pos="360"/>
                <w:tab w:val="left" w:pos="720"/>
                <w:tab w:val="left" w:pos="1080"/>
                <w:tab w:val="left" w:pos="1440"/>
              </w:tabs>
              <w:suppressAutoHyphens/>
              <w:spacing w:before="60" w:after="60" w:line="220" w:lineRule="exact"/>
              <w:ind w:right="57"/>
              <w:jc w:val="right"/>
              <w:rPr>
                <w:rFonts w:ascii="KaiTi_GB2312" w:eastAsia="KaiTi_GB2312"/>
                <w:spacing w:val="-6"/>
                <w:sz w:val="15"/>
                <w:szCs w:val="15"/>
              </w:rPr>
            </w:pPr>
            <w:r w:rsidRPr="00214C8F">
              <w:rPr>
                <w:rFonts w:ascii="KaiTi_GB2312" w:eastAsia="KaiTi_GB2312" w:hint="eastAsia"/>
                <w:spacing w:val="-6"/>
                <w:sz w:val="15"/>
                <w:szCs w:val="15"/>
              </w:rPr>
              <w:t>在20岁以下的妇女中</w:t>
            </w:r>
            <w:r>
              <w:rPr>
                <w:rFonts w:ascii="KaiTi_GB2312" w:eastAsia="KaiTi_GB2312"/>
                <w:spacing w:val="-6"/>
                <w:sz w:val="15"/>
                <w:szCs w:val="15"/>
              </w:rPr>
              <w:br/>
            </w:r>
            <w:r w:rsidRPr="00214C8F">
              <w:rPr>
                <w:rFonts w:ascii="KaiTi_GB2312" w:eastAsia="KaiTi_GB2312" w:hint="eastAsia"/>
                <w:spacing w:val="-6"/>
                <w:sz w:val="15"/>
                <w:szCs w:val="15"/>
              </w:rPr>
              <w:t>(每1 000名名孕妇年龄</w:t>
            </w:r>
            <w:r>
              <w:rPr>
                <w:rFonts w:ascii="KaiTi_GB2312" w:eastAsia="KaiTi_GB2312"/>
                <w:spacing w:val="-6"/>
                <w:sz w:val="15"/>
                <w:szCs w:val="15"/>
              </w:rPr>
              <w:br/>
            </w:r>
            <w:r w:rsidRPr="00214C8F">
              <w:rPr>
                <w:rFonts w:ascii="KaiTi_GB2312" w:eastAsia="KaiTi_GB2312" w:hint="eastAsia"/>
                <w:spacing w:val="-6"/>
                <w:sz w:val="15"/>
                <w:szCs w:val="15"/>
              </w:rPr>
              <w:t>介于12-19岁的妇女)</w:t>
            </w:r>
          </w:p>
        </w:tc>
      </w:tr>
      <w:tr w:rsidR="00354A26" w:rsidRPr="00214C8F" w:rsidTr="0034182C">
        <w:tblPrEx>
          <w:tblCellMar>
            <w:top w:w="0" w:type="dxa"/>
            <w:bottom w:w="0" w:type="dxa"/>
          </w:tblCellMar>
        </w:tblPrEx>
        <w:trPr>
          <w:trHeight w:hRule="exact" w:val="115"/>
          <w:tblHeader/>
        </w:trPr>
        <w:tc>
          <w:tcPr>
            <w:tcW w:w="924" w:type="dxa"/>
            <w:tcBorders>
              <w:top w:val="single" w:sz="12" w:space="0" w:color="auto"/>
            </w:tcBorders>
            <w:shd w:val="clear" w:color="auto" w:fill="auto"/>
            <w:vAlign w:val="bottom"/>
          </w:tcPr>
          <w:p w:rsidR="00354A26" w:rsidRPr="00214C8F" w:rsidRDefault="00354A26" w:rsidP="0034182C">
            <w:pPr>
              <w:tabs>
                <w:tab w:val="left" w:pos="360"/>
                <w:tab w:val="left" w:pos="720"/>
                <w:tab w:val="left" w:pos="1080"/>
                <w:tab w:val="left" w:pos="1440"/>
              </w:tabs>
              <w:suppressAutoHyphens/>
              <w:spacing w:after="60" w:line="280" w:lineRule="exact"/>
              <w:ind w:right="57"/>
              <w:rPr>
                <w:sz w:val="17"/>
              </w:rPr>
            </w:pPr>
          </w:p>
        </w:tc>
        <w:tc>
          <w:tcPr>
            <w:tcW w:w="1582" w:type="dxa"/>
            <w:tcBorders>
              <w:top w:val="single" w:sz="12" w:space="0" w:color="auto"/>
            </w:tcBorders>
            <w:shd w:val="clear" w:color="auto" w:fill="auto"/>
            <w:vAlign w:val="bottom"/>
          </w:tcPr>
          <w:p w:rsidR="00354A26" w:rsidRPr="00214C8F" w:rsidRDefault="00354A26" w:rsidP="0034182C">
            <w:pPr>
              <w:tabs>
                <w:tab w:val="left" w:pos="360"/>
                <w:tab w:val="left" w:pos="720"/>
                <w:tab w:val="left" w:pos="1080"/>
                <w:tab w:val="left" w:pos="1440"/>
              </w:tabs>
              <w:suppressAutoHyphens/>
              <w:spacing w:after="60" w:line="280" w:lineRule="exact"/>
              <w:ind w:right="57"/>
              <w:jc w:val="right"/>
              <w:rPr>
                <w:sz w:val="17"/>
              </w:rPr>
            </w:pPr>
          </w:p>
        </w:tc>
        <w:tc>
          <w:tcPr>
            <w:tcW w:w="1596" w:type="dxa"/>
            <w:tcBorders>
              <w:top w:val="single" w:sz="12" w:space="0" w:color="auto"/>
            </w:tcBorders>
            <w:shd w:val="clear" w:color="auto" w:fill="auto"/>
            <w:vAlign w:val="bottom"/>
          </w:tcPr>
          <w:p w:rsidR="00354A26" w:rsidRPr="00214C8F" w:rsidRDefault="00354A26" w:rsidP="0034182C">
            <w:pPr>
              <w:tabs>
                <w:tab w:val="left" w:pos="360"/>
                <w:tab w:val="left" w:pos="720"/>
                <w:tab w:val="left" w:pos="1080"/>
                <w:tab w:val="left" w:pos="1440"/>
              </w:tabs>
              <w:suppressAutoHyphens/>
              <w:spacing w:after="60" w:line="280" w:lineRule="exact"/>
              <w:ind w:right="57"/>
              <w:jc w:val="right"/>
              <w:rPr>
                <w:sz w:val="17"/>
              </w:rPr>
            </w:pPr>
          </w:p>
        </w:tc>
        <w:tc>
          <w:tcPr>
            <w:tcW w:w="1371" w:type="dxa"/>
            <w:tcBorders>
              <w:top w:val="single" w:sz="12" w:space="0" w:color="auto"/>
            </w:tcBorders>
            <w:shd w:val="clear" w:color="auto" w:fill="auto"/>
            <w:vAlign w:val="bottom"/>
          </w:tcPr>
          <w:p w:rsidR="00354A26" w:rsidRPr="00214C8F" w:rsidRDefault="00354A26" w:rsidP="0034182C">
            <w:pPr>
              <w:tabs>
                <w:tab w:val="left" w:pos="360"/>
                <w:tab w:val="left" w:pos="720"/>
                <w:tab w:val="left" w:pos="1080"/>
                <w:tab w:val="left" w:pos="1440"/>
              </w:tabs>
              <w:suppressAutoHyphens/>
              <w:spacing w:after="60" w:line="280" w:lineRule="exact"/>
              <w:ind w:right="57"/>
              <w:jc w:val="right"/>
              <w:rPr>
                <w:sz w:val="17"/>
              </w:rPr>
            </w:pPr>
          </w:p>
        </w:tc>
        <w:tc>
          <w:tcPr>
            <w:tcW w:w="1847" w:type="dxa"/>
            <w:tcBorders>
              <w:top w:val="single" w:sz="12" w:space="0" w:color="auto"/>
            </w:tcBorders>
            <w:shd w:val="clear" w:color="auto" w:fill="auto"/>
            <w:vAlign w:val="bottom"/>
          </w:tcPr>
          <w:p w:rsidR="00354A26" w:rsidRPr="00214C8F" w:rsidRDefault="00354A26" w:rsidP="0034182C">
            <w:pPr>
              <w:tabs>
                <w:tab w:val="left" w:pos="360"/>
                <w:tab w:val="left" w:pos="720"/>
                <w:tab w:val="left" w:pos="1080"/>
                <w:tab w:val="left" w:pos="1440"/>
              </w:tabs>
              <w:suppressAutoHyphens/>
              <w:spacing w:after="60" w:line="280" w:lineRule="exact"/>
              <w:ind w:right="57"/>
              <w:jc w:val="right"/>
              <w:rPr>
                <w:sz w:val="17"/>
              </w:rPr>
            </w:pPr>
          </w:p>
        </w:tc>
      </w:tr>
      <w:tr w:rsidR="00354A26" w:rsidRPr="00214C8F" w:rsidTr="0034182C">
        <w:tblPrEx>
          <w:tblCellMar>
            <w:top w:w="0" w:type="dxa"/>
            <w:bottom w:w="0" w:type="dxa"/>
          </w:tblCellMar>
        </w:tblPrEx>
        <w:tc>
          <w:tcPr>
            <w:tcW w:w="924" w:type="dxa"/>
            <w:shd w:val="clear" w:color="auto" w:fill="auto"/>
          </w:tcPr>
          <w:p w:rsidR="00354A26" w:rsidRPr="008136A1" w:rsidRDefault="00354A26" w:rsidP="0034182C">
            <w:pPr>
              <w:spacing w:after="80"/>
              <w:rPr>
                <w:sz w:val="17"/>
                <w:szCs w:val="17"/>
              </w:rPr>
            </w:pPr>
            <w:r w:rsidRPr="008136A1">
              <w:rPr>
                <w:rFonts w:hint="eastAsia"/>
                <w:sz w:val="17"/>
                <w:szCs w:val="17"/>
              </w:rPr>
              <w:t>1995年</w:t>
            </w:r>
          </w:p>
        </w:tc>
        <w:tc>
          <w:tcPr>
            <w:tcW w:w="1582" w:type="dxa"/>
            <w:shd w:val="clear" w:color="auto" w:fill="auto"/>
          </w:tcPr>
          <w:p w:rsidR="00354A26" w:rsidRPr="008136A1" w:rsidRDefault="00354A26" w:rsidP="0034182C">
            <w:pPr>
              <w:spacing w:after="80"/>
              <w:ind w:right="57"/>
              <w:jc w:val="right"/>
              <w:rPr>
                <w:sz w:val="17"/>
                <w:szCs w:val="17"/>
              </w:rPr>
            </w:pPr>
            <w:r w:rsidRPr="008136A1">
              <w:rPr>
                <w:rFonts w:hint="eastAsia"/>
                <w:sz w:val="17"/>
                <w:szCs w:val="17"/>
              </w:rPr>
              <w:t>25.6</w:t>
            </w:r>
          </w:p>
        </w:tc>
        <w:tc>
          <w:tcPr>
            <w:tcW w:w="1596" w:type="dxa"/>
            <w:shd w:val="clear" w:color="auto" w:fill="auto"/>
          </w:tcPr>
          <w:p w:rsidR="00354A26" w:rsidRPr="008136A1" w:rsidRDefault="00354A26" w:rsidP="0034182C">
            <w:pPr>
              <w:spacing w:after="80"/>
              <w:ind w:right="57"/>
              <w:jc w:val="right"/>
              <w:rPr>
                <w:sz w:val="17"/>
                <w:szCs w:val="17"/>
              </w:rPr>
            </w:pPr>
            <w:r w:rsidRPr="008136A1">
              <w:rPr>
                <w:rFonts w:hint="eastAsia"/>
                <w:sz w:val="17"/>
                <w:szCs w:val="17"/>
              </w:rPr>
              <w:t>56.6</w:t>
            </w:r>
          </w:p>
        </w:tc>
        <w:tc>
          <w:tcPr>
            <w:tcW w:w="1371" w:type="dxa"/>
            <w:shd w:val="clear" w:color="auto" w:fill="auto"/>
          </w:tcPr>
          <w:p w:rsidR="00354A26" w:rsidRPr="008136A1" w:rsidRDefault="00354A26" w:rsidP="0034182C">
            <w:pPr>
              <w:spacing w:after="80"/>
              <w:ind w:right="57"/>
              <w:jc w:val="right"/>
              <w:rPr>
                <w:sz w:val="17"/>
                <w:szCs w:val="17"/>
              </w:rPr>
            </w:pPr>
            <w:r w:rsidRPr="008136A1">
              <w:rPr>
                <w:rFonts w:hint="eastAsia"/>
                <w:sz w:val="17"/>
                <w:szCs w:val="17"/>
              </w:rPr>
              <w:t>36.0</w:t>
            </w:r>
          </w:p>
        </w:tc>
        <w:tc>
          <w:tcPr>
            <w:tcW w:w="1847" w:type="dxa"/>
            <w:shd w:val="clear" w:color="auto" w:fill="auto"/>
          </w:tcPr>
          <w:p w:rsidR="00354A26" w:rsidRPr="008136A1" w:rsidRDefault="00354A26" w:rsidP="0034182C">
            <w:pPr>
              <w:spacing w:after="80"/>
              <w:ind w:right="57"/>
              <w:jc w:val="right"/>
              <w:rPr>
                <w:sz w:val="17"/>
                <w:szCs w:val="17"/>
              </w:rPr>
            </w:pPr>
            <w:r w:rsidRPr="008136A1">
              <w:rPr>
                <w:rFonts w:hint="eastAsia"/>
                <w:sz w:val="17"/>
                <w:szCs w:val="17"/>
              </w:rPr>
              <w:t>33.6</w:t>
            </w:r>
          </w:p>
        </w:tc>
      </w:tr>
      <w:tr w:rsidR="00354A26" w:rsidRPr="00214C8F" w:rsidTr="0034182C">
        <w:tblPrEx>
          <w:tblCellMar>
            <w:top w:w="0" w:type="dxa"/>
            <w:bottom w:w="0" w:type="dxa"/>
          </w:tblCellMar>
        </w:tblPrEx>
        <w:tc>
          <w:tcPr>
            <w:tcW w:w="924" w:type="dxa"/>
            <w:shd w:val="clear" w:color="auto" w:fill="auto"/>
          </w:tcPr>
          <w:p w:rsidR="00354A26" w:rsidRPr="008136A1" w:rsidRDefault="00354A26" w:rsidP="0034182C">
            <w:pPr>
              <w:spacing w:after="80"/>
              <w:rPr>
                <w:sz w:val="17"/>
                <w:szCs w:val="17"/>
              </w:rPr>
            </w:pPr>
            <w:r w:rsidRPr="008136A1">
              <w:rPr>
                <w:rFonts w:hint="eastAsia"/>
                <w:sz w:val="17"/>
                <w:szCs w:val="17"/>
              </w:rPr>
              <w:t>2000年</w:t>
            </w:r>
          </w:p>
        </w:tc>
        <w:tc>
          <w:tcPr>
            <w:tcW w:w="1582" w:type="dxa"/>
            <w:shd w:val="clear" w:color="auto" w:fill="auto"/>
          </w:tcPr>
          <w:p w:rsidR="00354A26" w:rsidRPr="008136A1" w:rsidRDefault="00354A26" w:rsidP="0034182C">
            <w:pPr>
              <w:spacing w:after="80"/>
              <w:ind w:right="57"/>
              <w:jc w:val="right"/>
              <w:rPr>
                <w:sz w:val="17"/>
                <w:szCs w:val="17"/>
              </w:rPr>
            </w:pPr>
            <w:r w:rsidRPr="008136A1">
              <w:rPr>
                <w:rFonts w:hint="eastAsia"/>
                <w:sz w:val="17"/>
                <w:szCs w:val="17"/>
              </w:rPr>
              <w:t>23.0</w:t>
            </w:r>
          </w:p>
        </w:tc>
        <w:tc>
          <w:tcPr>
            <w:tcW w:w="1596" w:type="dxa"/>
            <w:shd w:val="clear" w:color="auto" w:fill="auto"/>
          </w:tcPr>
          <w:p w:rsidR="00354A26" w:rsidRPr="008136A1" w:rsidRDefault="00354A26" w:rsidP="0034182C">
            <w:pPr>
              <w:spacing w:after="80"/>
              <w:ind w:right="57"/>
              <w:jc w:val="right"/>
              <w:rPr>
                <w:sz w:val="17"/>
                <w:szCs w:val="17"/>
              </w:rPr>
            </w:pPr>
            <w:r w:rsidRPr="008136A1">
              <w:rPr>
                <w:rFonts w:hint="eastAsia"/>
                <w:sz w:val="17"/>
                <w:szCs w:val="17"/>
              </w:rPr>
              <w:t>52.7</w:t>
            </w:r>
          </w:p>
        </w:tc>
        <w:tc>
          <w:tcPr>
            <w:tcW w:w="1371" w:type="dxa"/>
            <w:shd w:val="clear" w:color="auto" w:fill="auto"/>
          </w:tcPr>
          <w:p w:rsidR="00354A26" w:rsidRPr="008136A1" w:rsidRDefault="00354A26" w:rsidP="0034182C">
            <w:pPr>
              <w:spacing w:after="80"/>
              <w:ind w:right="57"/>
              <w:jc w:val="right"/>
              <w:rPr>
                <w:sz w:val="17"/>
                <w:szCs w:val="17"/>
              </w:rPr>
            </w:pPr>
            <w:r w:rsidRPr="008136A1">
              <w:rPr>
                <w:rFonts w:hint="eastAsia"/>
                <w:sz w:val="17"/>
                <w:szCs w:val="17"/>
              </w:rPr>
              <w:t>34.5</w:t>
            </w:r>
          </w:p>
        </w:tc>
        <w:tc>
          <w:tcPr>
            <w:tcW w:w="1847" w:type="dxa"/>
            <w:shd w:val="clear" w:color="auto" w:fill="auto"/>
          </w:tcPr>
          <w:p w:rsidR="00354A26" w:rsidRPr="008136A1" w:rsidRDefault="00354A26" w:rsidP="0034182C">
            <w:pPr>
              <w:spacing w:after="80"/>
              <w:ind w:right="57"/>
              <w:jc w:val="right"/>
              <w:rPr>
                <w:sz w:val="17"/>
                <w:szCs w:val="17"/>
              </w:rPr>
            </w:pPr>
            <w:r w:rsidRPr="008136A1">
              <w:rPr>
                <w:rFonts w:hint="eastAsia"/>
                <w:sz w:val="17"/>
                <w:szCs w:val="17"/>
              </w:rPr>
              <w:t>33.6</w:t>
            </w:r>
          </w:p>
        </w:tc>
      </w:tr>
      <w:tr w:rsidR="00354A26" w:rsidRPr="00214C8F" w:rsidTr="0034182C">
        <w:tblPrEx>
          <w:tblCellMar>
            <w:top w:w="0" w:type="dxa"/>
            <w:bottom w:w="0" w:type="dxa"/>
          </w:tblCellMar>
        </w:tblPrEx>
        <w:tc>
          <w:tcPr>
            <w:tcW w:w="924" w:type="dxa"/>
            <w:shd w:val="clear" w:color="auto" w:fill="auto"/>
          </w:tcPr>
          <w:p w:rsidR="00354A26" w:rsidRPr="008136A1" w:rsidRDefault="00354A26" w:rsidP="0034182C">
            <w:pPr>
              <w:spacing w:after="80"/>
              <w:rPr>
                <w:sz w:val="17"/>
                <w:szCs w:val="17"/>
              </w:rPr>
            </w:pPr>
            <w:r w:rsidRPr="008136A1">
              <w:rPr>
                <w:rFonts w:hint="eastAsia"/>
                <w:sz w:val="17"/>
                <w:szCs w:val="17"/>
              </w:rPr>
              <w:t>2005年</w:t>
            </w:r>
          </w:p>
        </w:tc>
        <w:tc>
          <w:tcPr>
            <w:tcW w:w="1582" w:type="dxa"/>
            <w:shd w:val="clear" w:color="auto" w:fill="auto"/>
          </w:tcPr>
          <w:p w:rsidR="00354A26" w:rsidRPr="008136A1" w:rsidRDefault="00354A26" w:rsidP="0034182C">
            <w:pPr>
              <w:spacing w:after="80"/>
              <w:ind w:right="57"/>
              <w:jc w:val="right"/>
              <w:rPr>
                <w:sz w:val="17"/>
                <w:szCs w:val="17"/>
              </w:rPr>
            </w:pPr>
            <w:r w:rsidRPr="008136A1">
              <w:rPr>
                <w:rFonts w:hint="eastAsia"/>
                <w:sz w:val="17"/>
                <w:szCs w:val="17"/>
              </w:rPr>
              <w:t>19.1</w:t>
            </w:r>
          </w:p>
        </w:tc>
        <w:tc>
          <w:tcPr>
            <w:tcW w:w="1596" w:type="dxa"/>
            <w:shd w:val="clear" w:color="auto" w:fill="auto"/>
          </w:tcPr>
          <w:p w:rsidR="00354A26" w:rsidRPr="008136A1" w:rsidRDefault="00354A26" w:rsidP="0034182C">
            <w:pPr>
              <w:spacing w:after="80"/>
              <w:ind w:right="57"/>
              <w:jc w:val="right"/>
              <w:rPr>
                <w:sz w:val="17"/>
                <w:szCs w:val="17"/>
              </w:rPr>
            </w:pPr>
            <w:r w:rsidRPr="008136A1">
              <w:rPr>
                <w:rFonts w:hint="eastAsia"/>
                <w:sz w:val="17"/>
                <w:szCs w:val="17"/>
              </w:rPr>
              <w:t>51.5</w:t>
            </w:r>
          </w:p>
        </w:tc>
        <w:tc>
          <w:tcPr>
            <w:tcW w:w="1371" w:type="dxa"/>
            <w:shd w:val="clear" w:color="auto" w:fill="auto"/>
          </w:tcPr>
          <w:p w:rsidR="00354A26" w:rsidRPr="008136A1" w:rsidRDefault="00354A26" w:rsidP="0034182C">
            <w:pPr>
              <w:spacing w:after="80"/>
              <w:ind w:right="57"/>
              <w:jc w:val="right"/>
              <w:rPr>
                <w:sz w:val="17"/>
                <w:szCs w:val="17"/>
              </w:rPr>
            </w:pPr>
            <w:r w:rsidRPr="008136A1">
              <w:rPr>
                <w:rFonts w:hint="eastAsia"/>
                <w:sz w:val="17"/>
                <w:szCs w:val="17"/>
              </w:rPr>
              <w:t>33.8</w:t>
            </w:r>
          </w:p>
        </w:tc>
        <w:tc>
          <w:tcPr>
            <w:tcW w:w="1847" w:type="dxa"/>
            <w:shd w:val="clear" w:color="auto" w:fill="auto"/>
          </w:tcPr>
          <w:p w:rsidR="00354A26" w:rsidRPr="008136A1" w:rsidRDefault="00354A26" w:rsidP="0034182C">
            <w:pPr>
              <w:spacing w:after="80"/>
              <w:ind w:right="57"/>
              <w:jc w:val="right"/>
              <w:rPr>
                <w:sz w:val="17"/>
                <w:szCs w:val="17"/>
              </w:rPr>
            </w:pPr>
            <w:r w:rsidRPr="008136A1">
              <w:rPr>
                <w:rFonts w:hint="eastAsia"/>
                <w:sz w:val="17"/>
                <w:szCs w:val="17"/>
              </w:rPr>
              <w:t>31.7</w:t>
            </w:r>
          </w:p>
        </w:tc>
      </w:tr>
      <w:tr w:rsidR="00354A26" w:rsidRPr="00214C8F" w:rsidTr="0034182C">
        <w:tblPrEx>
          <w:tblCellMar>
            <w:top w:w="0" w:type="dxa"/>
            <w:bottom w:w="0" w:type="dxa"/>
          </w:tblCellMar>
        </w:tblPrEx>
        <w:tc>
          <w:tcPr>
            <w:tcW w:w="924" w:type="dxa"/>
            <w:shd w:val="clear" w:color="auto" w:fill="auto"/>
          </w:tcPr>
          <w:p w:rsidR="00354A26" w:rsidRPr="008136A1" w:rsidRDefault="00354A26" w:rsidP="0034182C">
            <w:pPr>
              <w:spacing w:after="80"/>
              <w:rPr>
                <w:rFonts w:hint="eastAsia"/>
                <w:sz w:val="17"/>
                <w:szCs w:val="17"/>
              </w:rPr>
            </w:pPr>
            <w:r w:rsidRPr="008136A1">
              <w:rPr>
                <w:rFonts w:hint="eastAsia"/>
                <w:sz w:val="17"/>
                <w:szCs w:val="17"/>
              </w:rPr>
              <w:t>2010年</w:t>
            </w:r>
          </w:p>
        </w:tc>
        <w:tc>
          <w:tcPr>
            <w:tcW w:w="1582" w:type="dxa"/>
            <w:shd w:val="clear" w:color="auto" w:fill="auto"/>
          </w:tcPr>
          <w:p w:rsidR="00354A26" w:rsidRPr="008136A1" w:rsidRDefault="00354A26" w:rsidP="0034182C">
            <w:pPr>
              <w:spacing w:after="80"/>
              <w:ind w:right="57"/>
              <w:jc w:val="right"/>
              <w:rPr>
                <w:sz w:val="17"/>
                <w:szCs w:val="17"/>
              </w:rPr>
            </w:pPr>
            <w:r w:rsidRPr="008136A1">
              <w:rPr>
                <w:rFonts w:hint="eastAsia"/>
                <w:sz w:val="17"/>
                <w:szCs w:val="17"/>
              </w:rPr>
              <w:t>22.3</w:t>
            </w:r>
          </w:p>
        </w:tc>
        <w:tc>
          <w:tcPr>
            <w:tcW w:w="1596" w:type="dxa"/>
            <w:shd w:val="clear" w:color="auto" w:fill="auto"/>
          </w:tcPr>
          <w:p w:rsidR="00354A26" w:rsidRPr="008136A1" w:rsidRDefault="00354A26" w:rsidP="0034182C">
            <w:pPr>
              <w:spacing w:after="80"/>
              <w:ind w:right="57"/>
              <w:jc w:val="right"/>
              <w:rPr>
                <w:sz w:val="17"/>
                <w:szCs w:val="17"/>
              </w:rPr>
            </w:pPr>
            <w:r w:rsidRPr="008136A1">
              <w:rPr>
                <w:rFonts w:hint="eastAsia"/>
                <w:sz w:val="17"/>
                <w:szCs w:val="17"/>
              </w:rPr>
              <w:t>55.7</w:t>
            </w:r>
          </w:p>
        </w:tc>
        <w:tc>
          <w:tcPr>
            <w:tcW w:w="1371" w:type="dxa"/>
            <w:shd w:val="clear" w:color="auto" w:fill="auto"/>
          </w:tcPr>
          <w:p w:rsidR="00354A26" w:rsidRPr="008136A1" w:rsidRDefault="00354A26" w:rsidP="0034182C">
            <w:pPr>
              <w:spacing w:after="80"/>
              <w:ind w:right="57"/>
              <w:jc w:val="right"/>
              <w:rPr>
                <w:sz w:val="17"/>
                <w:szCs w:val="17"/>
              </w:rPr>
            </w:pPr>
            <w:r w:rsidRPr="008136A1">
              <w:rPr>
                <w:rFonts w:hint="eastAsia"/>
                <w:sz w:val="17"/>
                <w:szCs w:val="17"/>
              </w:rPr>
              <w:t>35.6</w:t>
            </w:r>
          </w:p>
        </w:tc>
        <w:tc>
          <w:tcPr>
            <w:tcW w:w="1847" w:type="dxa"/>
            <w:shd w:val="clear" w:color="auto" w:fill="auto"/>
          </w:tcPr>
          <w:p w:rsidR="00354A26" w:rsidRPr="008136A1" w:rsidRDefault="00354A26" w:rsidP="0034182C">
            <w:pPr>
              <w:spacing w:after="80"/>
              <w:ind w:right="57"/>
              <w:jc w:val="right"/>
              <w:rPr>
                <w:sz w:val="17"/>
                <w:szCs w:val="17"/>
              </w:rPr>
            </w:pPr>
            <w:r w:rsidRPr="008136A1">
              <w:rPr>
                <w:rFonts w:hint="eastAsia"/>
                <w:sz w:val="17"/>
                <w:szCs w:val="17"/>
              </w:rPr>
              <w:t>33.3</w:t>
            </w:r>
          </w:p>
        </w:tc>
      </w:tr>
      <w:tr w:rsidR="00354A26" w:rsidRPr="00214C8F" w:rsidTr="0034182C">
        <w:tblPrEx>
          <w:tblCellMar>
            <w:top w:w="0" w:type="dxa"/>
            <w:bottom w:w="0" w:type="dxa"/>
          </w:tblCellMar>
        </w:tblPrEx>
        <w:tc>
          <w:tcPr>
            <w:tcW w:w="924" w:type="dxa"/>
            <w:tcBorders>
              <w:bottom w:val="single" w:sz="12" w:space="0" w:color="auto"/>
            </w:tcBorders>
            <w:shd w:val="clear" w:color="auto" w:fill="auto"/>
          </w:tcPr>
          <w:p w:rsidR="00354A26" w:rsidRPr="008136A1" w:rsidRDefault="00354A26" w:rsidP="0034182C">
            <w:pPr>
              <w:spacing w:after="80"/>
              <w:rPr>
                <w:sz w:val="17"/>
                <w:szCs w:val="17"/>
              </w:rPr>
            </w:pPr>
            <w:r w:rsidRPr="008136A1">
              <w:rPr>
                <w:rFonts w:hint="eastAsia"/>
                <w:sz w:val="17"/>
                <w:szCs w:val="17"/>
              </w:rPr>
              <w:t>2011年</w:t>
            </w:r>
          </w:p>
        </w:tc>
        <w:tc>
          <w:tcPr>
            <w:tcW w:w="1582" w:type="dxa"/>
            <w:tcBorders>
              <w:bottom w:val="single" w:sz="12" w:space="0" w:color="auto"/>
            </w:tcBorders>
            <w:shd w:val="clear" w:color="auto" w:fill="auto"/>
          </w:tcPr>
          <w:p w:rsidR="00354A26" w:rsidRPr="008136A1" w:rsidRDefault="00354A26" w:rsidP="0034182C">
            <w:pPr>
              <w:spacing w:after="80"/>
              <w:ind w:right="57"/>
              <w:jc w:val="right"/>
              <w:rPr>
                <w:sz w:val="17"/>
                <w:szCs w:val="17"/>
              </w:rPr>
            </w:pPr>
            <w:r w:rsidRPr="008136A1">
              <w:rPr>
                <w:rFonts w:hint="eastAsia"/>
                <w:sz w:val="17"/>
                <w:szCs w:val="17"/>
              </w:rPr>
              <w:t>26.7</w:t>
            </w:r>
          </w:p>
        </w:tc>
        <w:tc>
          <w:tcPr>
            <w:tcW w:w="1596" w:type="dxa"/>
            <w:tcBorders>
              <w:bottom w:val="single" w:sz="12" w:space="0" w:color="auto"/>
            </w:tcBorders>
            <w:shd w:val="clear" w:color="auto" w:fill="auto"/>
          </w:tcPr>
          <w:p w:rsidR="00354A26" w:rsidRPr="008136A1" w:rsidRDefault="00354A26" w:rsidP="0034182C">
            <w:pPr>
              <w:spacing w:after="80"/>
              <w:ind w:right="57"/>
              <w:jc w:val="right"/>
              <w:rPr>
                <w:sz w:val="17"/>
                <w:szCs w:val="17"/>
              </w:rPr>
            </w:pPr>
            <w:r w:rsidRPr="008136A1">
              <w:rPr>
                <w:rFonts w:hint="eastAsia"/>
                <w:sz w:val="17"/>
                <w:szCs w:val="17"/>
              </w:rPr>
              <w:t>63.0</w:t>
            </w:r>
          </w:p>
        </w:tc>
        <w:tc>
          <w:tcPr>
            <w:tcW w:w="1371" w:type="dxa"/>
            <w:tcBorders>
              <w:bottom w:val="single" w:sz="12" w:space="0" w:color="auto"/>
            </w:tcBorders>
            <w:shd w:val="clear" w:color="auto" w:fill="auto"/>
          </w:tcPr>
          <w:p w:rsidR="00354A26" w:rsidRPr="008136A1" w:rsidRDefault="00354A26" w:rsidP="0034182C">
            <w:pPr>
              <w:spacing w:after="80"/>
              <w:ind w:right="57"/>
              <w:jc w:val="right"/>
              <w:rPr>
                <w:sz w:val="17"/>
                <w:szCs w:val="17"/>
              </w:rPr>
            </w:pPr>
            <w:r w:rsidRPr="008136A1">
              <w:rPr>
                <w:rFonts w:hint="eastAsia"/>
                <w:sz w:val="17"/>
                <w:szCs w:val="17"/>
              </w:rPr>
              <w:t>38.4</w:t>
            </w:r>
          </w:p>
        </w:tc>
        <w:tc>
          <w:tcPr>
            <w:tcW w:w="1847" w:type="dxa"/>
            <w:tcBorders>
              <w:bottom w:val="single" w:sz="12" w:space="0" w:color="auto"/>
            </w:tcBorders>
            <w:shd w:val="clear" w:color="auto" w:fill="auto"/>
          </w:tcPr>
          <w:p w:rsidR="00354A26" w:rsidRPr="008136A1" w:rsidRDefault="00354A26" w:rsidP="0034182C">
            <w:pPr>
              <w:spacing w:after="80"/>
              <w:ind w:right="57"/>
              <w:jc w:val="right"/>
              <w:rPr>
                <w:sz w:val="17"/>
                <w:szCs w:val="17"/>
              </w:rPr>
            </w:pPr>
            <w:r w:rsidRPr="008136A1">
              <w:rPr>
                <w:rFonts w:hint="eastAsia"/>
                <w:sz w:val="17"/>
                <w:szCs w:val="17"/>
              </w:rPr>
              <w:t>39.6</w:t>
            </w:r>
          </w:p>
        </w:tc>
      </w:tr>
    </w:tbl>
    <w:p w:rsidR="00354A26" w:rsidRPr="00E432F7" w:rsidRDefault="00354A26" w:rsidP="0034182C">
      <w:pPr>
        <w:pStyle w:val="SingleTxt"/>
        <w:spacing w:after="0" w:line="120" w:lineRule="exact"/>
        <w:rPr>
          <w:sz w:val="10"/>
        </w:rPr>
      </w:pPr>
    </w:p>
    <w:p w:rsidR="00354A26" w:rsidRPr="008136A1" w:rsidRDefault="00354A26" w:rsidP="0034182C">
      <w:pPr>
        <w:pStyle w:val="SingleTxt"/>
        <w:spacing w:after="0" w:line="120" w:lineRule="exact"/>
        <w:rPr>
          <w:rFonts w:hint="eastAsia"/>
          <w:sz w:val="10"/>
        </w:rPr>
      </w:pPr>
    </w:p>
    <w:p w:rsidR="00354A26" w:rsidRDefault="00354A26" w:rsidP="0034182C">
      <w:pPr>
        <w:pStyle w:val="SingleTxt"/>
      </w:pPr>
      <w:r>
        <w:rPr>
          <w:rFonts w:hint="eastAsia"/>
        </w:rPr>
        <w:t>86.</w:t>
      </w:r>
      <w:r>
        <w:rPr>
          <w:rFonts w:hint="eastAsia"/>
        </w:rPr>
        <w:tab/>
        <w:t>特别是自1968年以来，古巴有关所有类型的堕胎(包括流产)的数据的可靠性得到了有关国际机构的公认；这意味着可以确定其趋势和特点，见上表。</w:t>
      </w:r>
    </w:p>
    <w:p w:rsidR="00354A26" w:rsidRDefault="00354A26" w:rsidP="0034182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13.</w:t>
      </w:r>
      <w:r>
        <w:rPr>
          <w:rFonts w:hint="eastAsia"/>
        </w:rPr>
        <w:tab/>
        <w:t xml:space="preserve">计划生育 </w:t>
      </w:r>
    </w:p>
    <w:p w:rsidR="00354A26" w:rsidRPr="00E432F7" w:rsidRDefault="00354A26" w:rsidP="0034182C">
      <w:pPr>
        <w:pStyle w:val="SingleTxt"/>
        <w:spacing w:after="0" w:line="120" w:lineRule="exact"/>
        <w:rPr>
          <w:rFonts w:hint="eastAsia"/>
          <w:sz w:val="10"/>
        </w:rPr>
      </w:pPr>
    </w:p>
    <w:p w:rsidR="00354A26" w:rsidRDefault="00354A26" w:rsidP="0034182C">
      <w:pPr>
        <w:pStyle w:val="SingleTxt"/>
      </w:pPr>
      <w:r>
        <w:rPr>
          <w:rFonts w:hint="eastAsia"/>
        </w:rPr>
        <w:t>87.</w:t>
      </w:r>
      <w:r>
        <w:rPr>
          <w:rFonts w:hint="eastAsia"/>
        </w:rPr>
        <w:tab/>
        <w:t>古巴国家卫生系统实施计划生育方案，由于可持续稳定获得已全面覆盖的计划生育服务网络的服务，避孕覆盖率高达78%。50%以上的避孕药具使用者有宫内节育器，很少使用口服和注射激素，一旦失灵，就无法达到理想的避孕质量。</w:t>
      </w:r>
    </w:p>
    <w:p w:rsidR="00354A26" w:rsidRDefault="00354A26" w:rsidP="0034182C">
      <w:pPr>
        <w:pStyle w:val="SingleTxt"/>
      </w:pPr>
      <w:r>
        <w:rPr>
          <w:rFonts w:hint="eastAsia"/>
        </w:rPr>
        <w:t>88.</w:t>
      </w:r>
      <w:r>
        <w:rPr>
          <w:rFonts w:hint="eastAsia"/>
        </w:rPr>
        <w:tab/>
        <w:t>2011-2012年多指标类集调查的结果表明，81.6%的避孕需求得到满足。然而，为将宫内节育器使用减少至低于30%，并将注射和口服避孕药使用分别增加到14%和30%，对象是年轻妇女和30岁以上妇女，她们占育龄妇女人口60%，所需高质量避孕药具将出现短缺。这些需求是质量方面的，而不是数量方面的，这主要是由于美利坚合众国对古巴实施经济、商业和金融禁运带来的经济制约因素造成的。</w:t>
      </w:r>
    </w:p>
    <w:p w:rsidR="00354A26" w:rsidRPr="00D176C9" w:rsidRDefault="00354A26" w:rsidP="0034182C">
      <w:pPr>
        <w:pStyle w:val="SingleTxt"/>
        <w:spacing w:after="180"/>
        <w:rPr>
          <w:rFonts w:ascii="SimHei" w:eastAsia="SimHei" w:hint="eastAsia"/>
        </w:rPr>
      </w:pPr>
      <w:r w:rsidRPr="00D176C9">
        <w:rPr>
          <w:rFonts w:ascii="SimHei" w:eastAsia="SimHei" w:hint="eastAsia"/>
        </w:rPr>
        <w:t>2011年古巴按方法分列的避孕药具覆盖率百分比</w:t>
      </w:r>
    </w:p>
    <w:tbl>
      <w:tblPr>
        <w:tblW w:w="0" w:type="auto"/>
        <w:tblInd w:w="1260" w:type="dxa"/>
        <w:tblLayout w:type="fixed"/>
        <w:tblCellMar>
          <w:left w:w="0" w:type="dxa"/>
          <w:right w:w="0" w:type="dxa"/>
        </w:tblCellMar>
        <w:tblLook w:val="0000"/>
      </w:tblPr>
      <w:tblGrid>
        <w:gridCol w:w="3660"/>
        <w:gridCol w:w="3660"/>
      </w:tblGrid>
      <w:tr w:rsidR="00354A26" w:rsidRPr="003C4B82" w:rsidTr="003C4B82">
        <w:tblPrEx>
          <w:tblCellMar>
            <w:top w:w="0" w:type="dxa"/>
            <w:bottom w:w="0" w:type="dxa"/>
          </w:tblCellMar>
        </w:tblPrEx>
        <w:tc>
          <w:tcPr>
            <w:tcW w:w="3660" w:type="dxa"/>
            <w:tcBorders>
              <w:top w:val="single" w:sz="4" w:space="0" w:color="auto"/>
            </w:tcBorders>
            <w:shd w:val="clear" w:color="auto" w:fill="auto"/>
            <w:vAlign w:val="bottom"/>
          </w:tcPr>
          <w:p w:rsidR="00354A26" w:rsidRPr="003C4B82" w:rsidRDefault="00354A26" w:rsidP="003C4B82">
            <w:pPr>
              <w:tabs>
                <w:tab w:val="left" w:pos="334"/>
                <w:tab w:val="left" w:pos="669"/>
                <w:tab w:val="left" w:pos="1003"/>
                <w:tab w:val="left" w:pos="1338"/>
              </w:tabs>
              <w:suppressAutoHyphens/>
              <w:spacing w:after="60" w:line="280" w:lineRule="exact"/>
              <w:ind w:right="57"/>
              <w:rPr>
                <w:sz w:val="17"/>
                <w:szCs w:val="17"/>
              </w:rPr>
            </w:pPr>
            <w:r w:rsidRPr="003C4B82">
              <w:rPr>
                <w:rFonts w:hint="eastAsia"/>
                <w:sz w:val="17"/>
                <w:szCs w:val="17"/>
              </w:rPr>
              <w:t>宫内节育器</w:t>
            </w:r>
          </w:p>
        </w:tc>
        <w:tc>
          <w:tcPr>
            <w:tcW w:w="3660" w:type="dxa"/>
            <w:tcBorders>
              <w:top w:val="single" w:sz="4" w:space="0" w:color="auto"/>
            </w:tcBorders>
            <w:shd w:val="clear" w:color="auto" w:fill="auto"/>
            <w:vAlign w:val="bottom"/>
          </w:tcPr>
          <w:p w:rsidR="00354A26" w:rsidRPr="003C4B82" w:rsidRDefault="00354A26" w:rsidP="003C4B82">
            <w:pPr>
              <w:tabs>
                <w:tab w:val="left" w:pos="334"/>
                <w:tab w:val="left" w:pos="669"/>
                <w:tab w:val="left" w:pos="1003"/>
                <w:tab w:val="left" w:pos="1338"/>
              </w:tabs>
              <w:suppressAutoHyphens/>
              <w:spacing w:after="60" w:line="280" w:lineRule="exact"/>
              <w:ind w:right="57"/>
              <w:jc w:val="right"/>
              <w:rPr>
                <w:sz w:val="17"/>
                <w:szCs w:val="17"/>
              </w:rPr>
            </w:pPr>
            <w:r w:rsidRPr="003C4B82">
              <w:rPr>
                <w:rFonts w:hint="eastAsia"/>
                <w:sz w:val="17"/>
                <w:szCs w:val="17"/>
              </w:rPr>
              <w:t>51.3</w:t>
            </w:r>
          </w:p>
        </w:tc>
      </w:tr>
      <w:tr w:rsidR="00354A26" w:rsidRPr="003C4B82" w:rsidTr="003C4B82">
        <w:tblPrEx>
          <w:tblCellMar>
            <w:top w:w="0" w:type="dxa"/>
            <w:bottom w:w="0" w:type="dxa"/>
          </w:tblCellMar>
        </w:tblPrEx>
        <w:tc>
          <w:tcPr>
            <w:tcW w:w="3660" w:type="dxa"/>
            <w:shd w:val="clear" w:color="auto" w:fill="auto"/>
            <w:vAlign w:val="bottom"/>
          </w:tcPr>
          <w:p w:rsidR="00354A26" w:rsidRPr="003C4B82" w:rsidRDefault="00354A26" w:rsidP="003C4B82">
            <w:pPr>
              <w:tabs>
                <w:tab w:val="left" w:pos="334"/>
                <w:tab w:val="left" w:pos="669"/>
                <w:tab w:val="left" w:pos="1003"/>
                <w:tab w:val="left" w:pos="1338"/>
              </w:tabs>
              <w:suppressAutoHyphens/>
              <w:spacing w:after="60" w:line="280" w:lineRule="exact"/>
              <w:ind w:right="57"/>
              <w:rPr>
                <w:sz w:val="17"/>
                <w:szCs w:val="17"/>
              </w:rPr>
            </w:pPr>
            <w:r w:rsidRPr="003C4B82">
              <w:rPr>
                <w:rFonts w:hint="eastAsia"/>
                <w:sz w:val="17"/>
                <w:szCs w:val="17"/>
              </w:rPr>
              <w:t>绝育</w:t>
            </w:r>
          </w:p>
        </w:tc>
        <w:tc>
          <w:tcPr>
            <w:tcW w:w="3660" w:type="dxa"/>
            <w:shd w:val="clear" w:color="auto" w:fill="auto"/>
            <w:vAlign w:val="bottom"/>
          </w:tcPr>
          <w:p w:rsidR="00354A26" w:rsidRPr="003C4B82" w:rsidRDefault="00354A26" w:rsidP="003C4B82">
            <w:pPr>
              <w:tabs>
                <w:tab w:val="left" w:pos="334"/>
                <w:tab w:val="left" w:pos="669"/>
                <w:tab w:val="left" w:pos="1003"/>
                <w:tab w:val="left" w:pos="1338"/>
              </w:tabs>
              <w:suppressAutoHyphens/>
              <w:spacing w:after="60" w:line="280" w:lineRule="exact"/>
              <w:ind w:right="57"/>
              <w:jc w:val="right"/>
              <w:rPr>
                <w:sz w:val="17"/>
                <w:szCs w:val="17"/>
              </w:rPr>
            </w:pPr>
            <w:r w:rsidRPr="003C4B82">
              <w:rPr>
                <w:rFonts w:hint="eastAsia"/>
                <w:sz w:val="17"/>
                <w:szCs w:val="17"/>
              </w:rPr>
              <w:t>19.2</w:t>
            </w:r>
          </w:p>
        </w:tc>
      </w:tr>
      <w:tr w:rsidR="00354A26" w:rsidRPr="003C4B82" w:rsidTr="003C4B82">
        <w:tblPrEx>
          <w:tblCellMar>
            <w:top w:w="0" w:type="dxa"/>
            <w:bottom w:w="0" w:type="dxa"/>
          </w:tblCellMar>
        </w:tblPrEx>
        <w:tc>
          <w:tcPr>
            <w:tcW w:w="3660" w:type="dxa"/>
            <w:shd w:val="clear" w:color="auto" w:fill="auto"/>
            <w:vAlign w:val="bottom"/>
          </w:tcPr>
          <w:p w:rsidR="00354A26" w:rsidRPr="003C4B82" w:rsidRDefault="00354A26" w:rsidP="003C4B82">
            <w:pPr>
              <w:tabs>
                <w:tab w:val="left" w:pos="334"/>
                <w:tab w:val="left" w:pos="669"/>
                <w:tab w:val="left" w:pos="1003"/>
                <w:tab w:val="left" w:pos="1338"/>
              </w:tabs>
              <w:suppressAutoHyphens/>
              <w:spacing w:after="60" w:line="280" w:lineRule="exact"/>
              <w:ind w:right="57"/>
              <w:rPr>
                <w:sz w:val="17"/>
                <w:szCs w:val="17"/>
              </w:rPr>
            </w:pPr>
            <w:r w:rsidRPr="003C4B82">
              <w:rPr>
                <w:rFonts w:hint="eastAsia"/>
                <w:sz w:val="17"/>
                <w:szCs w:val="17"/>
              </w:rPr>
              <w:t>口服</w:t>
            </w:r>
          </w:p>
        </w:tc>
        <w:tc>
          <w:tcPr>
            <w:tcW w:w="3660" w:type="dxa"/>
            <w:shd w:val="clear" w:color="auto" w:fill="auto"/>
            <w:vAlign w:val="bottom"/>
          </w:tcPr>
          <w:p w:rsidR="00354A26" w:rsidRPr="003C4B82" w:rsidRDefault="00354A26" w:rsidP="003C4B82">
            <w:pPr>
              <w:tabs>
                <w:tab w:val="left" w:pos="334"/>
                <w:tab w:val="left" w:pos="669"/>
                <w:tab w:val="left" w:pos="1003"/>
                <w:tab w:val="left" w:pos="1338"/>
              </w:tabs>
              <w:suppressAutoHyphens/>
              <w:spacing w:after="60" w:line="280" w:lineRule="exact"/>
              <w:ind w:right="57"/>
              <w:jc w:val="right"/>
              <w:rPr>
                <w:sz w:val="17"/>
                <w:szCs w:val="17"/>
              </w:rPr>
            </w:pPr>
            <w:r w:rsidRPr="003C4B82">
              <w:rPr>
                <w:rFonts w:hint="eastAsia"/>
                <w:sz w:val="17"/>
                <w:szCs w:val="17"/>
              </w:rPr>
              <w:t>10.2</w:t>
            </w:r>
          </w:p>
        </w:tc>
      </w:tr>
      <w:tr w:rsidR="00354A26" w:rsidRPr="003C4B82" w:rsidTr="003C4B82">
        <w:tblPrEx>
          <w:tblCellMar>
            <w:top w:w="0" w:type="dxa"/>
            <w:bottom w:w="0" w:type="dxa"/>
          </w:tblCellMar>
        </w:tblPrEx>
        <w:tc>
          <w:tcPr>
            <w:tcW w:w="3660" w:type="dxa"/>
            <w:shd w:val="clear" w:color="auto" w:fill="auto"/>
            <w:vAlign w:val="bottom"/>
          </w:tcPr>
          <w:p w:rsidR="00354A26" w:rsidRPr="003C4B82" w:rsidRDefault="00354A26" w:rsidP="003C4B82">
            <w:pPr>
              <w:tabs>
                <w:tab w:val="left" w:pos="334"/>
                <w:tab w:val="left" w:pos="669"/>
                <w:tab w:val="left" w:pos="1003"/>
                <w:tab w:val="left" w:pos="1338"/>
              </w:tabs>
              <w:suppressAutoHyphens/>
              <w:spacing w:after="60" w:line="280" w:lineRule="exact"/>
              <w:ind w:right="57"/>
              <w:rPr>
                <w:sz w:val="17"/>
                <w:szCs w:val="17"/>
              </w:rPr>
            </w:pPr>
            <w:r w:rsidRPr="003C4B82">
              <w:rPr>
                <w:rFonts w:hint="eastAsia"/>
                <w:sz w:val="17"/>
                <w:szCs w:val="17"/>
              </w:rPr>
              <w:t>注射</w:t>
            </w:r>
          </w:p>
        </w:tc>
        <w:tc>
          <w:tcPr>
            <w:tcW w:w="3660" w:type="dxa"/>
            <w:shd w:val="clear" w:color="auto" w:fill="auto"/>
            <w:vAlign w:val="bottom"/>
          </w:tcPr>
          <w:p w:rsidR="00354A26" w:rsidRPr="003C4B82" w:rsidRDefault="00354A26" w:rsidP="003C4B82">
            <w:pPr>
              <w:tabs>
                <w:tab w:val="left" w:pos="334"/>
                <w:tab w:val="left" w:pos="669"/>
                <w:tab w:val="left" w:pos="1003"/>
                <w:tab w:val="left" w:pos="1338"/>
              </w:tabs>
              <w:suppressAutoHyphens/>
              <w:spacing w:after="60" w:line="280" w:lineRule="exact"/>
              <w:ind w:right="57"/>
              <w:jc w:val="right"/>
              <w:rPr>
                <w:sz w:val="17"/>
                <w:szCs w:val="17"/>
              </w:rPr>
            </w:pPr>
            <w:r w:rsidRPr="003C4B82">
              <w:rPr>
                <w:rFonts w:hint="eastAsia"/>
                <w:sz w:val="17"/>
                <w:szCs w:val="17"/>
              </w:rPr>
              <w:t>5.4</w:t>
            </w:r>
          </w:p>
        </w:tc>
      </w:tr>
      <w:tr w:rsidR="00354A26" w:rsidRPr="003C4B82" w:rsidTr="003C4B82">
        <w:tblPrEx>
          <w:tblCellMar>
            <w:top w:w="0" w:type="dxa"/>
            <w:bottom w:w="0" w:type="dxa"/>
          </w:tblCellMar>
        </w:tblPrEx>
        <w:tc>
          <w:tcPr>
            <w:tcW w:w="3660" w:type="dxa"/>
            <w:shd w:val="clear" w:color="auto" w:fill="auto"/>
            <w:vAlign w:val="bottom"/>
          </w:tcPr>
          <w:p w:rsidR="00354A26" w:rsidRPr="003C4B82" w:rsidRDefault="00354A26" w:rsidP="003C4B82">
            <w:pPr>
              <w:tabs>
                <w:tab w:val="left" w:pos="334"/>
                <w:tab w:val="left" w:pos="669"/>
                <w:tab w:val="left" w:pos="1003"/>
                <w:tab w:val="left" w:pos="1338"/>
              </w:tabs>
              <w:suppressAutoHyphens/>
              <w:spacing w:after="60" w:line="280" w:lineRule="exact"/>
              <w:ind w:right="57"/>
              <w:rPr>
                <w:sz w:val="17"/>
                <w:szCs w:val="17"/>
              </w:rPr>
            </w:pPr>
            <w:r w:rsidRPr="003C4B82">
              <w:rPr>
                <w:rFonts w:hint="eastAsia"/>
                <w:sz w:val="17"/>
                <w:szCs w:val="17"/>
              </w:rPr>
              <w:t>避孕套</w:t>
            </w:r>
          </w:p>
        </w:tc>
        <w:tc>
          <w:tcPr>
            <w:tcW w:w="3660" w:type="dxa"/>
            <w:shd w:val="clear" w:color="auto" w:fill="auto"/>
            <w:vAlign w:val="bottom"/>
          </w:tcPr>
          <w:p w:rsidR="00354A26" w:rsidRPr="003C4B82" w:rsidRDefault="00354A26" w:rsidP="003C4B82">
            <w:pPr>
              <w:tabs>
                <w:tab w:val="left" w:pos="334"/>
                <w:tab w:val="left" w:pos="669"/>
                <w:tab w:val="left" w:pos="1003"/>
                <w:tab w:val="left" w:pos="1338"/>
              </w:tabs>
              <w:suppressAutoHyphens/>
              <w:spacing w:after="60" w:line="280" w:lineRule="exact"/>
              <w:ind w:right="57"/>
              <w:jc w:val="right"/>
              <w:rPr>
                <w:sz w:val="17"/>
                <w:szCs w:val="17"/>
              </w:rPr>
            </w:pPr>
            <w:r w:rsidRPr="003C4B82">
              <w:rPr>
                <w:rFonts w:hint="eastAsia"/>
                <w:sz w:val="17"/>
                <w:szCs w:val="17"/>
              </w:rPr>
              <w:t>12.5</w:t>
            </w:r>
          </w:p>
        </w:tc>
      </w:tr>
      <w:tr w:rsidR="00354A26" w:rsidRPr="003C4B82" w:rsidTr="003C4B82">
        <w:tblPrEx>
          <w:tblCellMar>
            <w:top w:w="0" w:type="dxa"/>
            <w:bottom w:w="0" w:type="dxa"/>
          </w:tblCellMar>
        </w:tblPrEx>
        <w:tc>
          <w:tcPr>
            <w:tcW w:w="3660" w:type="dxa"/>
            <w:tcBorders>
              <w:bottom w:val="single" w:sz="12" w:space="0" w:color="auto"/>
            </w:tcBorders>
            <w:shd w:val="clear" w:color="auto" w:fill="auto"/>
            <w:vAlign w:val="bottom"/>
          </w:tcPr>
          <w:p w:rsidR="00354A26" w:rsidRPr="003C4B82" w:rsidRDefault="00354A26" w:rsidP="003C4B82">
            <w:pPr>
              <w:tabs>
                <w:tab w:val="left" w:pos="334"/>
                <w:tab w:val="left" w:pos="669"/>
                <w:tab w:val="left" w:pos="1003"/>
                <w:tab w:val="left" w:pos="1338"/>
              </w:tabs>
              <w:suppressAutoHyphens/>
              <w:spacing w:after="60" w:line="280" w:lineRule="exact"/>
              <w:ind w:right="57"/>
              <w:rPr>
                <w:sz w:val="17"/>
                <w:szCs w:val="17"/>
              </w:rPr>
            </w:pPr>
            <w:r w:rsidRPr="003C4B82">
              <w:rPr>
                <w:rFonts w:hint="eastAsia"/>
                <w:sz w:val="17"/>
                <w:szCs w:val="17"/>
              </w:rPr>
              <w:t>其他</w:t>
            </w:r>
          </w:p>
        </w:tc>
        <w:tc>
          <w:tcPr>
            <w:tcW w:w="3660" w:type="dxa"/>
            <w:tcBorders>
              <w:bottom w:val="single" w:sz="12" w:space="0" w:color="auto"/>
            </w:tcBorders>
            <w:shd w:val="clear" w:color="auto" w:fill="auto"/>
            <w:vAlign w:val="bottom"/>
          </w:tcPr>
          <w:p w:rsidR="00354A26" w:rsidRPr="003C4B82" w:rsidRDefault="00354A26" w:rsidP="003C4B82">
            <w:pPr>
              <w:tabs>
                <w:tab w:val="left" w:pos="334"/>
                <w:tab w:val="left" w:pos="669"/>
                <w:tab w:val="left" w:pos="1003"/>
                <w:tab w:val="left" w:pos="1338"/>
              </w:tabs>
              <w:suppressAutoHyphens/>
              <w:spacing w:after="60" w:line="280" w:lineRule="exact"/>
              <w:ind w:right="57"/>
              <w:jc w:val="right"/>
              <w:rPr>
                <w:sz w:val="17"/>
                <w:szCs w:val="17"/>
              </w:rPr>
            </w:pPr>
            <w:r w:rsidRPr="003C4B82">
              <w:rPr>
                <w:rFonts w:hint="eastAsia"/>
                <w:sz w:val="17"/>
                <w:szCs w:val="17"/>
              </w:rPr>
              <w:t>1.5</w:t>
            </w:r>
          </w:p>
        </w:tc>
      </w:tr>
    </w:tbl>
    <w:p w:rsidR="00354A26" w:rsidRPr="00D176C9" w:rsidRDefault="00354A26" w:rsidP="0034182C">
      <w:pPr>
        <w:pStyle w:val="SingleTxt"/>
        <w:spacing w:after="0" w:line="120" w:lineRule="exact"/>
        <w:rPr>
          <w:sz w:val="10"/>
        </w:rPr>
      </w:pPr>
    </w:p>
    <w:p w:rsidR="00354A26" w:rsidRPr="00F0240A" w:rsidRDefault="00354A26" w:rsidP="0034182C">
      <w:pPr>
        <w:pStyle w:val="SingleTxt"/>
        <w:rPr>
          <w:sz w:val="18"/>
          <w:szCs w:val="18"/>
        </w:rPr>
      </w:pPr>
      <w:r w:rsidRPr="00F0240A">
        <w:rPr>
          <w:rFonts w:ascii="KaiTi_GB2312" w:eastAsia="KaiTi_GB2312" w:hint="eastAsia"/>
          <w:sz w:val="18"/>
          <w:szCs w:val="18"/>
        </w:rPr>
        <w:t>资料来源</w:t>
      </w:r>
      <w:r w:rsidRPr="00F0240A">
        <w:rPr>
          <w:rFonts w:hint="eastAsia"/>
          <w:sz w:val="18"/>
          <w:szCs w:val="18"/>
        </w:rPr>
        <w:t>：2011年公共卫生年鉴</w:t>
      </w:r>
      <w:r>
        <w:rPr>
          <w:rFonts w:hint="eastAsia"/>
          <w:sz w:val="18"/>
          <w:szCs w:val="18"/>
        </w:rPr>
        <w:t>。</w:t>
      </w:r>
    </w:p>
    <w:p w:rsidR="00354A26" w:rsidRPr="00832DB3" w:rsidRDefault="00354A26" w:rsidP="0034182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imes New Roman"/>
          <w:sz w:val="10"/>
        </w:rPr>
      </w:pPr>
    </w:p>
    <w:p w:rsidR="00354A26" w:rsidRPr="00D176C9" w:rsidRDefault="00354A26" w:rsidP="0034182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ascii="Times New Roman"/>
        </w:rPr>
        <w:tab/>
      </w:r>
      <w:r>
        <w:rPr>
          <w:rFonts w:ascii="Times New Roman"/>
        </w:rPr>
        <w:tab/>
      </w:r>
      <w:r w:rsidRPr="00D176C9">
        <w:rPr>
          <w:rFonts w:hint="eastAsia"/>
        </w:rPr>
        <w:t>就业</w:t>
      </w:r>
    </w:p>
    <w:p w:rsidR="00354A26" w:rsidRPr="00301EB8" w:rsidRDefault="00354A26" w:rsidP="0034182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354A26" w:rsidRDefault="00354A26" w:rsidP="0034182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Pr>
          <w:rFonts w:hint="eastAsia"/>
        </w:rPr>
        <w:t>14.</w:t>
      </w:r>
      <w:r>
        <w:tab/>
      </w:r>
      <w:r>
        <w:rPr>
          <w:rFonts w:hint="eastAsia"/>
        </w:rPr>
        <w:t>就业问题</w:t>
      </w:r>
    </w:p>
    <w:p w:rsidR="00354A26" w:rsidRPr="00D176C9" w:rsidRDefault="00354A26" w:rsidP="0034182C">
      <w:pPr>
        <w:pStyle w:val="SingleTxt"/>
        <w:spacing w:after="0" w:line="120" w:lineRule="exact"/>
        <w:rPr>
          <w:rFonts w:hint="eastAsia"/>
          <w:sz w:val="10"/>
        </w:rPr>
      </w:pPr>
    </w:p>
    <w:p w:rsidR="00354A26" w:rsidRDefault="00354A26" w:rsidP="003C4B82">
      <w:pPr>
        <w:pStyle w:val="SingleTxt"/>
        <w:spacing w:line="340" w:lineRule="exact"/>
      </w:pPr>
      <w:r>
        <w:rPr>
          <w:rFonts w:hint="eastAsia"/>
        </w:rPr>
        <w:t>89.</w:t>
      </w:r>
      <w:r>
        <w:tab/>
      </w:r>
      <w:r>
        <w:rPr>
          <w:rFonts w:hint="eastAsia"/>
        </w:rPr>
        <w:t>这些调整旨在改进公正和平等的经济的模式，其中包括努力促进妇女获得就业机会，包括男女自雇这种新模式；男女都可不受歧视地平等获得信贷、贷款、服务和社会保障方案。</w:t>
      </w:r>
    </w:p>
    <w:p w:rsidR="00354A26" w:rsidRDefault="00354A26" w:rsidP="003C4B82">
      <w:pPr>
        <w:pStyle w:val="SingleTxt"/>
        <w:spacing w:line="340" w:lineRule="exact"/>
      </w:pPr>
      <w:r>
        <w:rPr>
          <w:rFonts w:hint="eastAsia"/>
        </w:rPr>
        <w:t>90.</w:t>
      </w:r>
      <w:r>
        <w:tab/>
      </w:r>
      <w:r>
        <w:rPr>
          <w:rFonts w:hint="eastAsia"/>
        </w:rPr>
        <w:t>正在采取步骤增加从事非传统工作妇女的人数。从有关授予个人土地使用权的新规以及根据第 300号法令扩大这些授予的规模就可以看出这一点；成千上万的女人在与男子平等的条件下利用这一模式。</w:t>
      </w:r>
    </w:p>
    <w:p w:rsidR="00354A26" w:rsidRDefault="00354A26" w:rsidP="003C4B82">
      <w:pPr>
        <w:pStyle w:val="SingleTxt"/>
        <w:spacing w:line="340" w:lineRule="exact"/>
        <w:rPr>
          <w:rFonts w:hint="eastAsia"/>
        </w:rPr>
      </w:pPr>
      <w:r>
        <w:rPr>
          <w:rFonts w:hint="eastAsia"/>
        </w:rPr>
        <w:t>91.</w:t>
      </w:r>
      <w:r>
        <w:tab/>
      </w:r>
      <w:r>
        <w:rPr>
          <w:rFonts w:hint="eastAsia"/>
        </w:rPr>
        <w:t>古巴国家机构有责任本着人人平等的原则从小教育全体男女公民。此外，《刑法》第八章第295条第1款(侵犯平等权)规定，“歧视他人的行为，推动或煽动歧视的行为，无论是对性别、种族、肤色和民族血统表示攻击或敌意的，还是因为性别、种族、肤色和民族血统而妨碍或阻挠他人行使或享有宪法赋予的平等权利的，都将被判处6个月至两年有期徒刑，或以每日最低工资的200至500倍进行罚款，或两者并罚”。</w:t>
      </w:r>
    </w:p>
    <w:p w:rsidR="00354A26" w:rsidRDefault="00354A26" w:rsidP="003C4B82">
      <w:pPr>
        <w:pStyle w:val="SingleTxt"/>
        <w:spacing w:line="340" w:lineRule="exact"/>
        <w:rPr>
          <w:rFonts w:hint="eastAsia"/>
        </w:rPr>
      </w:pPr>
      <w:r>
        <w:rPr>
          <w:rFonts w:hint="eastAsia"/>
        </w:rPr>
        <w:t>92.</w:t>
      </w:r>
      <w:r>
        <w:tab/>
      </w:r>
      <w:r>
        <w:rPr>
          <w:rFonts w:hint="eastAsia"/>
        </w:rPr>
        <w:t>1999年最新版《刑法》第5节第303条将性骚扰定为刑事犯罪。</w:t>
      </w:r>
    </w:p>
    <w:p w:rsidR="00354A26" w:rsidRPr="00BA5AB8" w:rsidRDefault="00354A26" w:rsidP="003C4B82">
      <w:pPr>
        <w:pStyle w:val="SingleTxt"/>
        <w:spacing w:line="340" w:lineRule="exact"/>
      </w:pPr>
      <w:r>
        <w:rPr>
          <w:rFonts w:hint="eastAsia"/>
        </w:rPr>
        <w:t>93.</w:t>
      </w:r>
      <w:r>
        <w:tab/>
      </w:r>
      <w:r>
        <w:rPr>
          <w:rFonts w:hint="eastAsia"/>
        </w:rPr>
        <w:t>1997年8月15日第176号法令第五章(</w:t>
      </w:r>
      <w:r>
        <w:t>j</w:t>
      </w:r>
      <w:r>
        <w:rPr>
          <w:rFonts w:hint="eastAsia"/>
        </w:rPr>
        <w:t>)确立了劳工司法制度，将在工作场所不服从行为定义为“违反工作场所规则或在工作时犯下的行为或举止”，并规定适用于三种最严厉的处罚。实施任何纪律措施并不妨碍刑事责任。显然，虽然劳动法没有实际上或具体提到性骚扰，但它是不服从行为之一，这种行为可能构成犯罪，将受到最严厉的处罚。</w:t>
      </w:r>
    </w:p>
    <w:p w:rsidR="00733ECF" w:rsidRDefault="00733ECF" w:rsidP="00733E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Pr>
          <w:rFonts w:hint="eastAsia"/>
        </w:rPr>
        <w:t>15.</w:t>
      </w:r>
      <w:r>
        <w:rPr>
          <w:rFonts w:hint="eastAsia"/>
        </w:rPr>
        <w:tab/>
        <w:t>自营职业</w:t>
      </w:r>
    </w:p>
    <w:p w:rsidR="00733ECF" w:rsidRPr="00733ECF" w:rsidRDefault="00733ECF" w:rsidP="00733ECF">
      <w:pPr>
        <w:pStyle w:val="SingleTxt"/>
        <w:spacing w:after="0" w:line="120" w:lineRule="exact"/>
        <w:ind w:right="0"/>
        <w:rPr>
          <w:rFonts w:hint="eastAsia"/>
          <w:sz w:val="10"/>
        </w:rPr>
      </w:pPr>
    </w:p>
    <w:p w:rsidR="00733ECF" w:rsidRDefault="00733ECF" w:rsidP="00733ECF">
      <w:pPr>
        <w:pStyle w:val="SingleTxt"/>
        <w:spacing w:line="312" w:lineRule="exact"/>
        <w:rPr>
          <w:rFonts w:hint="eastAsia"/>
        </w:rPr>
      </w:pPr>
      <w:r>
        <w:rPr>
          <w:rFonts w:hint="eastAsia"/>
        </w:rPr>
        <w:t>94.</w:t>
      </w:r>
      <w:r>
        <w:rPr>
          <w:rFonts w:hint="eastAsia"/>
        </w:rPr>
        <w:tab/>
        <w:t>自营职业作为一种替代就业形式，近些年来显著增加。各领域自营职业者已超过40万人，其中25%以上为妇女。66%自营职业妇女的年龄在31岁到60岁之间，17%不到30岁。大多数自营职业妇女从事房屋出租、饮食服务、各类物品的生产和销售、以及承包等工作。</w:t>
      </w:r>
    </w:p>
    <w:p w:rsidR="00733ECF" w:rsidRDefault="00733ECF" w:rsidP="00733ECF">
      <w:pPr>
        <w:pStyle w:val="SingleTxt"/>
        <w:spacing w:line="312" w:lineRule="exact"/>
        <w:rPr>
          <w:rFonts w:hint="eastAsia"/>
        </w:rPr>
      </w:pPr>
      <w:r>
        <w:rPr>
          <w:rFonts w:hint="eastAsia"/>
        </w:rPr>
        <w:t>95.</w:t>
      </w:r>
      <w:r>
        <w:tab/>
      </w:r>
      <w:r>
        <w:rPr>
          <w:rFonts w:hint="eastAsia"/>
        </w:rPr>
        <w:t>自营职业妇女的许多关切已通过关于特别社会保障计划的第278号法令、关于贷款及其他银行服务的第289号法令、以及其他支持这一非国营工作形式的决议加以处理。</w:t>
      </w:r>
    </w:p>
    <w:p w:rsidR="00733ECF" w:rsidRDefault="00733ECF" w:rsidP="00733ECF">
      <w:pPr>
        <w:pStyle w:val="SingleTxt"/>
        <w:spacing w:line="312" w:lineRule="exact"/>
        <w:rPr>
          <w:rFonts w:hint="eastAsia"/>
        </w:rPr>
      </w:pPr>
      <w:r>
        <w:rPr>
          <w:rFonts w:hint="eastAsia"/>
        </w:rPr>
        <w:t>96.</w:t>
      </w:r>
      <w:r>
        <w:tab/>
      </w:r>
      <w:r>
        <w:rPr>
          <w:rFonts w:hint="eastAsia"/>
        </w:rPr>
        <w:t>2008年12月27日关于社会保障的第105号法案第1条规定，国家通过由普遍社会保障计划、社会援助计划和特别计划组成的社会保障制度，确保为劳动者及其家庭和广大民众提供适足保护。</w:t>
      </w:r>
    </w:p>
    <w:p w:rsidR="00733ECF" w:rsidRDefault="00733ECF" w:rsidP="00733ECF">
      <w:pPr>
        <w:pStyle w:val="SingleTxt"/>
        <w:spacing w:line="312" w:lineRule="exact"/>
        <w:rPr>
          <w:rFonts w:hint="eastAsia"/>
        </w:rPr>
      </w:pPr>
      <w:r>
        <w:rPr>
          <w:rFonts w:hint="eastAsia"/>
        </w:rPr>
        <w:t>97.</w:t>
      </w:r>
      <w:r>
        <w:tab/>
      </w:r>
      <w:r>
        <w:rPr>
          <w:rFonts w:hint="eastAsia"/>
        </w:rPr>
        <w:t>第5条规定，特别计划的保护对象是那些由于工作性质或者生产流程或服务的类型，需要社会保障福利按此作出调整的人。特别计划由针对劳动者、包括自由职业者的具体立法做出规定。</w:t>
      </w:r>
    </w:p>
    <w:p w:rsidR="00733ECF" w:rsidRDefault="00733ECF" w:rsidP="00733ECF">
      <w:pPr>
        <w:pStyle w:val="SingleTxt"/>
        <w:spacing w:line="312" w:lineRule="exact"/>
        <w:rPr>
          <w:rFonts w:hint="eastAsia"/>
        </w:rPr>
      </w:pPr>
      <w:r>
        <w:rPr>
          <w:rFonts w:hint="eastAsia"/>
        </w:rPr>
        <w:t>98.</w:t>
      </w:r>
      <w:r>
        <w:tab/>
      </w:r>
      <w:r>
        <w:rPr>
          <w:rFonts w:hint="eastAsia"/>
        </w:rPr>
        <w:t>劳动和社会保障部2011年9月6日第33号条例对问题中提到的第32号决议作了修订，并确立了适用于自营职业的规章。其中第14条规定，自营职业者如果没有能力工作且持有主管当局签发的最长可休假六个月的医疗证明，或者出于军事原因，可向地方劳动局长书面请求停职。如果是产假，停职期则包括产前和产后假，而且应劳动者要求可延长至小孩一周岁生日。</w:t>
      </w:r>
    </w:p>
    <w:p w:rsidR="00733ECF" w:rsidRDefault="00733ECF" w:rsidP="00733ECF">
      <w:pPr>
        <w:pStyle w:val="SingleTxt"/>
        <w:spacing w:line="312" w:lineRule="exact"/>
        <w:rPr>
          <w:rFonts w:hint="eastAsia"/>
        </w:rPr>
      </w:pPr>
      <w:r>
        <w:rPr>
          <w:rFonts w:hint="eastAsia"/>
        </w:rPr>
        <w:t>99.</w:t>
      </w:r>
      <w:r>
        <w:tab/>
      </w:r>
      <w:r>
        <w:rPr>
          <w:rFonts w:hint="eastAsia"/>
        </w:rPr>
        <w:t>另外，财政和价格部2011年9月6日第298号决议第23条规定，获准从事自营职业的自然人如果被主管当局根据相关特别立法停职，在停职被证明属实后，不必缴纳个人所得税月付款。</w:t>
      </w:r>
    </w:p>
    <w:p w:rsidR="00733ECF" w:rsidRDefault="00733ECF" w:rsidP="00733ECF">
      <w:pPr>
        <w:pStyle w:val="SingleTxt"/>
        <w:spacing w:line="312" w:lineRule="exact"/>
        <w:rPr>
          <w:rFonts w:hint="eastAsia"/>
        </w:rPr>
      </w:pPr>
      <w:r>
        <w:rPr>
          <w:rFonts w:hint="eastAsia"/>
        </w:rPr>
        <w:t>100.　第298号决议第43条第2款还规定，获准从事自营职业者如果被主管当局根据相关特别立法停职，在停职10日内获纳税人纳税地国家税务局认证的，不必缴纳社会保障摊款。</w:t>
      </w:r>
    </w:p>
    <w:p w:rsidR="00733ECF" w:rsidRDefault="00733ECF" w:rsidP="00733E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16.</w:t>
      </w:r>
      <w:r>
        <w:tab/>
      </w:r>
      <w:r>
        <w:rPr>
          <w:rFonts w:hint="eastAsia"/>
        </w:rPr>
        <w:t>劳动歧视</w:t>
      </w:r>
    </w:p>
    <w:p w:rsidR="00733ECF" w:rsidRPr="00733ECF" w:rsidRDefault="00733ECF" w:rsidP="00733ECF">
      <w:pPr>
        <w:pStyle w:val="SingleTxt"/>
        <w:spacing w:after="0" w:line="120" w:lineRule="exact"/>
        <w:ind w:right="0"/>
        <w:rPr>
          <w:rFonts w:hint="eastAsia"/>
          <w:sz w:val="10"/>
        </w:rPr>
      </w:pPr>
    </w:p>
    <w:p w:rsidR="00733ECF" w:rsidRDefault="00733ECF" w:rsidP="00733ECF">
      <w:pPr>
        <w:pStyle w:val="SingleTxt"/>
        <w:spacing w:line="312" w:lineRule="exact"/>
        <w:rPr>
          <w:rFonts w:hint="eastAsia"/>
        </w:rPr>
      </w:pPr>
      <w:r>
        <w:rPr>
          <w:rFonts w:hint="eastAsia"/>
        </w:rPr>
        <w:t>101.　应当指出的是，这两个不同问题目标一致。由劳动和社会保障部主持的妇女就业委员会是1980年代在特定历史背景和具体国情下成立的，其中有来自古巴劳动者联盟和古巴妇女联合会的代表，但由于在古巴就业妇女的百分比等方面取得成果，该委员会已停止运作。</w:t>
      </w:r>
    </w:p>
    <w:p w:rsidR="00733ECF" w:rsidRDefault="00733ECF" w:rsidP="00733ECF">
      <w:pPr>
        <w:pStyle w:val="SingleTxt"/>
        <w:spacing w:line="312" w:lineRule="exact"/>
        <w:rPr>
          <w:rFonts w:hint="eastAsia"/>
        </w:rPr>
      </w:pPr>
      <w:r>
        <w:rPr>
          <w:rFonts w:hint="eastAsia"/>
        </w:rPr>
        <w:t>102.　另一方面，农业和种植业等一些经济部门成立了妇女事务委员会，负责处理妇女在工作中遇到的具体问题，作为执行《落实第四届妇女问题世界会议国家行动计划》的一项措施。</w:t>
      </w:r>
    </w:p>
    <w:p w:rsidR="00733ECF" w:rsidRPr="00733ECF" w:rsidRDefault="00733ECF" w:rsidP="0034182C">
      <w:pPr>
        <w:pStyle w:val="SingleTxt"/>
        <w:rPr>
          <w:rFonts w:hint="eastAsia"/>
          <w:spacing w:val="-4"/>
        </w:rPr>
      </w:pPr>
      <w:r>
        <w:rPr>
          <w:rFonts w:hint="eastAsia"/>
        </w:rPr>
        <w:t xml:space="preserve">103.　</w:t>
      </w:r>
      <w:r w:rsidRPr="00733ECF">
        <w:rPr>
          <w:rFonts w:hint="eastAsia"/>
          <w:spacing w:val="-4"/>
        </w:rPr>
        <w:t>现有标准和原则适用于在公共和私营部门、包括自营职业中出现的歧视案件。</w:t>
      </w:r>
    </w:p>
    <w:p w:rsidR="00733ECF" w:rsidRDefault="00733ECF" w:rsidP="0034182C">
      <w:pPr>
        <w:pStyle w:val="SingleTxt"/>
        <w:rPr>
          <w:rFonts w:hint="eastAsia"/>
        </w:rPr>
      </w:pPr>
      <w:r>
        <w:rPr>
          <w:rFonts w:hint="eastAsia"/>
        </w:rPr>
        <w:t>104.　下表显示妇女就业人数：</w:t>
      </w:r>
    </w:p>
    <w:p w:rsidR="00733ECF" w:rsidRDefault="00733ECF" w:rsidP="00733E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Pr>
          <w:rFonts w:hint="eastAsia"/>
        </w:rPr>
        <w:t>公务员队伍</w:t>
      </w:r>
    </w:p>
    <w:p w:rsidR="00733ECF" w:rsidRDefault="00733ECF" w:rsidP="00733E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Pr>
          <w:rFonts w:hint="eastAsia"/>
        </w:rPr>
        <w:t>就业情况，2011年部分指标</w:t>
      </w:r>
    </w:p>
    <w:p w:rsidR="00733ECF" w:rsidRPr="00733ECF" w:rsidRDefault="00733ECF" w:rsidP="00733ECF">
      <w:pPr>
        <w:pStyle w:val="SingleTxt"/>
        <w:spacing w:after="0" w:line="120" w:lineRule="exact"/>
        <w:ind w:right="0"/>
        <w:rPr>
          <w:rFonts w:hint="eastAsia"/>
          <w:sz w:val="10"/>
        </w:rPr>
      </w:pPr>
    </w:p>
    <w:p w:rsidR="00733ECF" w:rsidRPr="006A30E8" w:rsidRDefault="00733ECF" w:rsidP="0034182C">
      <w:pPr>
        <w:pStyle w:val="SingleTxt"/>
        <w:rPr>
          <w:rFonts w:ascii="KaiTi_GB2312" w:eastAsia="KaiTi_GB2312" w:hint="eastAsia"/>
          <w:sz w:val="15"/>
          <w:szCs w:val="15"/>
        </w:rPr>
      </w:pPr>
      <w:r w:rsidRPr="006A30E8">
        <w:rPr>
          <w:rFonts w:ascii="KaiTi_GB2312" w:eastAsia="KaiTi_GB2312" w:hint="eastAsia"/>
          <w:sz w:val="15"/>
          <w:szCs w:val="15"/>
        </w:rPr>
        <w:t>数字单位：千人</w:t>
      </w:r>
    </w:p>
    <w:tbl>
      <w:tblPr>
        <w:tblW w:w="0" w:type="auto"/>
        <w:tblInd w:w="1260" w:type="dxa"/>
        <w:tblLayout w:type="fixed"/>
        <w:tblCellMar>
          <w:left w:w="0" w:type="dxa"/>
          <w:right w:w="0" w:type="dxa"/>
        </w:tblCellMar>
        <w:tblLook w:val="0000"/>
      </w:tblPr>
      <w:tblGrid>
        <w:gridCol w:w="2440"/>
        <w:gridCol w:w="2440"/>
        <w:gridCol w:w="2440"/>
      </w:tblGrid>
      <w:tr w:rsidR="00733ECF" w:rsidRPr="006A6F8C" w:rsidTr="0034182C">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733ECF" w:rsidRPr="006A6F8C" w:rsidRDefault="00733ECF" w:rsidP="0034182C">
            <w:pPr>
              <w:tabs>
                <w:tab w:val="left" w:pos="360"/>
                <w:tab w:val="left" w:pos="720"/>
                <w:tab w:val="left" w:pos="1080"/>
                <w:tab w:val="left" w:pos="1440"/>
              </w:tabs>
              <w:suppressAutoHyphens/>
              <w:spacing w:before="60" w:after="60" w:line="200" w:lineRule="exact"/>
              <w:ind w:right="57"/>
              <w:rPr>
                <w:rFonts w:ascii="KaiTi_GB2312" w:eastAsia="KaiTi_GB2312"/>
                <w:sz w:val="15"/>
              </w:rPr>
            </w:pPr>
          </w:p>
        </w:tc>
        <w:tc>
          <w:tcPr>
            <w:tcW w:w="2440" w:type="dxa"/>
            <w:tcBorders>
              <w:top w:val="single" w:sz="4" w:space="0" w:color="auto"/>
              <w:bottom w:val="single" w:sz="12" w:space="0" w:color="auto"/>
            </w:tcBorders>
            <w:shd w:val="clear" w:color="auto" w:fill="auto"/>
            <w:vAlign w:val="bottom"/>
          </w:tcPr>
          <w:p w:rsidR="00733ECF" w:rsidRPr="006A6F8C" w:rsidRDefault="00733ECF" w:rsidP="0034182C">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6A6F8C">
              <w:rPr>
                <w:rFonts w:ascii="KaiTi_GB2312" w:eastAsia="KaiTi_GB2312" w:hint="eastAsia"/>
                <w:sz w:val="15"/>
              </w:rPr>
              <w:t>2010年</w:t>
            </w:r>
          </w:p>
        </w:tc>
        <w:tc>
          <w:tcPr>
            <w:tcW w:w="2440" w:type="dxa"/>
            <w:tcBorders>
              <w:top w:val="single" w:sz="4" w:space="0" w:color="auto"/>
              <w:bottom w:val="single" w:sz="12" w:space="0" w:color="auto"/>
            </w:tcBorders>
            <w:shd w:val="clear" w:color="auto" w:fill="auto"/>
            <w:vAlign w:val="bottom"/>
          </w:tcPr>
          <w:p w:rsidR="00733ECF" w:rsidRPr="006A6F8C" w:rsidRDefault="00733ECF" w:rsidP="0034182C">
            <w:pPr>
              <w:tabs>
                <w:tab w:val="left" w:pos="360"/>
                <w:tab w:val="left" w:pos="720"/>
                <w:tab w:val="left" w:pos="1080"/>
                <w:tab w:val="left" w:pos="1440"/>
              </w:tabs>
              <w:suppressAutoHyphens/>
              <w:spacing w:before="60" w:after="60" w:line="200" w:lineRule="exact"/>
              <w:ind w:right="57"/>
              <w:jc w:val="right"/>
              <w:rPr>
                <w:rFonts w:ascii="KaiTi_GB2312" w:eastAsia="KaiTi_GB2312"/>
                <w:sz w:val="15"/>
              </w:rPr>
            </w:pPr>
            <w:r w:rsidRPr="006A6F8C">
              <w:rPr>
                <w:rFonts w:ascii="KaiTi_GB2312" w:eastAsia="KaiTi_GB2312" w:hint="eastAsia"/>
                <w:sz w:val="15"/>
              </w:rPr>
              <w:t>2011年</w:t>
            </w:r>
          </w:p>
        </w:tc>
      </w:tr>
      <w:tr w:rsidR="00733ECF" w:rsidRPr="006A6F8C" w:rsidTr="0034182C">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733ECF" w:rsidRPr="006A6F8C" w:rsidRDefault="00733ECF" w:rsidP="0034182C">
            <w:pPr>
              <w:tabs>
                <w:tab w:val="left" w:pos="360"/>
                <w:tab w:val="left" w:pos="720"/>
                <w:tab w:val="left" w:pos="1080"/>
                <w:tab w:val="left" w:pos="1440"/>
              </w:tabs>
              <w:suppressAutoHyphens/>
              <w:spacing w:after="60" w:line="280" w:lineRule="exact"/>
              <w:ind w:right="57"/>
              <w:rPr>
                <w:rFonts w:hint="eastAsia"/>
                <w:sz w:val="17"/>
              </w:rPr>
            </w:pPr>
          </w:p>
        </w:tc>
        <w:tc>
          <w:tcPr>
            <w:tcW w:w="2440" w:type="dxa"/>
            <w:tcBorders>
              <w:top w:val="single" w:sz="12" w:space="0" w:color="auto"/>
            </w:tcBorders>
            <w:shd w:val="clear" w:color="auto" w:fill="auto"/>
            <w:vAlign w:val="bottom"/>
          </w:tcPr>
          <w:p w:rsidR="00733ECF" w:rsidRPr="006A6F8C" w:rsidRDefault="00733ECF" w:rsidP="0034182C">
            <w:pPr>
              <w:suppressAutoHyphens/>
              <w:spacing w:after="60" w:line="280" w:lineRule="exact"/>
              <w:ind w:right="57"/>
              <w:jc w:val="right"/>
              <w:rPr>
                <w:sz w:val="17"/>
              </w:rPr>
            </w:pPr>
          </w:p>
        </w:tc>
        <w:tc>
          <w:tcPr>
            <w:tcW w:w="2440" w:type="dxa"/>
            <w:tcBorders>
              <w:top w:val="single" w:sz="12" w:space="0" w:color="auto"/>
            </w:tcBorders>
            <w:shd w:val="clear" w:color="auto" w:fill="auto"/>
            <w:vAlign w:val="bottom"/>
          </w:tcPr>
          <w:p w:rsidR="00733ECF" w:rsidRPr="006A6F8C" w:rsidRDefault="00733ECF" w:rsidP="0034182C">
            <w:pPr>
              <w:suppressAutoHyphens/>
              <w:spacing w:after="60" w:line="280" w:lineRule="exact"/>
              <w:ind w:right="57"/>
              <w:jc w:val="right"/>
              <w:rPr>
                <w:sz w:val="17"/>
              </w:rPr>
            </w:pPr>
          </w:p>
        </w:tc>
      </w:tr>
      <w:tr w:rsidR="00733ECF" w:rsidRPr="006A6F8C" w:rsidTr="0034182C">
        <w:tblPrEx>
          <w:tblCellMar>
            <w:top w:w="0" w:type="dxa"/>
            <w:bottom w:w="0" w:type="dxa"/>
          </w:tblCellMar>
        </w:tblPrEx>
        <w:tc>
          <w:tcPr>
            <w:tcW w:w="2440" w:type="dxa"/>
            <w:shd w:val="clear" w:color="auto" w:fill="auto"/>
            <w:vAlign w:val="bottom"/>
          </w:tcPr>
          <w:p w:rsidR="00733ECF" w:rsidRPr="006A6F8C" w:rsidRDefault="00733ECF" w:rsidP="0034182C">
            <w:pPr>
              <w:tabs>
                <w:tab w:val="left" w:pos="334"/>
                <w:tab w:val="left" w:pos="669"/>
                <w:tab w:val="left" w:pos="1003"/>
                <w:tab w:val="left" w:pos="1338"/>
              </w:tabs>
              <w:suppressAutoHyphens/>
              <w:spacing w:after="60" w:line="280" w:lineRule="exact"/>
              <w:ind w:right="57"/>
              <w:rPr>
                <w:sz w:val="17"/>
              </w:rPr>
            </w:pPr>
            <w:r w:rsidRPr="006A6F8C">
              <w:rPr>
                <w:rFonts w:hint="eastAsia"/>
                <w:sz w:val="17"/>
              </w:rPr>
              <w:t>总就业人数</w:t>
            </w:r>
          </w:p>
        </w:tc>
        <w:tc>
          <w:tcPr>
            <w:tcW w:w="2440" w:type="dxa"/>
            <w:shd w:val="clear" w:color="auto" w:fill="auto"/>
            <w:vAlign w:val="bottom"/>
          </w:tcPr>
          <w:p w:rsidR="00733ECF" w:rsidRPr="006A6F8C" w:rsidRDefault="00733ECF" w:rsidP="0034182C">
            <w:pPr>
              <w:tabs>
                <w:tab w:val="left" w:pos="334"/>
                <w:tab w:val="left" w:pos="669"/>
                <w:tab w:val="left" w:pos="1003"/>
                <w:tab w:val="left" w:pos="1338"/>
              </w:tabs>
              <w:suppressAutoHyphens/>
              <w:spacing w:after="60" w:line="280" w:lineRule="exact"/>
              <w:ind w:right="57"/>
              <w:jc w:val="right"/>
              <w:rPr>
                <w:sz w:val="17"/>
              </w:rPr>
            </w:pPr>
            <w:r w:rsidRPr="006A6F8C">
              <w:rPr>
                <w:sz w:val="17"/>
              </w:rPr>
              <w:t>4</w:t>
            </w:r>
            <w:r w:rsidRPr="006A6F8C">
              <w:rPr>
                <w:rFonts w:hint="eastAsia"/>
                <w:sz w:val="17"/>
              </w:rPr>
              <w:t xml:space="preserve"> </w:t>
            </w:r>
            <w:r w:rsidRPr="006A6F8C">
              <w:rPr>
                <w:sz w:val="17"/>
              </w:rPr>
              <w:t>984</w:t>
            </w:r>
            <w:r w:rsidRPr="006A6F8C">
              <w:rPr>
                <w:rFonts w:hint="eastAsia"/>
                <w:sz w:val="17"/>
              </w:rPr>
              <w:t>.</w:t>
            </w:r>
            <w:r w:rsidRPr="006A6F8C">
              <w:rPr>
                <w:sz w:val="17"/>
              </w:rPr>
              <w:t>5</w:t>
            </w:r>
          </w:p>
        </w:tc>
        <w:tc>
          <w:tcPr>
            <w:tcW w:w="2440" w:type="dxa"/>
            <w:shd w:val="clear" w:color="auto" w:fill="auto"/>
            <w:vAlign w:val="bottom"/>
          </w:tcPr>
          <w:p w:rsidR="00733ECF" w:rsidRPr="006A6F8C" w:rsidRDefault="00733ECF" w:rsidP="0034182C">
            <w:pPr>
              <w:tabs>
                <w:tab w:val="left" w:pos="334"/>
                <w:tab w:val="left" w:pos="669"/>
                <w:tab w:val="left" w:pos="1003"/>
                <w:tab w:val="left" w:pos="1338"/>
              </w:tabs>
              <w:suppressAutoHyphens/>
              <w:spacing w:after="60" w:line="280" w:lineRule="exact"/>
              <w:ind w:right="57"/>
              <w:jc w:val="right"/>
              <w:rPr>
                <w:sz w:val="17"/>
              </w:rPr>
            </w:pPr>
            <w:r w:rsidRPr="006A6F8C">
              <w:rPr>
                <w:sz w:val="17"/>
              </w:rPr>
              <w:t>5</w:t>
            </w:r>
            <w:r w:rsidRPr="006A6F8C">
              <w:rPr>
                <w:rFonts w:hint="eastAsia"/>
                <w:sz w:val="17"/>
              </w:rPr>
              <w:t xml:space="preserve"> </w:t>
            </w:r>
            <w:r w:rsidRPr="006A6F8C">
              <w:rPr>
                <w:sz w:val="17"/>
              </w:rPr>
              <w:t>010</w:t>
            </w:r>
            <w:r w:rsidRPr="006A6F8C">
              <w:rPr>
                <w:rFonts w:hint="eastAsia"/>
                <w:sz w:val="17"/>
              </w:rPr>
              <w:t>.</w:t>
            </w:r>
            <w:r w:rsidRPr="006A6F8C">
              <w:rPr>
                <w:sz w:val="17"/>
              </w:rPr>
              <w:t>2</w:t>
            </w:r>
          </w:p>
        </w:tc>
      </w:tr>
      <w:tr w:rsidR="00733ECF" w:rsidRPr="006A6F8C" w:rsidTr="0034182C">
        <w:tblPrEx>
          <w:tblCellMar>
            <w:top w:w="0" w:type="dxa"/>
            <w:bottom w:w="0" w:type="dxa"/>
          </w:tblCellMar>
        </w:tblPrEx>
        <w:tc>
          <w:tcPr>
            <w:tcW w:w="2440" w:type="dxa"/>
            <w:shd w:val="clear" w:color="auto" w:fill="auto"/>
            <w:vAlign w:val="bottom"/>
          </w:tcPr>
          <w:p w:rsidR="00733ECF" w:rsidRPr="006A6F8C" w:rsidRDefault="00733ECF" w:rsidP="0034182C">
            <w:pPr>
              <w:tabs>
                <w:tab w:val="left" w:pos="334"/>
                <w:tab w:val="left" w:pos="669"/>
                <w:tab w:val="left" w:pos="1003"/>
                <w:tab w:val="left" w:pos="1338"/>
              </w:tabs>
              <w:suppressAutoHyphens/>
              <w:spacing w:after="60" w:line="280" w:lineRule="exact"/>
              <w:ind w:right="57"/>
              <w:rPr>
                <w:sz w:val="17"/>
              </w:rPr>
            </w:pPr>
            <w:r w:rsidRPr="006A6F8C">
              <w:rPr>
                <w:rFonts w:hint="eastAsia"/>
                <w:sz w:val="17"/>
              </w:rPr>
              <w:t>女性</w:t>
            </w:r>
          </w:p>
        </w:tc>
        <w:tc>
          <w:tcPr>
            <w:tcW w:w="2440" w:type="dxa"/>
            <w:shd w:val="clear" w:color="auto" w:fill="auto"/>
            <w:vAlign w:val="bottom"/>
          </w:tcPr>
          <w:p w:rsidR="00733ECF" w:rsidRPr="006A6F8C" w:rsidRDefault="00733ECF" w:rsidP="0034182C">
            <w:pPr>
              <w:tabs>
                <w:tab w:val="left" w:pos="334"/>
                <w:tab w:val="left" w:pos="669"/>
                <w:tab w:val="left" w:pos="1003"/>
                <w:tab w:val="left" w:pos="1338"/>
              </w:tabs>
              <w:suppressAutoHyphens/>
              <w:spacing w:after="60" w:line="280" w:lineRule="exact"/>
              <w:ind w:right="57"/>
              <w:jc w:val="right"/>
              <w:rPr>
                <w:sz w:val="17"/>
              </w:rPr>
            </w:pPr>
            <w:r w:rsidRPr="006A6F8C">
              <w:rPr>
                <w:sz w:val="17"/>
              </w:rPr>
              <w:t>1</w:t>
            </w:r>
            <w:r w:rsidRPr="006A6F8C">
              <w:rPr>
                <w:rFonts w:hint="eastAsia"/>
                <w:sz w:val="17"/>
              </w:rPr>
              <w:t xml:space="preserve"> </w:t>
            </w:r>
            <w:r w:rsidRPr="006A6F8C">
              <w:rPr>
                <w:sz w:val="17"/>
              </w:rPr>
              <w:t>900</w:t>
            </w:r>
            <w:r w:rsidRPr="006A6F8C">
              <w:rPr>
                <w:rFonts w:hint="eastAsia"/>
                <w:sz w:val="17"/>
              </w:rPr>
              <w:t>.</w:t>
            </w:r>
            <w:r w:rsidRPr="006A6F8C">
              <w:rPr>
                <w:sz w:val="17"/>
              </w:rPr>
              <w:t>3</w:t>
            </w:r>
          </w:p>
        </w:tc>
        <w:tc>
          <w:tcPr>
            <w:tcW w:w="2440" w:type="dxa"/>
            <w:shd w:val="clear" w:color="auto" w:fill="auto"/>
            <w:vAlign w:val="bottom"/>
          </w:tcPr>
          <w:p w:rsidR="00733ECF" w:rsidRPr="006A6F8C" w:rsidRDefault="00733ECF" w:rsidP="0034182C">
            <w:pPr>
              <w:tabs>
                <w:tab w:val="left" w:pos="334"/>
                <w:tab w:val="left" w:pos="669"/>
                <w:tab w:val="left" w:pos="1003"/>
                <w:tab w:val="left" w:pos="1338"/>
              </w:tabs>
              <w:suppressAutoHyphens/>
              <w:spacing w:after="60" w:line="280" w:lineRule="exact"/>
              <w:ind w:right="57"/>
              <w:jc w:val="right"/>
              <w:rPr>
                <w:sz w:val="17"/>
              </w:rPr>
            </w:pPr>
            <w:r w:rsidRPr="006A6F8C">
              <w:rPr>
                <w:sz w:val="17"/>
              </w:rPr>
              <w:t>1</w:t>
            </w:r>
            <w:r w:rsidRPr="006A6F8C">
              <w:rPr>
                <w:rFonts w:hint="eastAsia"/>
                <w:sz w:val="17"/>
              </w:rPr>
              <w:t xml:space="preserve"> </w:t>
            </w:r>
            <w:r w:rsidRPr="006A6F8C">
              <w:rPr>
                <w:sz w:val="17"/>
              </w:rPr>
              <w:t>876</w:t>
            </w:r>
            <w:r w:rsidRPr="006A6F8C">
              <w:rPr>
                <w:rFonts w:hint="eastAsia"/>
                <w:sz w:val="17"/>
              </w:rPr>
              <w:t>.</w:t>
            </w:r>
            <w:r w:rsidRPr="006A6F8C">
              <w:rPr>
                <w:sz w:val="17"/>
              </w:rPr>
              <w:t>4</w:t>
            </w:r>
          </w:p>
        </w:tc>
      </w:tr>
      <w:tr w:rsidR="00733ECF" w:rsidRPr="006A6F8C" w:rsidTr="0034182C">
        <w:tblPrEx>
          <w:tblCellMar>
            <w:top w:w="0" w:type="dxa"/>
            <w:bottom w:w="0" w:type="dxa"/>
          </w:tblCellMar>
        </w:tblPrEx>
        <w:tc>
          <w:tcPr>
            <w:tcW w:w="2440" w:type="dxa"/>
            <w:shd w:val="clear" w:color="auto" w:fill="auto"/>
            <w:vAlign w:val="bottom"/>
          </w:tcPr>
          <w:p w:rsidR="00733ECF" w:rsidRPr="006A6F8C" w:rsidRDefault="00733ECF" w:rsidP="0034182C">
            <w:pPr>
              <w:tabs>
                <w:tab w:val="left" w:pos="334"/>
                <w:tab w:val="left" w:pos="669"/>
                <w:tab w:val="left" w:pos="1003"/>
                <w:tab w:val="left" w:pos="1338"/>
              </w:tabs>
              <w:suppressAutoHyphens/>
              <w:spacing w:after="60" w:line="280" w:lineRule="exact"/>
              <w:ind w:right="57"/>
              <w:rPr>
                <w:sz w:val="17"/>
              </w:rPr>
            </w:pPr>
            <w:r w:rsidRPr="006A6F8C">
              <w:rPr>
                <w:rFonts w:hint="eastAsia"/>
                <w:sz w:val="17"/>
              </w:rPr>
              <w:t>百分比</w:t>
            </w:r>
          </w:p>
        </w:tc>
        <w:tc>
          <w:tcPr>
            <w:tcW w:w="2440" w:type="dxa"/>
            <w:shd w:val="clear" w:color="auto" w:fill="auto"/>
            <w:vAlign w:val="bottom"/>
          </w:tcPr>
          <w:p w:rsidR="00733ECF" w:rsidRPr="006A6F8C" w:rsidRDefault="00733ECF" w:rsidP="0034182C">
            <w:pPr>
              <w:tabs>
                <w:tab w:val="left" w:pos="334"/>
                <w:tab w:val="left" w:pos="669"/>
                <w:tab w:val="left" w:pos="1003"/>
                <w:tab w:val="left" w:pos="1338"/>
              </w:tabs>
              <w:suppressAutoHyphens/>
              <w:spacing w:after="60" w:line="280" w:lineRule="exact"/>
              <w:ind w:right="57"/>
              <w:jc w:val="right"/>
              <w:rPr>
                <w:sz w:val="17"/>
              </w:rPr>
            </w:pPr>
            <w:r w:rsidRPr="006A6F8C">
              <w:rPr>
                <w:sz w:val="17"/>
              </w:rPr>
              <w:t>38</w:t>
            </w:r>
            <w:r w:rsidRPr="006A6F8C">
              <w:rPr>
                <w:rFonts w:hint="eastAsia"/>
                <w:sz w:val="17"/>
              </w:rPr>
              <w:t>.</w:t>
            </w:r>
            <w:r w:rsidRPr="006A6F8C">
              <w:rPr>
                <w:sz w:val="17"/>
              </w:rPr>
              <w:t>1</w:t>
            </w:r>
          </w:p>
        </w:tc>
        <w:tc>
          <w:tcPr>
            <w:tcW w:w="2440" w:type="dxa"/>
            <w:shd w:val="clear" w:color="auto" w:fill="auto"/>
            <w:vAlign w:val="bottom"/>
          </w:tcPr>
          <w:p w:rsidR="00733ECF" w:rsidRPr="006A6F8C" w:rsidRDefault="00733ECF" w:rsidP="0034182C">
            <w:pPr>
              <w:tabs>
                <w:tab w:val="left" w:pos="334"/>
                <w:tab w:val="left" w:pos="669"/>
                <w:tab w:val="left" w:pos="1003"/>
                <w:tab w:val="left" w:pos="1338"/>
              </w:tabs>
              <w:suppressAutoHyphens/>
              <w:spacing w:after="60" w:line="280" w:lineRule="exact"/>
              <w:ind w:right="57"/>
              <w:jc w:val="right"/>
              <w:rPr>
                <w:sz w:val="17"/>
              </w:rPr>
            </w:pPr>
            <w:r w:rsidRPr="006A6F8C">
              <w:rPr>
                <w:sz w:val="17"/>
              </w:rPr>
              <w:t>37</w:t>
            </w:r>
            <w:r w:rsidRPr="006A6F8C">
              <w:rPr>
                <w:rFonts w:hint="eastAsia"/>
                <w:sz w:val="17"/>
              </w:rPr>
              <w:t>.</w:t>
            </w:r>
            <w:r w:rsidRPr="006A6F8C">
              <w:rPr>
                <w:sz w:val="17"/>
              </w:rPr>
              <w:t>5</w:t>
            </w:r>
          </w:p>
        </w:tc>
      </w:tr>
      <w:tr w:rsidR="00733ECF" w:rsidRPr="006A6F8C" w:rsidTr="0034182C">
        <w:tblPrEx>
          <w:tblCellMar>
            <w:top w:w="0" w:type="dxa"/>
            <w:bottom w:w="0" w:type="dxa"/>
          </w:tblCellMar>
        </w:tblPrEx>
        <w:tc>
          <w:tcPr>
            <w:tcW w:w="2440" w:type="dxa"/>
            <w:shd w:val="clear" w:color="auto" w:fill="auto"/>
            <w:vAlign w:val="bottom"/>
          </w:tcPr>
          <w:p w:rsidR="00733ECF" w:rsidRPr="006A6F8C" w:rsidRDefault="00733ECF" w:rsidP="0034182C">
            <w:pPr>
              <w:tabs>
                <w:tab w:val="left" w:pos="334"/>
                <w:tab w:val="left" w:pos="669"/>
                <w:tab w:val="left" w:pos="1003"/>
                <w:tab w:val="left" w:pos="1338"/>
              </w:tabs>
              <w:suppressAutoHyphens/>
              <w:spacing w:after="60" w:line="280" w:lineRule="exact"/>
              <w:ind w:right="57"/>
              <w:rPr>
                <w:rFonts w:hint="eastAsia"/>
                <w:sz w:val="17"/>
              </w:rPr>
            </w:pPr>
            <w:r w:rsidRPr="006A6F8C">
              <w:rPr>
                <w:rFonts w:hint="eastAsia"/>
                <w:sz w:val="17"/>
              </w:rPr>
              <w:t>男性</w:t>
            </w:r>
          </w:p>
        </w:tc>
        <w:tc>
          <w:tcPr>
            <w:tcW w:w="2440" w:type="dxa"/>
            <w:shd w:val="clear" w:color="auto" w:fill="auto"/>
            <w:vAlign w:val="bottom"/>
          </w:tcPr>
          <w:p w:rsidR="00733ECF" w:rsidRPr="006A6F8C" w:rsidRDefault="00733ECF" w:rsidP="0034182C">
            <w:pPr>
              <w:tabs>
                <w:tab w:val="left" w:pos="334"/>
                <w:tab w:val="left" w:pos="669"/>
                <w:tab w:val="left" w:pos="1003"/>
                <w:tab w:val="left" w:pos="1338"/>
              </w:tabs>
              <w:suppressAutoHyphens/>
              <w:spacing w:after="60" w:line="280" w:lineRule="exact"/>
              <w:ind w:right="57"/>
              <w:jc w:val="right"/>
              <w:rPr>
                <w:sz w:val="17"/>
              </w:rPr>
            </w:pPr>
            <w:r w:rsidRPr="006A6F8C">
              <w:rPr>
                <w:sz w:val="17"/>
              </w:rPr>
              <w:t>3</w:t>
            </w:r>
            <w:r w:rsidRPr="006A6F8C">
              <w:rPr>
                <w:rFonts w:hint="eastAsia"/>
                <w:sz w:val="17"/>
              </w:rPr>
              <w:t xml:space="preserve"> </w:t>
            </w:r>
            <w:r w:rsidRPr="006A6F8C">
              <w:rPr>
                <w:sz w:val="17"/>
              </w:rPr>
              <w:t>084</w:t>
            </w:r>
            <w:r w:rsidRPr="006A6F8C">
              <w:rPr>
                <w:rFonts w:hint="eastAsia"/>
                <w:sz w:val="17"/>
              </w:rPr>
              <w:t>.</w:t>
            </w:r>
            <w:r w:rsidRPr="006A6F8C">
              <w:rPr>
                <w:sz w:val="17"/>
              </w:rPr>
              <w:t>2</w:t>
            </w:r>
          </w:p>
        </w:tc>
        <w:tc>
          <w:tcPr>
            <w:tcW w:w="2440" w:type="dxa"/>
            <w:shd w:val="clear" w:color="auto" w:fill="auto"/>
            <w:vAlign w:val="bottom"/>
          </w:tcPr>
          <w:p w:rsidR="00733ECF" w:rsidRPr="006A6F8C" w:rsidRDefault="00733ECF" w:rsidP="0034182C">
            <w:pPr>
              <w:tabs>
                <w:tab w:val="left" w:pos="334"/>
                <w:tab w:val="left" w:pos="669"/>
                <w:tab w:val="left" w:pos="1003"/>
                <w:tab w:val="left" w:pos="1338"/>
              </w:tabs>
              <w:suppressAutoHyphens/>
              <w:spacing w:after="60" w:line="280" w:lineRule="exact"/>
              <w:ind w:right="57"/>
              <w:jc w:val="right"/>
              <w:rPr>
                <w:sz w:val="17"/>
              </w:rPr>
            </w:pPr>
            <w:r w:rsidRPr="006A6F8C">
              <w:rPr>
                <w:sz w:val="17"/>
              </w:rPr>
              <w:t>3</w:t>
            </w:r>
            <w:r w:rsidRPr="006A6F8C">
              <w:rPr>
                <w:rFonts w:hint="eastAsia"/>
                <w:sz w:val="17"/>
              </w:rPr>
              <w:t xml:space="preserve"> </w:t>
            </w:r>
            <w:r w:rsidRPr="006A6F8C">
              <w:rPr>
                <w:sz w:val="17"/>
              </w:rPr>
              <w:t>133</w:t>
            </w:r>
            <w:r w:rsidRPr="006A6F8C">
              <w:rPr>
                <w:rFonts w:hint="eastAsia"/>
                <w:sz w:val="17"/>
              </w:rPr>
              <w:t>.</w:t>
            </w:r>
            <w:r w:rsidRPr="006A6F8C">
              <w:rPr>
                <w:sz w:val="17"/>
              </w:rPr>
              <w:t>8</w:t>
            </w:r>
          </w:p>
        </w:tc>
      </w:tr>
      <w:tr w:rsidR="00733ECF" w:rsidRPr="006A6F8C" w:rsidTr="0034182C">
        <w:tblPrEx>
          <w:tblCellMar>
            <w:top w:w="0" w:type="dxa"/>
            <w:bottom w:w="0" w:type="dxa"/>
          </w:tblCellMar>
        </w:tblPrEx>
        <w:tc>
          <w:tcPr>
            <w:tcW w:w="2440" w:type="dxa"/>
            <w:tcBorders>
              <w:bottom w:val="single" w:sz="12" w:space="0" w:color="auto"/>
            </w:tcBorders>
            <w:shd w:val="clear" w:color="auto" w:fill="auto"/>
            <w:vAlign w:val="bottom"/>
          </w:tcPr>
          <w:p w:rsidR="00733ECF" w:rsidRPr="006A6F8C" w:rsidRDefault="00733ECF" w:rsidP="0034182C">
            <w:pPr>
              <w:tabs>
                <w:tab w:val="left" w:pos="334"/>
                <w:tab w:val="left" w:pos="669"/>
                <w:tab w:val="left" w:pos="1003"/>
                <w:tab w:val="left" w:pos="1338"/>
              </w:tabs>
              <w:suppressAutoHyphens/>
              <w:spacing w:after="60" w:line="280" w:lineRule="exact"/>
              <w:ind w:right="57"/>
              <w:rPr>
                <w:rFonts w:hint="eastAsia"/>
                <w:sz w:val="17"/>
              </w:rPr>
            </w:pPr>
            <w:r w:rsidRPr="006A6F8C">
              <w:rPr>
                <w:rFonts w:hint="eastAsia"/>
                <w:sz w:val="17"/>
              </w:rPr>
              <w:t>百分比</w:t>
            </w:r>
          </w:p>
        </w:tc>
        <w:tc>
          <w:tcPr>
            <w:tcW w:w="2440" w:type="dxa"/>
            <w:tcBorders>
              <w:bottom w:val="single" w:sz="12" w:space="0" w:color="auto"/>
            </w:tcBorders>
            <w:shd w:val="clear" w:color="auto" w:fill="auto"/>
            <w:vAlign w:val="bottom"/>
          </w:tcPr>
          <w:p w:rsidR="00733ECF" w:rsidRPr="006A6F8C" w:rsidRDefault="00733ECF" w:rsidP="0034182C">
            <w:pPr>
              <w:tabs>
                <w:tab w:val="left" w:pos="334"/>
                <w:tab w:val="left" w:pos="669"/>
                <w:tab w:val="left" w:pos="1003"/>
                <w:tab w:val="left" w:pos="1338"/>
              </w:tabs>
              <w:suppressAutoHyphens/>
              <w:spacing w:after="60" w:line="280" w:lineRule="exact"/>
              <w:ind w:right="57"/>
              <w:jc w:val="right"/>
              <w:rPr>
                <w:sz w:val="17"/>
              </w:rPr>
            </w:pPr>
            <w:r w:rsidRPr="006A6F8C">
              <w:rPr>
                <w:sz w:val="17"/>
              </w:rPr>
              <w:t>61</w:t>
            </w:r>
            <w:r w:rsidRPr="006A6F8C">
              <w:rPr>
                <w:rFonts w:hint="eastAsia"/>
                <w:sz w:val="17"/>
              </w:rPr>
              <w:t>.</w:t>
            </w:r>
            <w:r w:rsidRPr="006A6F8C">
              <w:rPr>
                <w:sz w:val="17"/>
              </w:rPr>
              <w:t>9</w:t>
            </w:r>
          </w:p>
        </w:tc>
        <w:tc>
          <w:tcPr>
            <w:tcW w:w="2440" w:type="dxa"/>
            <w:tcBorders>
              <w:bottom w:val="single" w:sz="12" w:space="0" w:color="auto"/>
            </w:tcBorders>
            <w:shd w:val="clear" w:color="auto" w:fill="auto"/>
            <w:vAlign w:val="bottom"/>
          </w:tcPr>
          <w:p w:rsidR="00733ECF" w:rsidRPr="006A6F8C" w:rsidRDefault="00733ECF" w:rsidP="0034182C">
            <w:pPr>
              <w:tabs>
                <w:tab w:val="left" w:pos="334"/>
                <w:tab w:val="left" w:pos="669"/>
                <w:tab w:val="left" w:pos="1003"/>
                <w:tab w:val="left" w:pos="1338"/>
              </w:tabs>
              <w:suppressAutoHyphens/>
              <w:spacing w:after="60" w:line="280" w:lineRule="exact"/>
              <w:ind w:right="57"/>
              <w:jc w:val="right"/>
              <w:rPr>
                <w:sz w:val="17"/>
              </w:rPr>
            </w:pPr>
            <w:r w:rsidRPr="006A6F8C">
              <w:rPr>
                <w:sz w:val="17"/>
              </w:rPr>
              <w:t>62</w:t>
            </w:r>
            <w:r w:rsidRPr="006A6F8C">
              <w:rPr>
                <w:rFonts w:hint="eastAsia"/>
                <w:sz w:val="17"/>
              </w:rPr>
              <w:t>.</w:t>
            </w:r>
            <w:r w:rsidRPr="006A6F8C">
              <w:rPr>
                <w:sz w:val="17"/>
              </w:rPr>
              <w:t>5</w:t>
            </w:r>
          </w:p>
        </w:tc>
      </w:tr>
    </w:tbl>
    <w:p w:rsidR="00733ECF" w:rsidRPr="006A6F8C" w:rsidRDefault="00733ECF" w:rsidP="0034182C">
      <w:pPr>
        <w:pStyle w:val="SingleTxt"/>
        <w:spacing w:after="0" w:line="120" w:lineRule="exact"/>
        <w:rPr>
          <w:sz w:val="10"/>
        </w:rPr>
      </w:pPr>
    </w:p>
    <w:p w:rsidR="00733ECF" w:rsidRPr="006A6F8C" w:rsidRDefault="00733ECF" w:rsidP="0034182C">
      <w:pPr>
        <w:pStyle w:val="SingleTxt"/>
        <w:spacing w:after="0" w:line="120" w:lineRule="exact"/>
        <w:rPr>
          <w:sz w:val="10"/>
        </w:rPr>
      </w:pPr>
    </w:p>
    <w:p w:rsidR="00733ECF" w:rsidRDefault="00733ECF" w:rsidP="0034182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Pr>
          <w:rFonts w:hint="eastAsia"/>
        </w:rPr>
        <w:t>按职业类别和性别分列的劳动力分布情况</w:t>
      </w:r>
    </w:p>
    <w:p w:rsidR="00733ECF" w:rsidRPr="006A6F8C" w:rsidRDefault="00733ECF" w:rsidP="0034182C">
      <w:pPr>
        <w:pStyle w:val="SingleTxt"/>
        <w:spacing w:after="0" w:line="120" w:lineRule="exact"/>
        <w:rPr>
          <w:rFonts w:hint="eastAsia"/>
          <w:sz w:val="10"/>
        </w:rPr>
      </w:pPr>
    </w:p>
    <w:p w:rsidR="00733ECF" w:rsidRPr="006A30E8" w:rsidRDefault="00733ECF" w:rsidP="0034182C">
      <w:pPr>
        <w:pStyle w:val="SingleTxt"/>
        <w:rPr>
          <w:rFonts w:ascii="KaiTi_GB2312" w:eastAsia="KaiTi_GB2312" w:hint="eastAsia"/>
          <w:sz w:val="15"/>
          <w:szCs w:val="15"/>
        </w:rPr>
      </w:pPr>
      <w:r w:rsidRPr="006A30E8">
        <w:rPr>
          <w:rFonts w:ascii="KaiTi_GB2312" w:eastAsia="KaiTi_GB2312" w:hint="eastAsia"/>
          <w:sz w:val="15"/>
          <w:szCs w:val="15"/>
        </w:rPr>
        <w:t>数字单位：千人</w:t>
      </w:r>
    </w:p>
    <w:tbl>
      <w:tblPr>
        <w:tblW w:w="0" w:type="auto"/>
        <w:tblInd w:w="1260" w:type="dxa"/>
        <w:tblLayout w:type="fixed"/>
        <w:tblCellMar>
          <w:left w:w="0" w:type="dxa"/>
          <w:right w:w="0" w:type="dxa"/>
        </w:tblCellMar>
        <w:tblLook w:val="0000"/>
      </w:tblPr>
      <w:tblGrid>
        <w:gridCol w:w="2928"/>
        <w:gridCol w:w="1464"/>
        <w:gridCol w:w="1464"/>
        <w:gridCol w:w="1464"/>
      </w:tblGrid>
      <w:tr w:rsidR="00733ECF" w:rsidRPr="006A6F8C" w:rsidTr="0034182C">
        <w:tblPrEx>
          <w:tblCellMar>
            <w:top w:w="0" w:type="dxa"/>
            <w:bottom w:w="0" w:type="dxa"/>
          </w:tblCellMar>
        </w:tblPrEx>
        <w:trPr>
          <w:tblHeader/>
        </w:trPr>
        <w:tc>
          <w:tcPr>
            <w:tcW w:w="2928" w:type="dxa"/>
            <w:tcBorders>
              <w:top w:val="single" w:sz="4" w:space="0" w:color="auto"/>
              <w:bottom w:val="single" w:sz="12" w:space="0" w:color="auto"/>
            </w:tcBorders>
            <w:shd w:val="clear" w:color="auto" w:fill="auto"/>
            <w:vAlign w:val="bottom"/>
          </w:tcPr>
          <w:p w:rsidR="00733ECF" w:rsidRPr="006A6F8C" w:rsidRDefault="00733ECF" w:rsidP="0034182C">
            <w:pPr>
              <w:suppressAutoHyphens/>
              <w:spacing w:before="60" w:after="60" w:line="200" w:lineRule="exact"/>
              <w:ind w:right="57"/>
              <w:rPr>
                <w:rFonts w:ascii="KaiTi_GB2312" w:eastAsia="KaiTi_GB2312" w:hint="eastAsia"/>
                <w:sz w:val="15"/>
                <w:szCs w:val="18"/>
              </w:rPr>
            </w:pPr>
            <w:r w:rsidRPr="006A6F8C">
              <w:rPr>
                <w:rFonts w:ascii="KaiTi_GB2312" w:eastAsia="KaiTi_GB2312" w:hint="eastAsia"/>
                <w:sz w:val="15"/>
                <w:szCs w:val="18"/>
              </w:rPr>
              <w:t>女性</w:t>
            </w:r>
          </w:p>
        </w:tc>
        <w:tc>
          <w:tcPr>
            <w:tcW w:w="1464" w:type="dxa"/>
            <w:tcBorders>
              <w:top w:val="single" w:sz="4" w:space="0" w:color="auto"/>
              <w:bottom w:val="single" w:sz="12" w:space="0" w:color="auto"/>
            </w:tcBorders>
            <w:shd w:val="clear" w:color="auto" w:fill="auto"/>
            <w:vAlign w:val="bottom"/>
          </w:tcPr>
          <w:p w:rsidR="00733ECF" w:rsidRPr="006A6F8C" w:rsidRDefault="00733ECF" w:rsidP="0034182C">
            <w:pPr>
              <w:suppressAutoHyphens/>
              <w:spacing w:before="60" w:after="60" w:line="200" w:lineRule="exact"/>
              <w:ind w:right="57"/>
              <w:jc w:val="right"/>
              <w:rPr>
                <w:rFonts w:ascii="KaiTi_GB2312" w:eastAsia="KaiTi_GB2312" w:hint="eastAsia"/>
                <w:sz w:val="15"/>
                <w:szCs w:val="18"/>
              </w:rPr>
            </w:pPr>
            <w:r w:rsidRPr="006A6F8C">
              <w:rPr>
                <w:rFonts w:ascii="KaiTi_GB2312" w:eastAsia="KaiTi_GB2312"/>
                <w:sz w:val="15"/>
                <w:szCs w:val="18"/>
              </w:rPr>
              <w:t>2009</w:t>
            </w:r>
            <w:r w:rsidRPr="006A6F8C">
              <w:rPr>
                <w:rFonts w:ascii="KaiTi_GB2312" w:eastAsia="KaiTi_GB2312" w:hint="eastAsia"/>
                <w:sz w:val="15"/>
                <w:szCs w:val="18"/>
              </w:rPr>
              <w:t>年</w:t>
            </w:r>
          </w:p>
        </w:tc>
        <w:tc>
          <w:tcPr>
            <w:tcW w:w="1464" w:type="dxa"/>
            <w:tcBorders>
              <w:top w:val="single" w:sz="4" w:space="0" w:color="auto"/>
              <w:bottom w:val="single" w:sz="12" w:space="0" w:color="auto"/>
            </w:tcBorders>
            <w:shd w:val="clear" w:color="auto" w:fill="auto"/>
            <w:vAlign w:val="bottom"/>
          </w:tcPr>
          <w:p w:rsidR="00733ECF" w:rsidRPr="006A6F8C" w:rsidRDefault="00733ECF" w:rsidP="0034182C">
            <w:pPr>
              <w:suppressAutoHyphens/>
              <w:spacing w:before="60" w:after="60" w:line="200" w:lineRule="exact"/>
              <w:ind w:right="57"/>
              <w:jc w:val="right"/>
              <w:rPr>
                <w:rFonts w:ascii="KaiTi_GB2312" w:eastAsia="KaiTi_GB2312" w:hint="eastAsia"/>
                <w:sz w:val="15"/>
                <w:szCs w:val="18"/>
              </w:rPr>
            </w:pPr>
            <w:r w:rsidRPr="006A6F8C">
              <w:rPr>
                <w:rFonts w:ascii="KaiTi_GB2312" w:eastAsia="KaiTi_GB2312"/>
                <w:sz w:val="15"/>
                <w:szCs w:val="18"/>
              </w:rPr>
              <w:t>2010</w:t>
            </w:r>
            <w:r w:rsidRPr="006A6F8C">
              <w:rPr>
                <w:rFonts w:ascii="KaiTi_GB2312" w:eastAsia="KaiTi_GB2312" w:hint="eastAsia"/>
                <w:sz w:val="15"/>
                <w:szCs w:val="18"/>
              </w:rPr>
              <w:t>年</w:t>
            </w:r>
          </w:p>
        </w:tc>
        <w:tc>
          <w:tcPr>
            <w:tcW w:w="1464" w:type="dxa"/>
            <w:tcBorders>
              <w:top w:val="single" w:sz="4" w:space="0" w:color="auto"/>
              <w:bottom w:val="single" w:sz="12" w:space="0" w:color="auto"/>
            </w:tcBorders>
            <w:shd w:val="clear" w:color="auto" w:fill="auto"/>
            <w:vAlign w:val="bottom"/>
          </w:tcPr>
          <w:p w:rsidR="00733ECF" w:rsidRPr="006A6F8C" w:rsidRDefault="00733ECF" w:rsidP="0034182C">
            <w:pPr>
              <w:suppressAutoHyphens/>
              <w:spacing w:before="60" w:after="60" w:line="200" w:lineRule="exact"/>
              <w:ind w:right="57"/>
              <w:jc w:val="right"/>
              <w:rPr>
                <w:rFonts w:ascii="KaiTi_GB2312" w:eastAsia="KaiTi_GB2312" w:hint="eastAsia"/>
                <w:sz w:val="15"/>
                <w:szCs w:val="18"/>
              </w:rPr>
            </w:pPr>
            <w:r w:rsidRPr="006A6F8C">
              <w:rPr>
                <w:rFonts w:ascii="KaiTi_GB2312" w:eastAsia="KaiTi_GB2312"/>
                <w:sz w:val="15"/>
                <w:szCs w:val="18"/>
              </w:rPr>
              <w:t>2011</w:t>
            </w:r>
            <w:r w:rsidRPr="006A6F8C">
              <w:rPr>
                <w:rFonts w:ascii="KaiTi_GB2312" w:eastAsia="KaiTi_GB2312" w:hint="eastAsia"/>
                <w:sz w:val="15"/>
                <w:szCs w:val="18"/>
              </w:rPr>
              <w:t>年</w:t>
            </w:r>
          </w:p>
        </w:tc>
      </w:tr>
      <w:tr w:rsidR="00733ECF" w:rsidRPr="006A6F8C" w:rsidTr="0034182C">
        <w:tblPrEx>
          <w:tblCellMar>
            <w:top w:w="0" w:type="dxa"/>
            <w:bottom w:w="0" w:type="dxa"/>
          </w:tblCellMar>
        </w:tblPrEx>
        <w:trPr>
          <w:trHeight w:hRule="exact" w:val="115"/>
          <w:tblHeader/>
        </w:trPr>
        <w:tc>
          <w:tcPr>
            <w:tcW w:w="2928" w:type="dxa"/>
            <w:tcBorders>
              <w:top w:val="single" w:sz="12" w:space="0" w:color="auto"/>
            </w:tcBorders>
            <w:shd w:val="clear" w:color="auto" w:fill="auto"/>
            <w:vAlign w:val="bottom"/>
          </w:tcPr>
          <w:p w:rsidR="00733ECF" w:rsidRPr="006A6F8C" w:rsidRDefault="00733ECF" w:rsidP="0034182C">
            <w:pPr>
              <w:suppressAutoHyphens/>
              <w:spacing w:after="60" w:line="280" w:lineRule="exact"/>
              <w:ind w:right="57"/>
              <w:rPr>
                <w:rFonts w:hint="eastAsia"/>
                <w:sz w:val="17"/>
              </w:rPr>
            </w:pPr>
          </w:p>
        </w:tc>
        <w:tc>
          <w:tcPr>
            <w:tcW w:w="1464" w:type="dxa"/>
            <w:tcBorders>
              <w:top w:val="single" w:sz="12" w:space="0" w:color="auto"/>
            </w:tcBorders>
            <w:shd w:val="clear" w:color="auto" w:fill="auto"/>
            <w:vAlign w:val="bottom"/>
          </w:tcPr>
          <w:p w:rsidR="00733ECF" w:rsidRPr="006A6F8C" w:rsidRDefault="00733ECF" w:rsidP="0034182C">
            <w:pPr>
              <w:suppressAutoHyphens/>
              <w:spacing w:after="60" w:line="280" w:lineRule="exact"/>
              <w:ind w:right="57"/>
              <w:jc w:val="right"/>
              <w:rPr>
                <w:sz w:val="17"/>
              </w:rPr>
            </w:pPr>
          </w:p>
        </w:tc>
        <w:tc>
          <w:tcPr>
            <w:tcW w:w="1464" w:type="dxa"/>
            <w:tcBorders>
              <w:top w:val="single" w:sz="12" w:space="0" w:color="auto"/>
            </w:tcBorders>
            <w:shd w:val="clear" w:color="auto" w:fill="auto"/>
            <w:vAlign w:val="bottom"/>
          </w:tcPr>
          <w:p w:rsidR="00733ECF" w:rsidRPr="006A6F8C" w:rsidRDefault="00733ECF" w:rsidP="0034182C">
            <w:pPr>
              <w:suppressAutoHyphens/>
              <w:spacing w:after="60" w:line="280" w:lineRule="exact"/>
              <w:ind w:right="57"/>
              <w:jc w:val="right"/>
              <w:rPr>
                <w:sz w:val="17"/>
              </w:rPr>
            </w:pPr>
          </w:p>
        </w:tc>
        <w:tc>
          <w:tcPr>
            <w:tcW w:w="1464" w:type="dxa"/>
            <w:tcBorders>
              <w:top w:val="single" w:sz="12" w:space="0" w:color="auto"/>
            </w:tcBorders>
            <w:shd w:val="clear" w:color="auto" w:fill="auto"/>
            <w:vAlign w:val="bottom"/>
          </w:tcPr>
          <w:p w:rsidR="00733ECF" w:rsidRPr="006A6F8C" w:rsidRDefault="00733ECF" w:rsidP="0034182C">
            <w:pPr>
              <w:suppressAutoHyphens/>
              <w:spacing w:after="60" w:line="280" w:lineRule="exact"/>
              <w:ind w:right="57"/>
              <w:jc w:val="right"/>
              <w:rPr>
                <w:sz w:val="17"/>
              </w:rPr>
            </w:pPr>
          </w:p>
        </w:tc>
      </w:tr>
      <w:tr w:rsidR="00733ECF" w:rsidRPr="006A6F8C" w:rsidTr="0034182C">
        <w:tblPrEx>
          <w:tblCellMar>
            <w:top w:w="0" w:type="dxa"/>
            <w:bottom w:w="0" w:type="dxa"/>
          </w:tblCellMar>
        </w:tblPrEx>
        <w:tc>
          <w:tcPr>
            <w:tcW w:w="2928" w:type="dxa"/>
            <w:shd w:val="clear" w:color="auto" w:fill="auto"/>
            <w:vAlign w:val="bottom"/>
          </w:tcPr>
          <w:p w:rsidR="00733ECF" w:rsidRPr="006A6F8C" w:rsidRDefault="00733ECF" w:rsidP="0034182C">
            <w:pPr>
              <w:tabs>
                <w:tab w:val="left" w:pos="334"/>
                <w:tab w:val="left" w:pos="669"/>
                <w:tab w:val="left" w:pos="1003"/>
                <w:tab w:val="left" w:pos="1338"/>
              </w:tabs>
              <w:suppressAutoHyphens/>
              <w:spacing w:after="60" w:line="280" w:lineRule="exact"/>
              <w:ind w:right="57"/>
              <w:rPr>
                <w:rFonts w:hint="eastAsia"/>
                <w:sz w:val="17"/>
              </w:rPr>
            </w:pPr>
            <w:r w:rsidRPr="006A6F8C">
              <w:rPr>
                <w:rFonts w:hint="eastAsia"/>
                <w:sz w:val="17"/>
              </w:rPr>
              <w:t>总人数</w:t>
            </w:r>
          </w:p>
        </w:tc>
        <w:tc>
          <w:tcPr>
            <w:tcW w:w="1464" w:type="dxa"/>
            <w:shd w:val="clear" w:color="auto" w:fill="auto"/>
            <w:vAlign w:val="bottom"/>
          </w:tcPr>
          <w:p w:rsidR="00733ECF" w:rsidRPr="006A6F8C" w:rsidRDefault="00733ECF" w:rsidP="0034182C">
            <w:pPr>
              <w:tabs>
                <w:tab w:val="left" w:pos="334"/>
                <w:tab w:val="left" w:pos="669"/>
                <w:tab w:val="left" w:pos="1003"/>
                <w:tab w:val="left" w:pos="1338"/>
              </w:tabs>
              <w:suppressAutoHyphens/>
              <w:spacing w:after="60" w:line="280" w:lineRule="exact"/>
              <w:ind w:right="57"/>
              <w:jc w:val="right"/>
              <w:rPr>
                <w:sz w:val="17"/>
              </w:rPr>
            </w:pPr>
            <w:r w:rsidRPr="006A6F8C">
              <w:rPr>
                <w:sz w:val="17"/>
              </w:rPr>
              <w:t>1</w:t>
            </w:r>
            <w:r w:rsidRPr="006A6F8C">
              <w:rPr>
                <w:rFonts w:hint="eastAsia"/>
                <w:sz w:val="17"/>
              </w:rPr>
              <w:t xml:space="preserve"> </w:t>
            </w:r>
            <w:r w:rsidRPr="006A6F8C">
              <w:rPr>
                <w:sz w:val="17"/>
              </w:rPr>
              <w:t>934.1</w:t>
            </w:r>
          </w:p>
        </w:tc>
        <w:tc>
          <w:tcPr>
            <w:tcW w:w="1464" w:type="dxa"/>
            <w:shd w:val="clear" w:color="auto" w:fill="auto"/>
            <w:vAlign w:val="bottom"/>
          </w:tcPr>
          <w:p w:rsidR="00733ECF" w:rsidRPr="006A6F8C" w:rsidRDefault="00733ECF" w:rsidP="0034182C">
            <w:pPr>
              <w:tabs>
                <w:tab w:val="left" w:pos="334"/>
                <w:tab w:val="left" w:pos="669"/>
                <w:tab w:val="left" w:pos="1003"/>
                <w:tab w:val="left" w:pos="1338"/>
              </w:tabs>
              <w:suppressAutoHyphens/>
              <w:spacing w:after="60" w:line="280" w:lineRule="exact"/>
              <w:ind w:right="57"/>
              <w:jc w:val="right"/>
              <w:rPr>
                <w:sz w:val="17"/>
              </w:rPr>
            </w:pPr>
            <w:r w:rsidRPr="006A6F8C">
              <w:rPr>
                <w:sz w:val="17"/>
              </w:rPr>
              <w:t>1</w:t>
            </w:r>
            <w:r w:rsidRPr="006A6F8C">
              <w:rPr>
                <w:rFonts w:hint="eastAsia"/>
                <w:sz w:val="17"/>
              </w:rPr>
              <w:t xml:space="preserve"> </w:t>
            </w:r>
            <w:r w:rsidRPr="006A6F8C">
              <w:rPr>
                <w:sz w:val="17"/>
              </w:rPr>
              <w:t>900.3</w:t>
            </w:r>
          </w:p>
        </w:tc>
        <w:tc>
          <w:tcPr>
            <w:tcW w:w="1464" w:type="dxa"/>
            <w:shd w:val="clear" w:color="auto" w:fill="auto"/>
            <w:vAlign w:val="bottom"/>
          </w:tcPr>
          <w:p w:rsidR="00733ECF" w:rsidRPr="006A6F8C" w:rsidRDefault="00733ECF" w:rsidP="0034182C">
            <w:pPr>
              <w:tabs>
                <w:tab w:val="left" w:pos="334"/>
                <w:tab w:val="left" w:pos="669"/>
                <w:tab w:val="left" w:pos="1003"/>
                <w:tab w:val="left" w:pos="1338"/>
              </w:tabs>
              <w:suppressAutoHyphens/>
              <w:spacing w:after="60" w:line="280" w:lineRule="exact"/>
              <w:ind w:right="57"/>
              <w:jc w:val="right"/>
              <w:rPr>
                <w:sz w:val="17"/>
              </w:rPr>
            </w:pPr>
            <w:r w:rsidRPr="006A6F8C">
              <w:rPr>
                <w:sz w:val="17"/>
              </w:rPr>
              <w:t>1</w:t>
            </w:r>
            <w:r w:rsidRPr="006A6F8C">
              <w:rPr>
                <w:rFonts w:hint="eastAsia"/>
                <w:sz w:val="17"/>
              </w:rPr>
              <w:t xml:space="preserve"> </w:t>
            </w:r>
            <w:r w:rsidRPr="006A6F8C">
              <w:rPr>
                <w:sz w:val="17"/>
              </w:rPr>
              <w:t>876.4</w:t>
            </w:r>
          </w:p>
        </w:tc>
      </w:tr>
      <w:tr w:rsidR="00733ECF" w:rsidRPr="006A6F8C" w:rsidTr="0034182C">
        <w:tblPrEx>
          <w:tblCellMar>
            <w:top w:w="0" w:type="dxa"/>
            <w:bottom w:w="0" w:type="dxa"/>
          </w:tblCellMar>
        </w:tblPrEx>
        <w:tc>
          <w:tcPr>
            <w:tcW w:w="2928" w:type="dxa"/>
            <w:shd w:val="clear" w:color="auto" w:fill="auto"/>
            <w:vAlign w:val="bottom"/>
          </w:tcPr>
          <w:p w:rsidR="00733ECF" w:rsidRPr="006A6F8C" w:rsidRDefault="00733ECF" w:rsidP="0034182C">
            <w:pPr>
              <w:tabs>
                <w:tab w:val="left" w:pos="334"/>
                <w:tab w:val="left" w:pos="669"/>
                <w:tab w:val="left" w:pos="1003"/>
                <w:tab w:val="left" w:pos="1338"/>
              </w:tabs>
              <w:suppressAutoHyphens/>
              <w:spacing w:after="60" w:line="280" w:lineRule="exact"/>
              <w:ind w:right="57"/>
              <w:rPr>
                <w:rFonts w:hint="eastAsia"/>
                <w:sz w:val="17"/>
              </w:rPr>
            </w:pPr>
            <w:r w:rsidRPr="006A6F8C">
              <w:rPr>
                <w:rFonts w:hint="eastAsia"/>
                <w:sz w:val="17"/>
              </w:rPr>
              <w:t>蓝领</w:t>
            </w:r>
          </w:p>
        </w:tc>
        <w:tc>
          <w:tcPr>
            <w:tcW w:w="1464" w:type="dxa"/>
            <w:shd w:val="clear" w:color="auto" w:fill="auto"/>
            <w:vAlign w:val="bottom"/>
          </w:tcPr>
          <w:p w:rsidR="00733ECF" w:rsidRPr="006A6F8C" w:rsidRDefault="00733ECF" w:rsidP="0034182C">
            <w:pPr>
              <w:tabs>
                <w:tab w:val="left" w:pos="334"/>
                <w:tab w:val="left" w:pos="669"/>
                <w:tab w:val="left" w:pos="1003"/>
                <w:tab w:val="left" w:pos="1338"/>
              </w:tabs>
              <w:suppressAutoHyphens/>
              <w:spacing w:after="60" w:line="280" w:lineRule="exact"/>
              <w:ind w:right="57"/>
              <w:jc w:val="right"/>
              <w:rPr>
                <w:sz w:val="17"/>
              </w:rPr>
            </w:pPr>
            <w:r w:rsidRPr="006A6F8C">
              <w:rPr>
                <w:sz w:val="17"/>
              </w:rPr>
              <w:t>296.2</w:t>
            </w:r>
          </w:p>
        </w:tc>
        <w:tc>
          <w:tcPr>
            <w:tcW w:w="1464" w:type="dxa"/>
            <w:shd w:val="clear" w:color="auto" w:fill="auto"/>
            <w:vAlign w:val="bottom"/>
          </w:tcPr>
          <w:p w:rsidR="00733ECF" w:rsidRPr="006A6F8C" w:rsidRDefault="00733ECF" w:rsidP="0034182C">
            <w:pPr>
              <w:tabs>
                <w:tab w:val="left" w:pos="334"/>
                <w:tab w:val="left" w:pos="669"/>
                <w:tab w:val="left" w:pos="1003"/>
                <w:tab w:val="left" w:pos="1338"/>
              </w:tabs>
              <w:suppressAutoHyphens/>
              <w:spacing w:after="60" w:line="280" w:lineRule="exact"/>
              <w:ind w:right="57"/>
              <w:jc w:val="right"/>
              <w:rPr>
                <w:sz w:val="17"/>
              </w:rPr>
            </w:pPr>
            <w:r w:rsidRPr="006A6F8C">
              <w:rPr>
                <w:sz w:val="17"/>
              </w:rPr>
              <w:t>323.5</w:t>
            </w:r>
          </w:p>
        </w:tc>
        <w:tc>
          <w:tcPr>
            <w:tcW w:w="1464" w:type="dxa"/>
            <w:shd w:val="clear" w:color="auto" w:fill="auto"/>
            <w:vAlign w:val="bottom"/>
          </w:tcPr>
          <w:p w:rsidR="00733ECF" w:rsidRPr="006A6F8C" w:rsidRDefault="00733ECF" w:rsidP="0034182C">
            <w:pPr>
              <w:tabs>
                <w:tab w:val="left" w:pos="334"/>
                <w:tab w:val="left" w:pos="669"/>
                <w:tab w:val="left" w:pos="1003"/>
                <w:tab w:val="left" w:pos="1338"/>
              </w:tabs>
              <w:suppressAutoHyphens/>
              <w:spacing w:after="60" w:line="280" w:lineRule="exact"/>
              <w:ind w:right="57"/>
              <w:jc w:val="right"/>
              <w:rPr>
                <w:sz w:val="17"/>
              </w:rPr>
            </w:pPr>
            <w:r w:rsidRPr="006A6F8C">
              <w:rPr>
                <w:sz w:val="17"/>
              </w:rPr>
              <w:t>305.3</w:t>
            </w:r>
          </w:p>
        </w:tc>
      </w:tr>
      <w:tr w:rsidR="00733ECF" w:rsidRPr="006A6F8C" w:rsidTr="0034182C">
        <w:tblPrEx>
          <w:tblCellMar>
            <w:top w:w="0" w:type="dxa"/>
            <w:bottom w:w="0" w:type="dxa"/>
          </w:tblCellMar>
        </w:tblPrEx>
        <w:tc>
          <w:tcPr>
            <w:tcW w:w="2928" w:type="dxa"/>
            <w:shd w:val="clear" w:color="auto" w:fill="auto"/>
            <w:vAlign w:val="bottom"/>
          </w:tcPr>
          <w:p w:rsidR="00733ECF" w:rsidRPr="006A6F8C" w:rsidRDefault="00733ECF" w:rsidP="0034182C">
            <w:pPr>
              <w:tabs>
                <w:tab w:val="left" w:pos="334"/>
                <w:tab w:val="left" w:pos="669"/>
                <w:tab w:val="left" w:pos="1003"/>
                <w:tab w:val="left" w:pos="1338"/>
              </w:tabs>
              <w:suppressAutoHyphens/>
              <w:spacing w:after="60" w:line="280" w:lineRule="exact"/>
              <w:ind w:right="57"/>
              <w:rPr>
                <w:sz w:val="17"/>
              </w:rPr>
            </w:pPr>
            <w:r w:rsidRPr="006A6F8C">
              <w:rPr>
                <w:rFonts w:hint="eastAsia"/>
                <w:sz w:val="17"/>
              </w:rPr>
              <w:t>技术</w:t>
            </w:r>
          </w:p>
        </w:tc>
        <w:tc>
          <w:tcPr>
            <w:tcW w:w="1464" w:type="dxa"/>
            <w:shd w:val="clear" w:color="auto" w:fill="auto"/>
            <w:vAlign w:val="bottom"/>
          </w:tcPr>
          <w:p w:rsidR="00733ECF" w:rsidRPr="006A6F8C" w:rsidRDefault="00733ECF" w:rsidP="0034182C">
            <w:pPr>
              <w:tabs>
                <w:tab w:val="left" w:pos="334"/>
                <w:tab w:val="left" w:pos="669"/>
                <w:tab w:val="left" w:pos="1003"/>
                <w:tab w:val="left" w:pos="1338"/>
              </w:tabs>
              <w:suppressAutoHyphens/>
              <w:spacing w:after="60" w:line="280" w:lineRule="exact"/>
              <w:ind w:right="57"/>
              <w:jc w:val="right"/>
              <w:rPr>
                <w:sz w:val="17"/>
              </w:rPr>
            </w:pPr>
            <w:r w:rsidRPr="006A6F8C">
              <w:rPr>
                <w:sz w:val="17"/>
              </w:rPr>
              <w:t>880.1</w:t>
            </w:r>
          </w:p>
        </w:tc>
        <w:tc>
          <w:tcPr>
            <w:tcW w:w="1464" w:type="dxa"/>
            <w:shd w:val="clear" w:color="auto" w:fill="auto"/>
            <w:vAlign w:val="bottom"/>
          </w:tcPr>
          <w:p w:rsidR="00733ECF" w:rsidRPr="006A6F8C" w:rsidRDefault="00733ECF" w:rsidP="0034182C">
            <w:pPr>
              <w:tabs>
                <w:tab w:val="left" w:pos="334"/>
                <w:tab w:val="left" w:pos="669"/>
                <w:tab w:val="left" w:pos="1003"/>
                <w:tab w:val="left" w:pos="1338"/>
              </w:tabs>
              <w:suppressAutoHyphens/>
              <w:spacing w:after="60" w:line="280" w:lineRule="exact"/>
              <w:ind w:right="57"/>
              <w:jc w:val="right"/>
              <w:rPr>
                <w:sz w:val="17"/>
              </w:rPr>
            </w:pPr>
            <w:r w:rsidRPr="006A6F8C">
              <w:rPr>
                <w:sz w:val="17"/>
              </w:rPr>
              <w:t>875.5</w:t>
            </w:r>
          </w:p>
        </w:tc>
        <w:tc>
          <w:tcPr>
            <w:tcW w:w="1464" w:type="dxa"/>
            <w:shd w:val="clear" w:color="auto" w:fill="auto"/>
            <w:vAlign w:val="bottom"/>
          </w:tcPr>
          <w:p w:rsidR="00733ECF" w:rsidRPr="006A6F8C" w:rsidRDefault="00733ECF" w:rsidP="0034182C">
            <w:pPr>
              <w:tabs>
                <w:tab w:val="left" w:pos="334"/>
                <w:tab w:val="left" w:pos="669"/>
                <w:tab w:val="left" w:pos="1003"/>
                <w:tab w:val="left" w:pos="1338"/>
              </w:tabs>
              <w:suppressAutoHyphens/>
              <w:spacing w:after="60" w:line="280" w:lineRule="exact"/>
              <w:ind w:right="57"/>
              <w:jc w:val="right"/>
              <w:rPr>
                <w:sz w:val="17"/>
              </w:rPr>
            </w:pPr>
            <w:r w:rsidRPr="006A6F8C">
              <w:rPr>
                <w:sz w:val="17"/>
              </w:rPr>
              <w:t>888.1</w:t>
            </w:r>
          </w:p>
        </w:tc>
      </w:tr>
      <w:tr w:rsidR="00733ECF" w:rsidRPr="006A6F8C" w:rsidTr="0034182C">
        <w:tblPrEx>
          <w:tblCellMar>
            <w:top w:w="0" w:type="dxa"/>
            <w:bottom w:w="0" w:type="dxa"/>
          </w:tblCellMar>
        </w:tblPrEx>
        <w:tc>
          <w:tcPr>
            <w:tcW w:w="2928" w:type="dxa"/>
            <w:shd w:val="clear" w:color="auto" w:fill="auto"/>
            <w:vAlign w:val="bottom"/>
          </w:tcPr>
          <w:p w:rsidR="00733ECF" w:rsidRPr="006A6F8C" w:rsidRDefault="00733ECF" w:rsidP="0034182C">
            <w:pPr>
              <w:tabs>
                <w:tab w:val="left" w:pos="334"/>
                <w:tab w:val="left" w:pos="669"/>
                <w:tab w:val="left" w:pos="1003"/>
                <w:tab w:val="left" w:pos="1338"/>
              </w:tabs>
              <w:suppressAutoHyphens/>
              <w:spacing w:after="60" w:line="280" w:lineRule="exact"/>
              <w:ind w:right="57"/>
              <w:rPr>
                <w:sz w:val="17"/>
              </w:rPr>
            </w:pPr>
            <w:r w:rsidRPr="006A6F8C">
              <w:rPr>
                <w:rFonts w:hint="eastAsia"/>
                <w:sz w:val="17"/>
              </w:rPr>
              <w:t>行政</w:t>
            </w:r>
          </w:p>
        </w:tc>
        <w:tc>
          <w:tcPr>
            <w:tcW w:w="1464" w:type="dxa"/>
            <w:shd w:val="clear" w:color="auto" w:fill="auto"/>
            <w:vAlign w:val="bottom"/>
          </w:tcPr>
          <w:p w:rsidR="00733ECF" w:rsidRPr="006A6F8C" w:rsidRDefault="00733ECF" w:rsidP="0034182C">
            <w:pPr>
              <w:tabs>
                <w:tab w:val="left" w:pos="334"/>
                <w:tab w:val="left" w:pos="669"/>
                <w:tab w:val="left" w:pos="1003"/>
                <w:tab w:val="left" w:pos="1338"/>
              </w:tabs>
              <w:suppressAutoHyphens/>
              <w:spacing w:after="60" w:line="280" w:lineRule="exact"/>
              <w:ind w:right="57"/>
              <w:jc w:val="right"/>
              <w:rPr>
                <w:sz w:val="17"/>
              </w:rPr>
            </w:pPr>
            <w:r w:rsidRPr="006A6F8C">
              <w:rPr>
                <w:sz w:val="17"/>
              </w:rPr>
              <w:t>166.2</w:t>
            </w:r>
          </w:p>
        </w:tc>
        <w:tc>
          <w:tcPr>
            <w:tcW w:w="1464" w:type="dxa"/>
            <w:shd w:val="clear" w:color="auto" w:fill="auto"/>
            <w:vAlign w:val="bottom"/>
          </w:tcPr>
          <w:p w:rsidR="00733ECF" w:rsidRPr="006A6F8C" w:rsidRDefault="00733ECF" w:rsidP="0034182C">
            <w:pPr>
              <w:tabs>
                <w:tab w:val="left" w:pos="334"/>
                <w:tab w:val="left" w:pos="669"/>
                <w:tab w:val="left" w:pos="1003"/>
                <w:tab w:val="left" w:pos="1338"/>
              </w:tabs>
              <w:suppressAutoHyphens/>
              <w:spacing w:after="60" w:line="280" w:lineRule="exact"/>
              <w:ind w:right="57"/>
              <w:jc w:val="right"/>
              <w:rPr>
                <w:sz w:val="17"/>
              </w:rPr>
            </w:pPr>
            <w:r w:rsidRPr="006A6F8C">
              <w:rPr>
                <w:sz w:val="17"/>
              </w:rPr>
              <w:t>150.0</w:t>
            </w:r>
          </w:p>
        </w:tc>
        <w:tc>
          <w:tcPr>
            <w:tcW w:w="1464" w:type="dxa"/>
            <w:shd w:val="clear" w:color="auto" w:fill="auto"/>
            <w:vAlign w:val="bottom"/>
          </w:tcPr>
          <w:p w:rsidR="00733ECF" w:rsidRPr="006A6F8C" w:rsidRDefault="00733ECF" w:rsidP="0034182C">
            <w:pPr>
              <w:tabs>
                <w:tab w:val="left" w:pos="334"/>
                <w:tab w:val="left" w:pos="669"/>
                <w:tab w:val="left" w:pos="1003"/>
                <w:tab w:val="left" w:pos="1338"/>
              </w:tabs>
              <w:suppressAutoHyphens/>
              <w:spacing w:after="60" w:line="280" w:lineRule="exact"/>
              <w:ind w:right="57"/>
              <w:jc w:val="right"/>
              <w:rPr>
                <w:sz w:val="17"/>
              </w:rPr>
            </w:pPr>
            <w:r w:rsidRPr="006A6F8C">
              <w:rPr>
                <w:sz w:val="17"/>
              </w:rPr>
              <w:t>192.7</w:t>
            </w:r>
          </w:p>
        </w:tc>
      </w:tr>
      <w:tr w:rsidR="00733ECF" w:rsidRPr="006A6F8C" w:rsidTr="0034182C">
        <w:tblPrEx>
          <w:tblCellMar>
            <w:top w:w="0" w:type="dxa"/>
            <w:bottom w:w="0" w:type="dxa"/>
          </w:tblCellMar>
        </w:tblPrEx>
        <w:tc>
          <w:tcPr>
            <w:tcW w:w="2928" w:type="dxa"/>
            <w:shd w:val="clear" w:color="auto" w:fill="auto"/>
            <w:vAlign w:val="bottom"/>
          </w:tcPr>
          <w:p w:rsidR="00733ECF" w:rsidRPr="006A6F8C" w:rsidRDefault="00733ECF" w:rsidP="0034182C">
            <w:pPr>
              <w:tabs>
                <w:tab w:val="left" w:pos="334"/>
                <w:tab w:val="left" w:pos="669"/>
                <w:tab w:val="left" w:pos="1003"/>
                <w:tab w:val="left" w:pos="1338"/>
              </w:tabs>
              <w:suppressAutoHyphens/>
              <w:spacing w:after="60" w:line="280" w:lineRule="exact"/>
              <w:ind w:right="57"/>
              <w:rPr>
                <w:sz w:val="17"/>
              </w:rPr>
            </w:pPr>
            <w:r w:rsidRPr="006A6F8C">
              <w:rPr>
                <w:rFonts w:hint="eastAsia"/>
                <w:sz w:val="17"/>
              </w:rPr>
              <w:t>服务</w:t>
            </w:r>
          </w:p>
        </w:tc>
        <w:tc>
          <w:tcPr>
            <w:tcW w:w="1464" w:type="dxa"/>
            <w:shd w:val="clear" w:color="auto" w:fill="auto"/>
            <w:vAlign w:val="bottom"/>
          </w:tcPr>
          <w:p w:rsidR="00733ECF" w:rsidRPr="006A6F8C" w:rsidRDefault="00733ECF" w:rsidP="0034182C">
            <w:pPr>
              <w:tabs>
                <w:tab w:val="left" w:pos="334"/>
                <w:tab w:val="left" w:pos="669"/>
                <w:tab w:val="left" w:pos="1003"/>
                <w:tab w:val="left" w:pos="1338"/>
              </w:tabs>
              <w:suppressAutoHyphens/>
              <w:spacing w:after="60" w:line="280" w:lineRule="exact"/>
              <w:ind w:right="57"/>
              <w:jc w:val="right"/>
              <w:rPr>
                <w:sz w:val="17"/>
              </w:rPr>
            </w:pPr>
            <w:r w:rsidRPr="006A6F8C">
              <w:rPr>
                <w:sz w:val="17"/>
              </w:rPr>
              <w:t>468.1</w:t>
            </w:r>
          </w:p>
        </w:tc>
        <w:tc>
          <w:tcPr>
            <w:tcW w:w="1464" w:type="dxa"/>
            <w:shd w:val="clear" w:color="auto" w:fill="auto"/>
            <w:vAlign w:val="bottom"/>
          </w:tcPr>
          <w:p w:rsidR="00733ECF" w:rsidRPr="006A6F8C" w:rsidRDefault="00733ECF" w:rsidP="0034182C">
            <w:pPr>
              <w:tabs>
                <w:tab w:val="left" w:pos="334"/>
                <w:tab w:val="left" w:pos="669"/>
                <w:tab w:val="left" w:pos="1003"/>
                <w:tab w:val="left" w:pos="1338"/>
              </w:tabs>
              <w:suppressAutoHyphens/>
              <w:spacing w:after="60" w:line="280" w:lineRule="exact"/>
              <w:ind w:right="57"/>
              <w:jc w:val="right"/>
              <w:rPr>
                <w:sz w:val="17"/>
              </w:rPr>
            </w:pPr>
            <w:r w:rsidRPr="006A6F8C">
              <w:rPr>
                <w:sz w:val="17"/>
              </w:rPr>
              <w:t>435.4</w:t>
            </w:r>
          </w:p>
        </w:tc>
        <w:tc>
          <w:tcPr>
            <w:tcW w:w="1464" w:type="dxa"/>
            <w:shd w:val="clear" w:color="auto" w:fill="auto"/>
            <w:vAlign w:val="bottom"/>
          </w:tcPr>
          <w:p w:rsidR="00733ECF" w:rsidRPr="006A6F8C" w:rsidRDefault="00733ECF" w:rsidP="0034182C">
            <w:pPr>
              <w:tabs>
                <w:tab w:val="left" w:pos="334"/>
                <w:tab w:val="left" w:pos="669"/>
                <w:tab w:val="left" w:pos="1003"/>
                <w:tab w:val="left" w:pos="1338"/>
              </w:tabs>
              <w:suppressAutoHyphens/>
              <w:spacing w:after="60" w:line="280" w:lineRule="exact"/>
              <w:ind w:right="57"/>
              <w:jc w:val="right"/>
              <w:rPr>
                <w:sz w:val="17"/>
              </w:rPr>
            </w:pPr>
            <w:r w:rsidRPr="006A6F8C">
              <w:rPr>
                <w:sz w:val="17"/>
              </w:rPr>
              <w:t>404.8</w:t>
            </w:r>
          </w:p>
        </w:tc>
      </w:tr>
      <w:tr w:rsidR="00733ECF" w:rsidRPr="006A6F8C" w:rsidTr="0034182C">
        <w:tblPrEx>
          <w:tblCellMar>
            <w:top w:w="0" w:type="dxa"/>
            <w:bottom w:w="0" w:type="dxa"/>
          </w:tblCellMar>
        </w:tblPrEx>
        <w:tc>
          <w:tcPr>
            <w:tcW w:w="2928" w:type="dxa"/>
            <w:tcBorders>
              <w:bottom w:val="single" w:sz="12" w:space="0" w:color="auto"/>
            </w:tcBorders>
            <w:shd w:val="clear" w:color="auto" w:fill="auto"/>
            <w:vAlign w:val="bottom"/>
          </w:tcPr>
          <w:p w:rsidR="00733ECF" w:rsidRPr="006A6F8C" w:rsidRDefault="00733ECF" w:rsidP="0034182C">
            <w:pPr>
              <w:tabs>
                <w:tab w:val="left" w:pos="334"/>
                <w:tab w:val="left" w:pos="669"/>
                <w:tab w:val="left" w:pos="1003"/>
                <w:tab w:val="left" w:pos="1338"/>
              </w:tabs>
              <w:suppressAutoHyphens/>
              <w:spacing w:after="60" w:line="280" w:lineRule="exact"/>
              <w:ind w:right="57"/>
              <w:rPr>
                <w:sz w:val="17"/>
              </w:rPr>
            </w:pPr>
            <w:r w:rsidRPr="006A6F8C">
              <w:rPr>
                <w:rFonts w:hint="eastAsia"/>
                <w:sz w:val="17"/>
              </w:rPr>
              <w:t>管理</w:t>
            </w:r>
          </w:p>
        </w:tc>
        <w:tc>
          <w:tcPr>
            <w:tcW w:w="1464" w:type="dxa"/>
            <w:tcBorders>
              <w:bottom w:val="single" w:sz="12" w:space="0" w:color="auto"/>
            </w:tcBorders>
            <w:shd w:val="clear" w:color="auto" w:fill="auto"/>
            <w:vAlign w:val="bottom"/>
          </w:tcPr>
          <w:p w:rsidR="00733ECF" w:rsidRPr="006A6F8C" w:rsidRDefault="00733ECF" w:rsidP="0034182C">
            <w:pPr>
              <w:tabs>
                <w:tab w:val="left" w:pos="334"/>
                <w:tab w:val="left" w:pos="669"/>
                <w:tab w:val="left" w:pos="1003"/>
                <w:tab w:val="left" w:pos="1338"/>
              </w:tabs>
              <w:suppressAutoHyphens/>
              <w:spacing w:after="60" w:line="280" w:lineRule="exact"/>
              <w:ind w:right="57"/>
              <w:jc w:val="right"/>
              <w:rPr>
                <w:sz w:val="17"/>
              </w:rPr>
            </w:pPr>
            <w:r w:rsidRPr="006A6F8C">
              <w:rPr>
                <w:sz w:val="17"/>
              </w:rPr>
              <w:t>123.5</w:t>
            </w:r>
          </w:p>
        </w:tc>
        <w:tc>
          <w:tcPr>
            <w:tcW w:w="1464" w:type="dxa"/>
            <w:tcBorders>
              <w:bottom w:val="single" w:sz="12" w:space="0" w:color="auto"/>
            </w:tcBorders>
            <w:shd w:val="clear" w:color="auto" w:fill="auto"/>
            <w:vAlign w:val="bottom"/>
          </w:tcPr>
          <w:p w:rsidR="00733ECF" w:rsidRPr="006A6F8C" w:rsidRDefault="00733ECF" w:rsidP="0034182C">
            <w:pPr>
              <w:tabs>
                <w:tab w:val="left" w:pos="334"/>
                <w:tab w:val="left" w:pos="669"/>
                <w:tab w:val="left" w:pos="1003"/>
                <w:tab w:val="left" w:pos="1338"/>
              </w:tabs>
              <w:suppressAutoHyphens/>
              <w:spacing w:after="60" w:line="280" w:lineRule="exact"/>
              <w:ind w:right="57"/>
              <w:jc w:val="right"/>
              <w:rPr>
                <w:sz w:val="17"/>
              </w:rPr>
            </w:pPr>
            <w:r w:rsidRPr="006A6F8C">
              <w:rPr>
                <w:sz w:val="17"/>
              </w:rPr>
              <w:t>115.9</w:t>
            </w:r>
          </w:p>
        </w:tc>
        <w:tc>
          <w:tcPr>
            <w:tcW w:w="1464" w:type="dxa"/>
            <w:tcBorders>
              <w:bottom w:val="single" w:sz="12" w:space="0" w:color="auto"/>
            </w:tcBorders>
            <w:shd w:val="clear" w:color="auto" w:fill="auto"/>
            <w:vAlign w:val="bottom"/>
          </w:tcPr>
          <w:p w:rsidR="00733ECF" w:rsidRPr="006A6F8C" w:rsidRDefault="00733ECF" w:rsidP="0034182C">
            <w:pPr>
              <w:tabs>
                <w:tab w:val="left" w:pos="334"/>
                <w:tab w:val="left" w:pos="669"/>
                <w:tab w:val="left" w:pos="1003"/>
                <w:tab w:val="left" w:pos="1338"/>
              </w:tabs>
              <w:suppressAutoHyphens/>
              <w:spacing w:after="60" w:line="280" w:lineRule="exact"/>
              <w:ind w:right="57"/>
              <w:jc w:val="right"/>
              <w:rPr>
                <w:sz w:val="17"/>
              </w:rPr>
            </w:pPr>
            <w:r w:rsidRPr="006A6F8C">
              <w:rPr>
                <w:sz w:val="17"/>
              </w:rPr>
              <w:t>85.5</w:t>
            </w:r>
          </w:p>
        </w:tc>
      </w:tr>
    </w:tbl>
    <w:p w:rsidR="00733ECF" w:rsidRPr="006A6F8C" w:rsidRDefault="00733ECF" w:rsidP="0034182C">
      <w:pPr>
        <w:pStyle w:val="SingleTxt"/>
        <w:spacing w:after="0" w:line="120" w:lineRule="exact"/>
        <w:rPr>
          <w:sz w:val="10"/>
        </w:rPr>
      </w:pPr>
    </w:p>
    <w:p w:rsidR="00733ECF" w:rsidRPr="006A6F8C" w:rsidRDefault="00733ECF" w:rsidP="0034182C">
      <w:pPr>
        <w:pStyle w:val="SingleTxt"/>
        <w:spacing w:after="0" w:line="120" w:lineRule="exact"/>
        <w:rPr>
          <w:sz w:val="10"/>
        </w:rPr>
      </w:pPr>
    </w:p>
    <w:p w:rsidR="00733ECF" w:rsidRDefault="00733ECF" w:rsidP="0034182C">
      <w:pPr>
        <w:pStyle w:val="SingleTxt"/>
        <w:rPr>
          <w:rFonts w:hint="eastAsia"/>
        </w:rPr>
      </w:pPr>
      <w:r>
        <w:rPr>
          <w:rFonts w:hint="eastAsia"/>
        </w:rPr>
        <w:t>105.　古巴有9名部长、12名国务委员会成员和1名副总统为女性。国家最高立法机关全国人民政权代表大会有265名女代表，占45.22%，其中副主席和秘书也为女性。各省人民政权代表大会有9名女主席，占到一半以上。</w:t>
      </w:r>
    </w:p>
    <w:p w:rsidR="00733ECF" w:rsidRDefault="00733ECF" w:rsidP="0034182C">
      <w:pPr>
        <w:pStyle w:val="SingleTxt"/>
        <w:rPr>
          <w:rFonts w:hint="eastAsia"/>
        </w:rPr>
      </w:pPr>
      <w:r>
        <w:rPr>
          <w:rFonts w:hint="eastAsia"/>
        </w:rPr>
        <w:t>106.　古巴妇女都归属古巴劳动者联盟这个汇聚古巴全体劳动者的组织，其下属18个工会有150多万名成员(占成员总数的45%)，其中包括在非国营部门以新形式就业的人，例如自营职业者。</w:t>
      </w:r>
    </w:p>
    <w:p w:rsidR="00733ECF" w:rsidRDefault="00733ECF" w:rsidP="0034182C">
      <w:pPr>
        <w:pStyle w:val="SingleTxt"/>
        <w:rPr>
          <w:rFonts w:hint="eastAsia"/>
        </w:rPr>
      </w:pPr>
      <w:r>
        <w:rPr>
          <w:rFonts w:hint="eastAsia"/>
        </w:rPr>
        <w:t>107.　2013年将审议新的劳动法草案，这无疑将再次确认性别平等的宪法原则，并扩大劳动力市场上对妇女平等的认可，从而保护她们免受任何形式的歧视。国家和古巴工会运动也都已表达维护这项原则的政治意愿。</w:t>
      </w:r>
    </w:p>
    <w:p w:rsidR="00733ECF" w:rsidRDefault="00733ECF" w:rsidP="0034182C">
      <w:pPr>
        <w:pStyle w:val="SingleTxt"/>
        <w:rPr>
          <w:rFonts w:hint="eastAsia"/>
        </w:rPr>
      </w:pPr>
      <w:r>
        <w:rPr>
          <w:rFonts w:hint="eastAsia"/>
        </w:rPr>
        <w:t>108.　宪法第63条规定，每一个公民都有权依法向当局投诉和请愿，要求当局在合理时间内采取行动或作出答复。政府机关和政治及基层组织均设有处理这个问题的机制。</w:t>
      </w:r>
    </w:p>
    <w:p w:rsidR="00733ECF" w:rsidRDefault="00733ECF" w:rsidP="0034182C">
      <w:pPr>
        <w:pStyle w:val="SingleTxt"/>
        <w:rPr>
          <w:rFonts w:hint="eastAsia"/>
        </w:rPr>
      </w:pPr>
      <w:r>
        <w:rPr>
          <w:rFonts w:hint="eastAsia"/>
        </w:rPr>
        <w:t>109.　根据共和国宪法第127条，古巴总检察院是监督和维护合法程序，确保国家机构、经济及社会实体和广大公民严格遵守宪法、法律及其他法规的责任机关。总检察院还代表政府发起和提出刑事诉讼。根据关于共和国总检察院的第83号法律，总检察院的职能还包括处理公民对宪法权利和既定保障受侵犯的投诉。</w:t>
      </w:r>
    </w:p>
    <w:p w:rsidR="00733ECF" w:rsidRDefault="00733ECF" w:rsidP="0034182C">
      <w:pPr>
        <w:pStyle w:val="SingleTxt"/>
        <w:rPr>
          <w:rFonts w:hint="eastAsia"/>
        </w:rPr>
      </w:pPr>
      <w:r>
        <w:rPr>
          <w:rFonts w:hint="eastAsia"/>
        </w:rPr>
        <w:t>110.　2012年上半年，总检察院处理了10 059个涉及妇女的案件，并收到了2 073个有关劳动、刑事、行政和民事事项的投诉和索赔，但没有收到任何有关歧视妇女的投诉。劳动和社会保障部公共服务局2010、2011和2012年也没有收到任何歧视投诉。</w:t>
      </w:r>
    </w:p>
    <w:p w:rsidR="00733ECF" w:rsidRDefault="00733ECF" w:rsidP="0034182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Pr>
          <w:rFonts w:hint="eastAsia"/>
        </w:rPr>
        <w:t>残疾妇女</w:t>
      </w:r>
    </w:p>
    <w:p w:rsidR="00733ECF" w:rsidRPr="006A6F8C" w:rsidRDefault="00733ECF" w:rsidP="0034182C">
      <w:pPr>
        <w:pStyle w:val="SingleTxt"/>
        <w:spacing w:after="0" w:line="120" w:lineRule="exact"/>
        <w:rPr>
          <w:rFonts w:hint="eastAsia"/>
          <w:sz w:val="10"/>
        </w:rPr>
      </w:pPr>
    </w:p>
    <w:p w:rsidR="00733ECF" w:rsidRDefault="00733ECF" w:rsidP="0034182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Pr>
          <w:rFonts w:hint="eastAsia"/>
        </w:rPr>
        <w:t>17.</w:t>
      </w:r>
      <w:r>
        <w:tab/>
      </w:r>
      <w:r>
        <w:rPr>
          <w:rFonts w:hint="eastAsia"/>
        </w:rPr>
        <w:t>对残疾妇女和女孩的照顾</w:t>
      </w:r>
    </w:p>
    <w:p w:rsidR="00733ECF" w:rsidRPr="006A6F8C" w:rsidRDefault="00733ECF" w:rsidP="0034182C">
      <w:pPr>
        <w:pStyle w:val="SingleTxt"/>
        <w:spacing w:after="0" w:line="120" w:lineRule="exact"/>
        <w:rPr>
          <w:rFonts w:hint="eastAsia"/>
          <w:sz w:val="10"/>
        </w:rPr>
      </w:pPr>
    </w:p>
    <w:p w:rsidR="00733ECF" w:rsidRDefault="00733ECF" w:rsidP="0034182C">
      <w:pPr>
        <w:pStyle w:val="SingleTxt"/>
        <w:rPr>
          <w:rFonts w:hint="eastAsia"/>
        </w:rPr>
      </w:pPr>
      <w:r>
        <w:rPr>
          <w:rFonts w:hint="eastAsia"/>
        </w:rPr>
        <w:t>111.　古巴有31个医疗和心理治疗中心，向身心残疾者提供医疗、心理和社会服务。这些中心的照顾对象是成人和五岁以上儿童，不分男女。中心按照公共健康部拟订的规章运作，提供半日制和全日制寄宿治疗，但是否入住需要家属同意。</w:t>
      </w:r>
    </w:p>
    <w:p w:rsidR="00733ECF" w:rsidRDefault="00733ECF" w:rsidP="0034182C">
      <w:pPr>
        <w:pStyle w:val="SingleTxt"/>
        <w:rPr>
          <w:rFonts w:hint="eastAsia"/>
        </w:rPr>
      </w:pPr>
      <w:r>
        <w:rPr>
          <w:rFonts w:hint="eastAsia"/>
        </w:rPr>
        <w:t>112.　目前已有三份照顾残疾人国家行动计划得到执行。该计划包含一整套战略、行动、提议和方案，首要目标是确保残疾人融入社会并提高他们的生活质量。行动计划经过完善，现已延长到2013-2018年。残疾妇女是政府为增强古巴妇女权能而统筹制订的法律和措施的受益者。</w:t>
      </w:r>
    </w:p>
    <w:p w:rsidR="00733ECF" w:rsidRDefault="00733ECF" w:rsidP="0034182C">
      <w:pPr>
        <w:pStyle w:val="SingleTxt"/>
        <w:rPr>
          <w:rFonts w:hint="eastAsia"/>
        </w:rPr>
      </w:pPr>
      <w:r>
        <w:rPr>
          <w:rFonts w:hint="eastAsia"/>
        </w:rPr>
        <w:t>113.　让残疾妇女受益的措施包括上文所述关于就业妇女生育问题的第234号法令，以及优先接收她们的子女进入日托中心和半日制寄宿学校、允许她们在必要时使用手语传译员、确保她们可以优先约看全国的遗传科医生等措施。</w:t>
      </w:r>
    </w:p>
    <w:p w:rsidR="00733ECF" w:rsidRDefault="00733ECF" w:rsidP="0034182C">
      <w:pPr>
        <w:pStyle w:val="SingleTxt"/>
        <w:rPr>
          <w:rFonts w:hint="eastAsia"/>
        </w:rPr>
      </w:pPr>
      <w:r>
        <w:rPr>
          <w:rFonts w:hint="eastAsia"/>
        </w:rPr>
        <w:t>114.　古巴有三个残疾人协会，分别是全国行动不便者和肢残人协会(肢残人协会)、全国聋人和听觉障碍者协会(聋人协会)及全国盲人和视觉障碍者协会(盲人协会)，其成员有男有女，不分种族、宗教和性别。这些协会在全国共有残疾妇女成员54 240人，其中肢残人协会30 173人，聋人协会10 626人，盲人协会13 441人。妇女担任协会领导职位，包括全国肢残人协会的主席。</w:t>
      </w:r>
    </w:p>
    <w:p w:rsidR="00733ECF" w:rsidRDefault="00733ECF" w:rsidP="0034182C">
      <w:pPr>
        <w:pStyle w:val="SingleTxt"/>
        <w:rPr>
          <w:rFonts w:hint="eastAsia"/>
        </w:rPr>
      </w:pPr>
      <w:r>
        <w:rPr>
          <w:rFonts w:hint="eastAsia"/>
        </w:rPr>
        <w:t>115.　这些残疾人协会在古巴妇女联合会的协调下为残疾妇女和女孩举办了各式各样的活动，确保男女机会平等。</w:t>
      </w:r>
    </w:p>
    <w:p w:rsidR="00733ECF" w:rsidRDefault="00733ECF" w:rsidP="0034182C">
      <w:pPr>
        <w:pStyle w:val="SingleTxt"/>
        <w:rPr>
          <w:rFonts w:hint="eastAsia"/>
        </w:rPr>
      </w:pPr>
      <w:r>
        <w:rPr>
          <w:rFonts w:hint="eastAsia"/>
        </w:rPr>
        <w:t>116.　其中一项专门针对妇女的举措是在盲人协会内设立性别平等小组，由妇女任全国协调员，在省市一级举办讲习班，邀请遗传科、眼科、法律及其他领域的专家为妇女提供咨询和指导。</w:t>
      </w:r>
    </w:p>
    <w:p w:rsidR="00733ECF" w:rsidRDefault="00733ECF" w:rsidP="0034182C">
      <w:pPr>
        <w:pStyle w:val="SingleTxt"/>
        <w:rPr>
          <w:rFonts w:hint="eastAsia"/>
        </w:rPr>
      </w:pPr>
      <w:r>
        <w:rPr>
          <w:rFonts w:hint="eastAsia"/>
        </w:rPr>
        <w:t>117.　雇主和古巴妇女联合会共同为参加各类专门讲习班的残疾妇女提供协助，有1 917名妇女因此得到了真正的就业机会。妇女联合会参加了科技论坛核心活动和创意妇女运动的年度会议，其中都包括残疾妇女。</w:t>
      </w:r>
    </w:p>
    <w:p w:rsidR="00733ECF" w:rsidRDefault="00733ECF" w:rsidP="0034182C">
      <w:pPr>
        <w:pStyle w:val="SingleTxt"/>
        <w:rPr>
          <w:rFonts w:hint="eastAsia"/>
        </w:rPr>
      </w:pPr>
      <w:r>
        <w:rPr>
          <w:rFonts w:hint="eastAsia"/>
        </w:rPr>
        <w:t>118.　另外，还通过增加人力资源和引入其他技术，努力为有特殊需要的学生扩大受教育机会。2010-2011学年，有39 618名需要专门照顾的21岁以下学生注册入读特别教育课程，其中女生13 715人，男生25 903人。正规学校则雇用教师在起行运动、交流沟通、独立行动、就餐、保健和情绪支持等方面为残疾学生提供帮助。公立学校总共有3 582名需要特殊教育的儿童和青少年就读。</w:t>
      </w:r>
    </w:p>
    <w:p w:rsidR="00733ECF" w:rsidRDefault="00733ECF" w:rsidP="0034182C">
      <w:pPr>
        <w:pStyle w:val="SingleTxt"/>
        <w:rPr>
          <w:rFonts w:hint="eastAsia"/>
        </w:rPr>
      </w:pPr>
      <w:r>
        <w:rPr>
          <w:rFonts w:hint="eastAsia"/>
        </w:rPr>
        <w:t>119.　2011年，劳动和社会保障部通过第14号决议确立了残疾人雇用条例，对提供给特殊教育毕业生包括妇女的工作类型作了法律层面的更新。</w:t>
      </w:r>
    </w:p>
    <w:p w:rsidR="00733ECF" w:rsidRDefault="00733ECF" w:rsidP="0034182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农村妇女</w:t>
      </w:r>
    </w:p>
    <w:p w:rsidR="00733ECF" w:rsidRPr="006A30E8" w:rsidRDefault="00733ECF" w:rsidP="0034182C">
      <w:pPr>
        <w:pStyle w:val="SingleTxt"/>
        <w:spacing w:after="0" w:line="120" w:lineRule="exact"/>
        <w:rPr>
          <w:rFonts w:hint="eastAsia"/>
          <w:sz w:val="10"/>
        </w:rPr>
      </w:pPr>
    </w:p>
    <w:p w:rsidR="00733ECF" w:rsidRDefault="00733ECF" w:rsidP="0034182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18.</w:t>
      </w:r>
      <w:r>
        <w:rPr>
          <w:rFonts w:hint="eastAsia"/>
        </w:rPr>
        <w:tab/>
        <w:t>对农村妇女的培训</w:t>
      </w:r>
    </w:p>
    <w:p w:rsidR="00733ECF" w:rsidRPr="006A30E8" w:rsidRDefault="00733ECF" w:rsidP="0034182C">
      <w:pPr>
        <w:pStyle w:val="SingleTxt"/>
        <w:spacing w:after="0" w:line="120" w:lineRule="exact"/>
        <w:rPr>
          <w:rFonts w:hint="eastAsia"/>
          <w:sz w:val="10"/>
        </w:rPr>
      </w:pPr>
    </w:p>
    <w:p w:rsidR="00733ECF" w:rsidRDefault="00733ECF" w:rsidP="0034182C">
      <w:pPr>
        <w:pStyle w:val="SingleTxt"/>
        <w:rPr>
          <w:rFonts w:hint="eastAsia"/>
        </w:rPr>
      </w:pPr>
      <w:r>
        <w:rPr>
          <w:rFonts w:hint="eastAsia"/>
        </w:rPr>
        <w:t>120.　农村地区的项目，特别是生活在那里的妇女，是古巴政府和行政当局优先关注的重点。农业部、糖业部和全国小农协会等机构建立了伙伴关系，并与古巴妇女联合会一道，通过联合计划和方案促进农村妇女地位的提高。</w:t>
      </w:r>
    </w:p>
    <w:p w:rsidR="00733ECF" w:rsidRDefault="00733ECF" w:rsidP="0034182C">
      <w:pPr>
        <w:pStyle w:val="SingleTxt"/>
        <w:rPr>
          <w:rFonts w:hint="eastAsia"/>
        </w:rPr>
      </w:pPr>
      <w:r>
        <w:rPr>
          <w:rFonts w:hint="eastAsia"/>
        </w:rPr>
        <w:t>121.　古巴务农人数为889 310人，其中妇女占到20%，为173 378人，有2 950名妇女担任管理职位，占24.9%。此外，还有6名妇女担任最高级决策职位。</w:t>
      </w:r>
    </w:p>
    <w:p w:rsidR="00733ECF" w:rsidRDefault="00733ECF" w:rsidP="0034182C">
      <w:pPr>
        <w:pStyle w:val="SingleTxt"/>
        <w:rPr>
          <w:rFonts w:hint="eastAsia"/>
        </w:rPr>
      </w:pPr>
      <w:r>
        <w:rPr>
          <w:rFonts w:hint="eastAsia"/>
        </w:rPr>
        <w:t>122.　第259号法令规定无偿提供土地收益权，执行后增加了妇女在合作型农业和种植业中的就业人数。此外，第300号法令同样规定向个人提供土地收益权并相应扩大规模，数以千计的妇女因此与男子平等受益。</w:t>
      </w:r>
    </w:p>
    <w:p w:rsidR="00733ECF" w:rsidRDefault="00733ECF" w:rsidP="0034182C">
      <w:pPr>
        <w:pStyle w:val="SingleTxt"/>
        <w:rPr>
          <w:rFonts w:hint="eastAsia"/>
        </w:rPr>
      </w:pPr>
      <w:r>
        <w:rPr>
          <w:rFonts w:hint="eastAsia"/>
        </w:rPr>
        <w:t>123.　另外，各类机构、相关部委、农村组织和专业协会也举办了培训班，通过设在社区的技术和培训学校提供农业专科培训。农村地区的地方家庭咨询中心则为不同培训举措提供支持，帮助更多妇女参加各类经济活动。</w:t>
      </w:r>
    </w:p>
    <w:p w:rsidR="00733ECF" w:rsidRDefault="00733ECF" w:rsidP="0034182C">
      <w:pPr>
        <w:pStyle w:val="SingleTxt"/>
        <w:rPr>
          <w:rFonts w:hint="eastAsia"/>
        </w:rPr>
      </w:pPr>
      <w:r>
        <w:rPr>
          <w:rFonts w:hint="eastAsia"/>
        </w:rPr>
        <w:t>124.　古巴教育系统在农村地区设有技术学校，包括中等职业学校、工艺专科学校和工程大学。长久目标是将更多由于各种原因离开正规学校系统的妇女特别是青年妇女，纳入到这些替代型培训方案中。</w:t>
      </w:r>
    </w:p>
    <w:p w:rsidR="00733ECF" w:rsidRDefault="00733ECF" w:rsidP="0034182C">
      <w:pPr>
        <w:pStyle w:val="SingleTxt"/>
        <w:rPr>
          <w:rFonts w:hint="eastAsia"/>
        </w:rPr>
      </w:pPr>
      <w:r>
        <w:rPr>
          <w:rFonts w:hint="eastAsia"/>
        </w:rPr>
        <w:t>125.　2011年10月，古巴畜牧业协会在农业部、古巴农林专家协会、全国小农协会和古巴妇女联合会的合作下举办了面向农村妇女的知识和经验日活动。活动的目的是让妇女交流在粮食安全和粮食主权领域的工作经验，以及她们对社会性别关系的立场。</w:t>
      </w:r>
    </w:p>
    <w:p w:rsidR="00733ECF" w:rsidRDefault="00733ECF" w:rsidP="0034182C">
      <w:pPr>
        <w:pStyle w:val="SingleTxt"/>
        <w:rPr>
          <w:rFonts w:hint="eastAsia"/>
        </w:rPr>
      </w:pPr>
      <w:r>
        <w:rPr>
          <w:rFonts w:hint="eastAsia"/>
        </w:rPr>
        <w:t>126.　另一项重要举措是2012年12月完成的粮食主权与地方发展项目。该项目面向加勒比国家遭受自然灾害影响的弱势群体，为期三年，在关塔那摩、格拉玛和哈瓦那省的八个城市实施，首要目标是通过持续加强生产能力、基本服务、社区发展管理、经济复兴、妇女就业和各级决策，建设地方行为体管理自身发展的能力。</w:t>
      </w:r>
    </w:p>
    <w:p w:rsidR="00733ECF" w:rsidRDefault="00733ECF" w:rsidP="00733ECF">
      <w:pPr>
        <w:pStyle w:val="SingleTxt"/>
        <w:spacing w:after="120" w:line="300" w:lineRule="exact"/>
        <w:rPr>
          <w:rFonts w:hint="eastAsia"/>
        </w:rPr>
      </w:pPr>
      <w:r>
        <w:rPr>
          <w:rFonts w:hint="eastAsia"/>
        </w:rPr>
        <w:t>127.　该项目完成后，农业部门和合作社中的妇女人数都有增加，有更多合作社鼓励妇女成为社员，妇女的战略利益更加为人所知，相关地区农业机构中也出现了更多妇女领导和性别协调员。</w:t>
      </w:r>
    </w:p>
    <w:p w:rsidR="00733ECF" w:rsidRDefault="00733ECF" w:rsidP="00733ECF">
      <w:pPr>
        <w:pStyle w:val="SingleTxt"/>
        <w:spacing w:after="120" w:line="300" w:lineRule="exact"/>
        <w:rPr>
          <w:rFonts w:hint="eastAsia"/>
        </w:rPr>
      </w:pPr>
      <w:r>
        <w:rPr>
          <w:rFonts w:hint="eastAsia"/>
        </w:rPr>
        <w:t>128.　妇女培训得到加强，大约1万名妇女参加了各类发展培训方案。在新创造的150个就业机会中，46个为妇女所用。相关地区的就业观念和文化以及各生产单位的工作条件都有改善。</w:t>
      </w:r>
    </w:p>
    <w:p w:rsidR="00733ECF" w:rsidRDefault="00733ECF" w:rsidP="00733ECF">
      <w:pPr>
        <w:pStyle w:val="SingleTxt"/>
        <w:spacing w:after="120" w:line="300" w:lineRule="exact"/>
        <w:rPr>
          <w:rFonts w:hint="eastAsia"/>
        </w:rPr>
      </w:pPr>
      <w:r>
        <w:rPr>
          <w:rFonts w:hint="eastAsia"/>
        </w:rPr>
        <w:t>129.　全国小农协会成立了全国性别平等委员会及省市各级下属机构，并通过这些委员会制订了性别平等战略，以加强农村妇女的工作并鼓励她们成为小农协会和合作社成员。根据这项战略开展的活动包括：协同古巴妇女联合会通过了联合行动计划，确保每一个基层分会都拥有至少23名妇女成员；通过了小农协会行动计划，让妇女更多地参与农耕和农业合作领域的决策；在所有各级开展培训活动；以及定期评价该战略执行方面的优缺点。</w:t>
      </w:r>
    </w:p>
    <w:p w:rsidR="00733ECF" w:rsidRDefault="00733ECF" w:rsidP="00733ECF">
      <w:pPr>
        <w:pStyle w:val="SingleTxt"/>
        <w:spacing w:after="120" w:line="300" w:lineRule="exact"/>
        <w:rPr>
          <w:rFonts w:hint="eastAsia"/>
        </w:rPr>
      </w:pPr>
      <w:r>
        <w:rPr>
          <w:rFonts w:hint="eastAsia"/>
        </w:rPr>
        <w:t>130.　全国小农协会的具体行动包括每年一次开展性别平衡行动，由国家和省市各级每一个合作社对这个重大议题进行评价。去年有51 717名社员参加，其中66%为妇女。在这一过程中提交了1 285份有关性别平等战略执行情况的报告，并对取得的进展和需要继续努力的领域作了分析。</w:t>
      </w:r>
    </w:p>
    <w:p w:rsidR="00733ECF" w:rsidRDefault="00733ECF" w:rsidP="00733ECF">
      <w:pPr>
        <w:pStyle w:val="SingleTxt"/>
        <w:spacing w:after="120" w:line="300" w:lineRule="exact"/>
        <w:rPr>
          <w:rFonts w:hint="eastAsia"/>
        </w:rPr>
      </w:pPr>
      <w:r>
        <w:rPr>
          <w:rFonts w:hint="eastAsia"/>
        </w:rPr>
        <w:t>131.　此外，一个由3 628名活动分子组成的运动通过小农协会全国培训中心的远程学习课程接受了培训。小农协会拟订并分发了技术手册“性别、参与和权力”，以务实和灵活的形式，确定了根据每一个合作社的具体特点安排和举办交流活动的方式和方法。小农协会还举办了3 695个加强性别认知讲习班，其中1 120个涉及农业生产合作社，2 575个涉及信贷和服务合作社，有402个是在省市一级举办。在参加这一活动的105 984名社员及其家属中，36%为妇女。</w:t>
      </w:r>
    </w:p>
    <w:p w:rsidR="00733ECF" w:rsidRDefault="00733ECF" w:rsidP="00733ECF">
      <w:pPr>
        <w:pStyle w:val="SingleTxt"/>
        <w:spacing w:after="120" w:line="300" w:lineRule="exact"/>
        <w:rPr>
          <w:rFonts w:hint="eastAsia"/>
        </w:rPr>
      </w:pPr>
      <w:r>
        <w:rPr>
          <w:rFonts w:hint="eastAsia"/>
        </w:rPr>
        <w:t>132.　在全国小农协会基层分会担任决策职位的妇女人数有所增加，各级管理层都有妇女干部，所占比例现已增至37%。此外，农村妇女作为业主或通过开展各类活动，在生产中发挥越来越大的作用。更多妇女受雇于菜园和暖房、小型饲养场、有机肥生产中心、商业花圃、食品加工中心和竹工艺品厂。妇女还受训成为农经、兽医和植保方面的技术专家以及经济和行政管理人员。</w:t>
      </w:r>
    </w:p>
    <w:p w:rsidR="00733ECF" w:rsidRDefault="00733ECF" w:rsidP="00733ECF">
      <w:pPr>
        <w:pStyle w:val="SingleTxt"/>
        <w:spacing w:after="120" w:line="300" w:lineRule="exact"/>
        <w:rPr>
          <w:rFonts w:hint="eastAsia"/>
        </w:rPr>
      </w:pPr>
      <w:r>
        <w:rPr>
          <w:rFonts w:hint="eastAsia"/>
        </w:rPr>
        <w:t>133.　此外，全国小农协会还在尼塞托·佩雷斯国家培训学院设有一个为农村干部提供培训的性别平等研究所，通过实施面向农村妇女的计划和方案，实现性别平等的主流化。</w:t>
      </w:r>
    </w:p>
    <w:p w:rsidR="00733ECF" w:rsidRDefault="00733ECF" w:rsidP="00733ECF">
      <w:pPr>
        <w:pStyle w:val="SingleTxt"/>
        <w:spacing w:after="120" w:line="300" w:lineRule="exact"/>
        <w:rPr>
          <w:rFonts w:hint="eastAsia"/>
        </w:rPr>
      </w:pPr>
      <w:r>
        <w:rPr>
          <w:rFonts w:hint="eastAsia"/>
        </w:rPr>
        <w:t>134.　古巴农林技术员协会推出了一个体制方案，在协会所有活动和项目中纳入性别视角。该协会成功推动妇女参加培训课程，为所有协会干部提供了性别平等培训，同时还促进与该领域其他组织建立伙伴关系，并为各分支协会举办讲习班。</w:t>
      </w:r>
    </w:p>
    <w:p w:rsidR="00733ECF" w:rsidRDefault="00733ECF" w:rsidP="00733ECF">
      <w:pPr>
        <w:pStyle w:val="SingleTxt"/>
        <w:spacing w:after="120" w:line="300" w:lineRule="exact"/>
        <w:rPr>
          <w:rFonts w:hint="eastAsia"/>
        </w:rPr>
      </w:pPr>
      <w:r>
        <w:rPr>
          <w:rFonts w:hint="eastAsia"/>
        </w:rPr>
        <w:t>135.　同样，古巴畜产协会推出了增强妇女权能和促进性别视角的项目，并取得了显著成果，包括加强对性别议题的能力建设和认知；与农业部和古巴妇女联合会拟订联合工作方案；拟订增加农业合作领域妇女决策人数的行动计划；在全国小农协会期刊上开辟一个妇女专栏；设立农村妇女奖和妇女革新奖；出版一本有50名妇女干部见证的书并印发相关宣传手册；创建儿童之家、幼稚园、日托中心和提供面向母亲的基本支助服务；成立支持古巴农村妇女实体或机构网络；以及关注在传统男性职位上工作的妇女等。</w:t>
      </w:r>
    </w:p>
    <w:p w:rsidR="00733ECF" w:rsidRDefault="00733ECF" w:rsidP="0034182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19.</w:t>
      </w:r>
      <w:r>
        <w:rPr>
          <w:rFonts w:hint="eastAsia"/>
        </w:rPr>
        <w:tab/>
        <w:t>农村地区暴力侵害妇女行为的应对战略</w:t>
      </w:r>
    </w:p>
    <w:p w:rsidR="00733ECF" w:rsidRPr="006A30E8" w:rsidRDefault="00733ECF" w:rsidP="0034182C">
      <w:pPr>
        <w:pStyle w:val="SingleTxt"/>
        <w:spacing w:after="0" w:line="120" w:lineRule="exact"/>
        <w:rPr>
          <w:rFonts w:hint="eastAsia"/>
          <w:sz w:val="10"/>
        </w:rPr>
      </w:pPr>
    </w:p>
    <w:p w:rsidR="00733ECF" w:rsidRDefault="00733ECF" w:rsidP="0034182C">
      <w:pPr>
        <w:pStyle w:val="SingleTxt"/>
        <w:rPr>
          <w:rFonts w:hint="eastAsia"/>
        </w:rPr>
      </w:pPr>
      <w:r>
        <w:rPr>
          <w:rFonts w:hint="eastAsia"/>
        </w:rPr>
        <w:t>136.　其他国家许多暴力侵害妇女的形式在古巴并不存在，例如残割女性生殖器、贩卖妇女、杀害女婴、区别发放食物、以及国家或个人强行控制生殖等做法，在古巴文化中都没有生存空间，而其他做法也已随着1959年以来改变妇女社会地位而消失或减少。农村地区和城市都是如此。</w:t>
      </w:r>
    </w:p>
    <w:p w:rsidR="00733ECF" w:rsidRDefault="00733ECF" w:rsidP="0034182C">
      <w:pPr>
        <w:pStyle w:val="SingleTxt"/>
        <w:rPr>
          <w:rFonts w:hint="eastAsia"/>
        </w:rPr>
      </w:pPr>
      <w:r>
        <w:rPr>
          <w:rFonts w:hint="eastAsia"/>
        </w:rPr>
        <w:t>137.　现有统计数据和研究显示，古巴出现最多的暴力形式是家庭暴力，尤以心理和情绪暴力为主，其次是非婚姻暴力。毫无疑问，对古巴妇女影响最大的暴力形式是美利坚合众国50多年来对古巴的封锁和侵略政策，这些政策是国家经济发展遇到的最主要障碍。</w:t>
      </w:r>
    </w:p>
    <w:p w:rsidR="00733ECF" w:rsidRDefault="00733ECF" w:rsidP="0034182C">
      <w:pPr>
        <w:pStyle w:val="SingleTxt"/>
        <w:rPr>
          <w:rFonts w:hint="eastAsia"/>
        </w:rPr>
      </w:pPr>
      <w:r>
        <w:rPr>
          <w:rFonts w:hint="eastAsia"/>
        </w:rPr>
        <w:t>138</w:t>
      </w:r>
      <w:r>
        <w:t>.</w:t>
      </w:r>
      <w:r>
        <w:rPr>
          <w:rFonts w:hint="eastAsia"/>
        </w:rPr>
        <w:t xml:space="preserve">　其他暴力形式，例如工作场所、学术机构或其他地点的性骚扰和性恐吓，似乎不如家庭暴力那么普遍，但也需要作进一步研究和调查，以便更好地了解相关特性并更加有效地进行干预。</w:t>
      </w:r>
    </w:p>
    <w:p w:rsidR="00733ECF" w:rsidRDefault="00733ECF" w:rsidP="0034182C">
      <w:pPr>
        <w:pStyle w:val="SingleTxt"/>
        <w:rPr>
          <w:rFonts w:hint="eastAsia"/>
        </w:rPr>
      </w:pPr>
      <w:r>
        <w:rPr>
          <w:rFonts w:hint="eastAsia"/>
        </w:rPr>
        <w:t>139.　古巴完成的深刻社会变革，使得传统上对世界最为不利的形势得到了改善，农村地区妇女的脆弱性也有了缓解。</w:t>
      </w:r>
    </w:p>
    <w:p w:rsidR="00733ECF" w:rsidRDefault="00733ECF" w:rsidP="0034182C">
      <w:pPr>
        <w:pStyle w:val="SingleTxt"/>
        <w:rPr>
          <w:rFonts w:hint="eastAsia"/>
        </w:rPr>
      </w:pPr>
      <w:r>
        <w:rPr>
          <w:rFonts w:hint="eastAsia"/>
        </w:rPr>
        <w:t>140.　全国小农协会在2008-2009年为农业生产合作社及信贷和服务合作社所有性别平等维护人举办的培训课程中介绍了性别暴力问题。相关研究和统计显示，这一现象并非区域某国所特有，而是一个普遍问题。</w:t>
      </w:r>
    </w:p>
    <w:p w:rsidR="00733ECF" w:rsidRDefault="00733ECF" w:rsidP="0034182C">
      <w:pPr>
        <w:pStyle w:val="SingleTxt"/>
        <w:rPr>
          <w:rFonts w:hint="eastAsia"/>
        </w:rPr>
      </w:pPr>
      <w:r>
        <w:rPr>
          <w:rFonts w:hint="eastAsia"/>
        </w:rPr>
        <w:t>141.　性别平等研究所举办了性别视角互动评估讲习班，让参与者学习确定哪些问题波及协会成员，并因此在基层组织和社区采取行动消灭这一现象。最近的全国小农协会第十届会议强调，必须加强对家庭作为社会基石的培训以树立得体、爱国和协作的思想，并要求家庭承担照顾、教育和抚养儿童的首要责任。</w:t>
      </w:r>
    </w:p>
    <w:p w:rsidR="00733ECF" w:rsidRDefault="00733ECF" w:rsidP="0034182C">
      <w:pPr>
        <w:pStyle w:val="SingleTxt"/>
        <w:rPr>
          <w:rFonts w:hint="eastAsia"/>
        </w:rPr>
      </w:pPr>
      <w:r>
        <w:rPr>
          <w:rFonts w:hint="eastAsia"/>
        </w:rPr>
        <w:t>142.　一年一度的“对暴力说不”活动(11月12日至25日)包括放映电影和举办视频讨论，内容涉及农村地区的家庭暴力、虐待儿童、性虐待、性传播疾病、早孕、隐性暴力和性别暴力等许多专题。</w:t>
      </w:r>
    </w:p>
    <w:p w:rsidR="00733ECF" w:rsidRDefault="00733ECF" w:rsidP="0034182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自然灾害</w:t>
      </w:r>
    </w:p>
    <w:p w:rsidR="00733ECF" w:rsidRPr="006A30E8" w:rsidRDefault="00733ECF" w:rsidP="0034182C">
      <w:pPr>
        <w:pStyle w:val="SingleTxt"/>
        <w:spacing w:after="0" w:line="120" w:lineRule="exact"/>
        <w:rPr>
          <w:rFonts w:hint="eastAsia"/>
          <w:sz w:val="10"/>
        </w:rPr>
      </w:pPr>
    </w:p>
    <w:p w:rsidR="00733ECF" w:rsidRDefault="00733ECF" w:rsidP="0034182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20.</w:t>
      </w:r>
      <w:r>
        <w:rPr>
          <w:rFonts w:hint="eastAsia"/>
        </w:rPr>
        <w:tab/>
        <w:t>为鼓励妇女参与备灾和灾后管理工作而采取的措施</w:t>
      </w:r>
    </w:p>
    <w:p w:rsidR="00733ECF" w:rsidRPr="006A30E8" w:rsidRDefault="00733ECF" w:rsidP="0034182C">
      <w:pPr>
        <w:pStyle w:val="SingleTxt"/>
        <w:spacing w:after="0" w:line="120" w:lineRule="exact"/>
        <w:rPr>
          <w:rFonts w:hint="eastAsia"/>
          <w:sz w:val="10"/>
        </w:rPr>
      </w:pPr>
    </w:p>
    <w:p w:rsidR="00733ECF" w:rsidRDefault="00733ECF" w:rsidP="0034182C">
      <w:pPr>
        <w:pStyle w:val="SingleTxt"/>
        <w:rPr>
          <w:rFonts w:hint="eastAsia"/>
        </w:rPr>
      </w:pPr>
      <w:r>
        <w:rPr>
          <w:rFonts w:hint="eastAsia"/>
        </w:rPr>
        <w:t>143.　古巴加强了民防部门在国家减灾系统四个阶段(预防、准备、响应和恢复)应对各种灾情方面的作用。妇女的参与是这项工作的一个关键部分。</w:t>
      </w:r>
    </w:p>
    <w:p w:rsidR="00733ECF" w:rsidRDefault="00733ECF" w:rsidP="00733ECF">
      <w:pPr>
        <w:pStyle w:val="SingleTxt"/>
        <w:spacing w:after="120" w:line="312" w:lineRule="exact"/>
        <w:rPr>
          <w:rFonts w:hint="eastAsia"/>
        </w:rPr>
      </w:pPr>
      <w:r>
        <w:rPr>
          <w:rFonts w:hint="eastAsia"/>
        </w:rPr>
        <w:t>144.　在古巴，国家、省市和地方各级人民会议辖区的当选政府首长也同时担任各自所在地的民防主任。在2012年底的立法选举中，有8名妇女当选为省一级主席，目前全国15个省有一半以上由妇女主理，包括所有与民防有关的事项。地方一级也是如此，大部分减少灾害风险管理职位由妇女担任。</w:t>
      </w:r>
    </w:p>
    <w:p w:rsidR="00733ECF" w:rsidRDefault="00733ECF" w:rsidP="00733ECF">
      <w:pPr>
        <w:pStyle w:val="SingleTxt"/>
        <w:spacing w:after="120" w:line="312" w:lineRule="exact"/>
        <w:rPr>
          <w:rFonts w:hint="eastAsia"/>
        </w:rPr>
      </w:pPr>
      <w:r>
        <w:rPr>
          <w:rFonts w:hint="eastAsia"/>
        </w:rPr>
        <w:t>145.　担任这些职位的妇女还负责通过预防相关风险减轻住宅和社区保健中心的脆弱性，加强预警系统和减灾管理中心，以及监督减灾计划的实施情况。</w:t>
      </w:r>
    </w:p>
    <w:p w:rsidR="00733ECF" w:rsidRDefault="00733ECF" w:rsidP="00733ECF">
      <w:pPr>
        <w:pStyle w:val="SingleTxt"/>
        <w:spacing w:after="120" w:line="312" w:lineRule="exact"/>
        <w:rPr>
          <w:rFonts w:hint="eastAsia"/>
        </w:rPr>
      </w:pPr>
      <w:r>
        <w:rPr>
          <w:rFonts w:hint="eastAsia"/>
        </w:rPr>
        <w:t>146.　此外，科技与环境部女部长在减灾过程中发挥至关重要的作用。环境局现任局长也是一名女性，其团队中的妇女人数更是超过70%。她们对全国各地的威胁、脆弱性和风险进行研究，为规划、实施和维持减少灾害风险管理提供必要的依据。</w:t>
      </w:r>
    </w:p>
    <w:p w:rsidR="00733ECF" w:rsidRDefault="00733ECF" w:rsidP="00733ECF">
      <w:pPr>
        <w:pStyle w:val="SingleTxt"/>
        <w:spacing w:after="120" w:line="312" w:lineRule="exact"/>
        <w:rPr>
          <w:rFonts w:hint="eastAsia"/>
        </w:rPr>
      </w:pPr>
      <w:r>
        <w:rPr>
          <w:rFonts w:hint="eastAsia"/>
        </w:rPr>
        <w:t>147.　国家水利局局长是一名女性，其首要责任是推动执行国家水利资源和水利工程使用政策。此外，全国各大企业、实体和组织有500多名妇女直接负责减少风险的管理，包括保护下属人员和资源免受各类风险的威胁。</w:t>
      </w:r>
    </w:p>
    <w:p w:rsidR="00733ECF" w:rsidRDefault="00733ECF" w:rsidP="00733ECF">
      <w:pPr>
        <w:pStyle w:val="SingleTxt"/>
        <w:spacing w:after="120" w:line="312" w:lineRule="exact"/>
        <w:rPr>
          <w:rFonts w:hint="eastAsia"/>
        </w:rPr>
      </w:pPr>
      <w:r>
        <w:rPr>
          <w:rFonts w:hint="eastAsia"/>
        </w:rPr>
        <w:t>148.　大约有2 600名妇女专家直接或间接参与民防活动，其中2 000多人是来自国家各级教育系统的教师，她们彼此分享在减少风险方面的知识。大约有100名妇女是各级政府包括国家民防总局的民防专家。</w:t>
      </w:r>
    </w:p>
    <w:p w:rsidR="00733ECF" w:rsidRPr="00733ECF" w:rsidRDefault="00733ECF" w:rsidP="00733ECF">
      <w:pPr>
        <w:pStyle w:val="SingleTxt"/>
        <w:spacing w:after="120" w:line="312" w:lineRule="exact"/>
        <w:rPr>
          <w:rFonts w:hint="eastAsia"/>
          <w:spacing w:val="-2"/>
        </w:rPr>
      </w:pPr>
      <w:r>
        <w:rPr>
          <w:rFonts w:hint="eastAsia"/>
        </w:rPr>
        <w:t xml:space="preserve">149.　</w:t>
      </w:r>
      <w:r w:rsidRPr="00733ECF">
        <w:rPr>
          <w:rFonts w:hint="eastAsia"/>
          <w:spacing w:val="-2"/>
        </w:rPr>
        <w:t>此外，有76名妇女担任各级国防委员会主席，其中3人为省一级主席。对于国家遭受的任何威胁，国防委员会是作出响应和采取恢复措施的最高权力机构。</w:t>
      </w:r>
    </w:p>
    <w:p w:rsidR="00733ECF" w:rsidRDefault="00733ECF" w:rsidP="00733ECF">
      <w:pPr>
        <w:pStyle w:val="SingleTxt"/>
        <w:spacing w:after="120" w:line="312" w:lineRule="exact"/>
        <w:rPr>
          <w:rFonts w:hint="eastAsia"/>
        </w:rPr>
      </w:pPr>
      <w:r>
        <w:rPr>
          <w:rFonts w:hint="eastAsia"/>
        </w:rPr>
        <w:t>150.　2008年，古巴遭遇了三次大飓风和两次热带风暴，造成经济损失大约100亿美元。在这些事件中，妇女带头在比那尔德里奥省、拉斯图纳斯省和青年岛特区作出响应并采取恢复措施。风暴过去后，她们又继续开展可持续发展活动，建造更能抗击灾害和气候风险的社区。</w:t>
      </w:r>
    </w:p>
    <w:p w:rsidR="00733ECF" w:rsidRDefault="00733ECF" w:rsidP="00733ECF">
      <w:pPr>
        <w:pStyle w:val="SingleTxt"/>
        <w:spacing w:after="120" w:line="312" w:lineRule="exact"/>
        <w:rPr>
          <w:rFonts w:hint="eastAsia"/>
        </w:rPr>
      </w:pPr>
      <w:r>
        <w:rPr>
          <w:rFonts w:hint="eastAsia"/>
        </w:rPr>
        <w:t>151.　2012年底，古巴东部各省，特别是圣地亚哥、关塔那摩和奥尔金省遭受珊迪飓风袭击。这些省份有30名妇女出任了撤离委员会的主席和副主席、地方和市级防御委员会的主席、以及省级防御委员会的副主席。</w:t>
      </w:r>
    </w:p>
    <w:p w:rsidR="00733ECF" w:rsidRDefault="00733ECF" w:rsidP="00733ECF">
      <w:pPr>
        <w:pStyle w:val="SingleTxt"/>
        <w:spacing w:after="120" w:line="312" w:lineRule="exact"/>
        <w:rPr>
          <w:rFonts w:hint="eastAsia"/>
        </w:rPr>
      </w:pPr>
      <w:r>
        <w:rPr>
          <w:rFonts w:hint="eastAsia"/>
        </w:rPr>
        <w:t>152.　妇女通过国家教育系统学习民防准备工作。她们还根据各自责任级别和工作类型，在学习和就业中心接受培训。在地方一级，妇女与古巴社会其他成员一样，在应对灾难时接受民防当局的指示。在社区一级，许多妇女受训成为志愿保健员，在不同情况下从事令人赞叹的工作。</w:t>
      </w:r>
    </w:p>
    <w:p w:rsidR="00733ECF" w:rsidRDefault="00733ECF" w:rsidP="00733ECF">
      <w:pPr>
        <w:pStyle w:val="SingleTxt"/>
        <w:spacing w:after="120" w:line="312" w:lineRule="exact"/>
        <w:rPr>
          <w:rFonts w:hint="eastAsia"/>
        </w:rPr>
      </w:pPr>
      <w:r>
        <w:rPr>
          <w:rFonts w:hint="eastAsia"/>
        </w:rPr>
        <w:t>153.　此外，古巴妇女还在重建项目中担任建筑师，并组建队伍手工制作建筑材料，协助重建受灾地区的住房及教育和社会中心。</w:t>
      </w:r>
    </w:p>
    <w:p w:rsidR="00733ECF" w:rsidRDefault="00733ECF" w:rsidP="00733ECF">
      <w:pPr>
        <w:pStyle w:val="SingleTxt"/>
        <w:spacing w:after="120" w:line="312" w:lineRule="exact"/>
        <w:rPr>
          <w:rFonts w:hint="eastAsia"/>
        </w:rPr>
      </w:pPr>
      <w:r>
        <w:rPr>
          <w:rFonts w:hint="eastAsia"/>
        </w:rPr>
        <w:t>154.　在撤离中心内建造妇女设施也是国家优先事项。妇女和女孩的特定需求在所有情况下都作了考虑，撤离中心优先向她们提供卫生、保健、医疗协助和食物。此外，为确保妇女在停留期间的福祉，她们还常常得到全科医生、小儿科医生、护士、教师和志愿保健员提供的服务。</w:t>
      </w:r>
    </w:p>
    <w:p w:rsidR="00EA31C3" w:rsidRPr="00354A26" w:rsidRDefault="00733ECF" w:rsidP="00733ECF">
      <w:pPr>
        <w:pStyle w:val="SingleTxt"/>
        <w:spacing w:after="0" w:line="240" w:lineRule="auto"/>
      </w:pPr>
      <w:r>
        <w:rPr>
          <w:rFonts w:hint="eastAsia"/>
          <w:noProof/>
          <w:sz w:val="20"/>
        </w:rPr>
        <w:pict>
          <v:line id="_x0000_s1027" style="position:absolute;left:0;text-align:left;z-index:2" from="210pt,19.8pt" to="282pt,19.8pt" strokeweight=".25pt"/>
        </w:pict>
      </w:r>
    </w:p>
    <w:sectPr w:rsidR="00EA31C3" w:rsidRPr="00354A26" w:rsidSect="004D7E3A">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02-28T10:18:00Z" w:initials="Start">
    <w:p w:rsidR="0034182C" w:rsidRDefault="0034182C">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NO&gt;&gt;N1321339C&lt;&lt;ODS JOB NO&gt;&gt;</w:t>
      </w:r>
    </w:p>
    <w:p w:rsidR="0034182C" w:rsidRDefault="0034182C">
      <w:pPr>
        <w:pStyle w:val="CommentText"/>
      </w:pPr>
      <w:r>
        <w:t>&lt;&lt;ODS DOC SYMBOL1&gt;&gt;CEDAW/C/CUB/Q/7-8/Add.1&lt;&lt;ODS DOC SYMBOL1&gt;&gt;</w:t>
      </w:r>
    </w:p>
    <w:p w:rsidR="0034182C" w:rsidRDefault="0034182C">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F51" w:rsidRDefault="00B60F51">
      <w:r>
        <w:separator/>
      </w:r>
    </w:p>
  </w:endnote>
  <w:endnote w:type="continuationSeparator" w:id="0">
    <w:p w:rsidR="00B60F51" w:rsidRDefault="00B60F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34182C" w:rsidTr="004D7E3A">
      <w:tblPrEx>
        <w:tblCellMar>
          <w:top w:w="0" w:type="dxa"/>
          <w:bottom w:w="0" w:type="dxa"/>
        </w:tblCellMar>
      </w:tblPrEx>
      <w:tc>
        <w:tcPr>
          <w:tcW w:w="5033" w:type="dxa"/>
          <w:shd w:val="clear" w:color="auto" w:fill="auto"/>
        </w:tcPr>
        <w:p w:rsidR="0034182C" w:rsidRPr="004D7E3A" w:rsidRDefault="0034182C" w:rsidP="004D7E3A">
          <w:pPr>
            <w:pStyle w:val="Footer"/>
            <w:jc w:val="right"/>
            <w:rPr>
              <w:b w:val="0"/>
              <w:w w:val="103"/>
              <w:sz w:val="14"/>
            </w:rPr>
          </w:pPr>
          <w:fldSimple w:instr=" DOCVARIABLE &quot;FooterJN&quot; \* MERGEFORMAT ">
            <w:r>
              <w:rPr>
                <w:b w:val="0"/>
                <w:w w:val="103"/>
                <w:sz w:val="14"/>
              </w:rPr>
              <w:t>13-21339 (C)</w:t>
            </w:r>
          </w:fldSimple>
        </w:p>
      </w:tc>
      <w:tc>
        <w:tcPr>
          <w:tcW w:w="5033" w:type="dxa"/>
          <w:shd w:val="clear" w:color="auto" w:fill="auto"/>
        </w:tcPr>
        <w:p w:rsidR="0034182C" w:rsidRPr="004D7E3A" w:rsidRDefault="0034182C" w:rsidP="004D7E3A">
          <w:pPr>
            <w:pStyle w:val="Footer"/>
            <w:jc w:val="left"/>
            <w:rPr>
              <w:w w:val="103"/>
            </w:rPr>
          </w:pPr>
          <w:r>
            <w:rPr>
              <w:w w:val="103"/>
            </w:rPr>
            <w:fldChar w:fldCharType="begin"/>
          </w:r>
          <w:r>
            <w:rPr>
              <w:w w:val="103"/>
            </w:rPr>
            <w:instrText xml:space="preserve"> PAGE  \* MERGEFORMAT </w:instrText>
          </w:r>
          <w:r>
            <w:rPr>
              <w:w w:val="103"/>
            </w:rPr>
            <w:fldChar w:fldCharType="separate"/>
          </w:r>
          <w:r w:rsidR="003C4B82">
            <w:rPr>
              <w:w w:val="103"/>
            </w:rPr>
            <w:t>14</w:t>
          </w:r>
          <w:r>
            <w:rPr>
              <w:w w:val="103"/>
            </w:rPr>
            <w:fldChar w:fldCharType="end"/>
          </w:r>
        </w:p>
      </w:tc>
    </w:tr>
  </w:tbl>
  <w:p w:rsidR="0034182C" w:rsidRPr="004D7E3A" w:rsidRDefault="0034182C" w:rsidP="004D7E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34182C" w:rsidTr="004D7E3A">
      <w:tblPrEx>
        <w:tblCellMar>
          <w:top w:w="0" w:type="dxa"/>
          <w:bottom w:w="0" w:type="dxa"/>
        </w:tblCellMar>
      </w:tblPrEx>
      <w:tc>
        <w:tcPr>
          <w:tcW w:w="5033" w:type="dxa"/>
          <w:shd w:val="clear" w:color="auto" w:fill="auto"/>
        </w:tcPr>
        <w:p w:rsidR="0034182C" w:rsidRPr="004D7E3A" w:rsidRDefault="0034182C" w:rsidP="004D7E3A">
          <w:pPr>
            <w:pStyle w:val="Footer"/>
            <w:jc w:val="right"/>
          </w:pPr>
          <w:fldSimple w:instr=" PAGE  \* MERGEFORMAT ">
            <w:r w:rsidR="003C4B82">
              <w:t>13</w:t>
            </w:r>
          </w:fldSimple>
        </w:p>
      </w:tc>
      <w:tc>
        <w:tcPr>
          <w:tcW w:w="5033" w:type="dxa"/>
          <w:shd w:val="clear" w:color="auto" w:fill="auto"/>
        </w:tcPr>
        <w:p w:rsidR="0034182C" w:rsidRPr="004D7E3A" w:rsidRDefault="0034182C" w:rsidP="004D7E3A">
          <w:pPr>
            <w:pStyle w:val="Footer"/>
            <w:jc w:val="left"/>
            <w:rPr>
              <w:b w:val="0"/>
              <w:w w:val="103"/>
              <w:sz w:val="14"/>
            </w:rPr>
          </w:pPr>
          <w:fldSimple w:instr=" DOCVARIABLE &quot;FooterJN&quot; \* MERGEFORMAT ">
            <w:r>
              <w:rPr>
                <w:b w:val="0"/>
                <w:w w:val="103"/>
                <w:sz w:val="14"/>
              </w:rPr>
              <w:t>13-21339 (C)</w:t>
            </w:r>
          </w:fldSimple>
        </w:p>
      </w:tc>
    </w:tr>
  </w:tbl>
  <w:p w:rsidR="0034182C" w:rsidRPr="004D7E3A" w:rsidRDefault="0034182C" w:rsidP="004D7E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34182C" w:rsidTr="004D7E3A">
      <w:tblPrEx>
        <w:tblCellMar>
          <w:top w:w="0" w:type="dxa"/>
          <w:bottom w:w="0" w:type="dxa"/>
        </w:tblCellMar>
      </w:tblPrEx>
      <w:tc>
        <w:tcPr>
          <w:tcW w:w="5033" w:type="dxa"/>
        </w:tcPr>
        <w:p w:rsidR="0034182C" w:rsidRDefault="0034182C" w:rsidP="004D7E3A">
          <w:pPr>
            <w:pStyle w:val="Footer"/>
            <w:rPr>
              <w:b w:val="0"/>
              <w:sz w:val="21"/>
            </w:rPr>
          </w:pPr>
          <w:fldSimple w:instr=" DOCVARIABLE &quot;jobn&quot; \* MERGEFORMAT ">
            <w:r>
              <w:rPr>
                <w:b w:val="0"/>
                <w:sz w:val="21"/>
              </w:rPr>
              <w:t>13-21339 (C)</w:t>
            </w:r>
          </w:fldSimple>
          <w:r>
            <w:rPr>
              <w:b w:val="0"/>
              <w:sz w:val="21"/>
            </w:rPr>
            <w:t xml:space="preserve">    2</w:t>
          </w:r>
          <w:r>
            <w:rPr>
              <w:rFonts w:hint="eastAsia"/>
              <w:b w:val="0"/>
              <w:sz w:val="21"/>
            </w:rPr>
            <w:t>5</w:t>
          </w:r>
          <w:r>
            <w:rPr>
              <w:b w:val="0"/>
              <w:sz w:val="21"/>
            </w:rPr>
            <w:t>0213    280213</w:t>
          </w:r>
        </w:p>
        <w:p w:rsidR="0034182C" w:rsidRPr="004D7E3A" w:rsidRDefault="0034182C" w:rsidP="004D7E3A">
          <w:pPr>
            <w:spacing w:before="80" w:line="210" w:lineRule="exact"/>
            <w:rPr>
              <w:rFonts w:ascii="Barcode 3 of 9 by request" w:hAnsi="Barcode 3 of 9 by request"/>
              <w:sz w:val="24"/>
            </w:rPr>
          </w:pPr>
          <w:r>
            <w:rPr>
              <w:rFonts w:ascii="Barcode 3 of 9 by request" w:hAnsi="Barcode 3 of 9 by request" w:hint="eastAsia"/>
              <w:sz w:val="24"/>
            </w:rPr>
            <w:t>*1321339C*</w:t>
          </w:r>
        </w:p>
      </w:tc>
      <w:tc>
        <w:tcPr>
          <w:tcW w:w="3686" w:type="dxa"/>
        </w:tcPr>
        <w:p w:rsidR="0034182C" w:rsidRDefault="0034182C" w:rsidP="004D7E3A">
          <w:pPr>
            <w:pStyle w:val="Footer"/>
            <w:jc w:val="right"/>
            <w:rPr>
              <w:b w:val="0"/>
              <w:sz w:val="21"/>
            </w:rPr>
          </w:pPr>
          <w:r w:rsidRPr="004D7E3A">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34182C" w:rsidRPr="004D7E3A" w:rsidRDefault="0034182C" w:rsidP="004D7E3A">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F51" w:rsidRPr="0034182C" w:rsidRDefault="00B60F51" w:rsidP="0034182C">
      <w:pPr>
        <w:pStyle w:val="Footer"/>
        <w:spacing w:after="80"/>
        <w:ind w:left="792"/>
        <w:rPr>
          <w:sz w:val="16"/>
        </w:rPr>
      </w:pPr>
      <w:r w:rsidRPr="0034182C">
        <w:rPr>
          <w:sz w:val="16"/>
        </w:rPr>
        <w:t>__________________</w:t>
      </w:r>
    </w:p>
  </w:footnote>
  <w:footnote w:type="continuationSeparator" w:id="0">
    <w:p w:rsidR="00B60F51" w:rsidRPr="0034182C" w:rsidRDefault="00B60F51" w:rsidP="0034182C">
      <w:pPr>
        <w:pStyle w:val="Footer"/>
        <w:spacing w:after="80"/>
        <w:ind w:left="792"/>
        <w:rPr>
          <w:sz w:val="16"/>
        </w:rPr>
      </w:pPr>
      <w:r w:rsidRPr="0034182C">
        <w:rPr>
          <w:sz w:val="16"/>
        </w:rPr>
        <w:t>__________________</w:t>
      </w:r>
    </w:p>
  </w:footnote>
  <w:footnote w:id="1">
    <w:p w:rsidR="0034182C" w:rsidRPr="00BA5AB8" w:rsidRDefault="0034182C" w:rsidP="0034182C">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t>*</w:t>
      </w:r>
      <w:r>
        <w:rPr>
          <w:rFonts w:hint="eastAsia"/>
        </w:rPr>
        <w:tab/>
      </w:r>
      <w:r w:rsidRPr="00BA5AB8">
        <w:rPr>
          <w:rFonts w:hint="eastAsia"/>
        </w:rPr>
        <w:t>按照已通知各缔约国的报告处理办法，本文件未经正式编辑。</w:t>
      </w:r>
    </w:p>
  </w:footnote>
  <w:footnote w:id="2">
    <w:p w:rsidR="0034182C" w:rsidRPr="00A262B6" w:rsidRDefault="0034182C" w:rsidP="0034182C">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A262B6">
        <w:rPr>
          <w:rFonts w:hint="eastAsia"/>
        </w:rPr>
        <w:t>劳工组织《关于废除强迫劳动的第105号公约》、1979年《消除对妇女一切形式歧视公约》、1998年《消除对妇女一切形式歧视公约任择议定书》、1991年《儿童权利公约》以及2000年《儿童权利公约关于买卖儿童、儿童卖淫和儿童色情制品问题的任择议定书》。</w:t>
      </w:r>
    </w:p>
  </w:footnote>
  <w:footnote w:id="3">
    <w:p w:rsidR="0034182C" w:rsidRPr="00985C34" w:rsidRDefault="0034182C" w:rsidP="0034182C">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985C34">
        <w:rPr>
          <w:rFonts w:hint="eastAsia"/>
        </w:rPr>
        <w:t>1904年《禁止贩卖白奴国际公约》、1926年《禁奴公约》、1949年《禁止贩卖人口及取缔意图营利使人卖淫的公约》以及1956年《废止奴隶制、奴隶贩卖及类似奴隶制的制度与习俗补充公约》。</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34182C" w:rsidTr="004D7E3A">
      <w:tblPrEx>
        <w:tblCellMar>
          <w:top w:w="0" w:type="dxa"/>
          <w:bottom w:w="0" w:type="dxa"/>
        </w:tblCellMar>
      </w:tblPrEx>
      <w:trPr>
        <w:trHeight w:hRule="exact" w:val="864"/>
      </w:trPr>
      <w:tc>
        <w:tcPr>
          <w:tcW w:w="4838" w:type="dxa"/>
          <w:shd w:val="clear" w:color="auto" w:fill="auto"/>
          <w:vAlign w:val="bottom"/>
        </w:tcPr>
        <w:p w:rsidR="0034182C" w:rsidRPr="004D7E3A" w:rsidRDefault="0034182C" w:rsidP="004D7E3A">
          <w:pPr>
            <w:pStyle w:val="Header"/>
            <w:spacing w:after="80"/>
            <w:jc w:val="left"/>
            <w:rPr>
              <w:b/>
              <w:sz w:val="17"/>
            </w:rPr>
          </w:pPr>
          <w:fldSimple w:instr=" DOCVARIABLE &quot;sss1&quot; \* MERGEFORMAT ">
            <w:r>
              <w:rPr>
                <w:b/>
                <w:sz w:val="17"/>
              </w:rPr>
              <w:t>CEDAW/C/CUB/Q/7-8/Add.1</w:t>
            </w:r>
          </w:fldSimple>
        </w:p>
      </w:tc>
      <w:tc>
        <w:tcPr>
          <w:tcW w:w="5033" w:type="dxa"/>
          <w:shd w:val="clear" w:color="auto" w:fill="auto"/>
          <w:vAlign w:val="bottom"/>
        </w:tcPr>
        <w:p w:rsidR="0034182C" w:rsidRDefault="0034182C" w:rsidP="004D7E3A">
          <w:pPr>
            <w:pStyle w:val="Header"/>
          </w:pPr>
        </w:p>
      </w:tc>
    </w:tr>
  </w:tbl>
  <w:p w:rsidR="0034182C" w:rsidRPr="004D7E3A" w:rsidRDefault="0034182C" w:rsidP="004D7E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34182C" w:rsidTr="004D7E3A">
      <w:tblPrEx>
        <w:tblCellMar>
          <w:top w:w="0" w:type="dxa"/>
          <w:bottom w:w="0" w:type="dxa"/>
        </w:tblCellMar>
      </w:tblPrEx>
      <w:trPr>
        <w:trHeight w:hRule="exact" w:val="864"/>
      </w:trPr>
      <w:tc>
        <w:tcPr>
          <w:tcW w:w="4838" w:type="dxa"/>
          <w:shd w:val="clear" w:color="auto" w:fill="auto"/>
          <w:vAlign w:val="bottom"/>
        </w:tcPr>
        <w:p w:rsidR="0034182C" w:rsidRDefault="0034182C" w:rsidP="004D7E3A">
          <w:pPr>
            <w:pStyle w:val="Header"/>
          </w:pPr>
        </w:p>
      </w:tc>
      <w:tc>
        <w:tcPr>
          <w:tcW w:w="5033" w:type="dxa"/>
          <w:shd w:val="clear" w:color="auto" w:fill="auto"/>
          <w:vAlign w:val="bottom"/>
        </w:tcPr>
        <w:p w:rsidR="0034182C" w:rsidRPr="004D7E3A" w:rsidRDefault="0034182C" w:rsidP="004D7E3A">
          <w:pPr>
            <w:pStyle w:val="Header"/>
            <w:spacing w:after="80"/>
            <w:jc w:val="right"/>
            <w:rPr>
              <w:b/>
              <w:sz w:val="17"/>
            </w:rPr>
          </w:pPr>
          <w:fldSimple w:instr=" DOCVARIABLE &quot;sss1&quot; \* MERGEFORMAT ">
            <w:r>
              <w:rPr>
                <w:b/>
                <w:sz w:val="17"/>
              </w:rPr>
              <w:t>CEDAW/C/CUB/Q/7-8/Add.1</w:t>
            </w:r>
          </w:fldSimple>
        </w:p>
      </w:tc>
    </w:tr>
  </w:tbl>
  <w:p w:rsidR="0034182C" w:rsidRPr="004D7E3A" w:rsidRDefault="0034182C" w:rsidP="004D7E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34182C" w:rsidTr="004D7E3A">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34182C" w:rsidRDefault="0034182C" w:rsidP="004D7E3A">
          <w:pPr>
            <w:pStyle w:val="Header"/>
            <w:spacing w:after="120"/>
          </w:pPr>
        </w:p>
      </w:tc>
      <w:tc>
        <w:tcPr>
          <w:tcW w:w="1872" w:type="dxa"/>
          <w:tcBorders>
            <w:bottom w:val="single" w:sz="4" w:space="0" w:color="auto"/>
          </w:tcBorders>
          <w:shd w:val="clear" w:color="auto" w:fill="auto"/>
          <w:vAlign w:val="bottom"/>
        </w:tcPr>
        <w:p w:rsidR="0034182C" w:rsidRPr="004D7E3A" w:rsidRDefault="0034182C" w:rsidP="004D7E3A">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34182C" w:rsidRDefault="0034182C" w:rsidP="004D7E3A">
          <w:pPr>
            <w:pStyle w:val="Header"/>
            <w:spacing w:after="120"/>
          </w:pPr>
        </w:p>
      </w:tc>
      <w:tc>
        <w:tcPr>
          <w:tcW w:w="6523" w:type="dxa"/>
          <w:gridSpan w:val="3"/>
          <w:tcBorders>
            <w:bottom w:val="single" w:sz="4" w:space="0" w:color="auto"/>
          </w:tcBorders>
          <w:shd w:val="clear" w:color="auto" w:fill="auto"/>
          <w:vAlign w:val="bottom"/>
        </w:tcPr>
        <w:p w:rsidR="0034182C" w:rsidRPr="004D7E3A" w:rsidRDefault="0034182C" w:rsidP="004D7E3A">
          <w:pPr>
            <w:spacing w:after="80" w:line="240" w:lineRule="auto"/>
            <w:jc w:val="right"/>
            <w:rPr>
              <w:rFonts w:ascii="Times New Roman"/>
              <w:position w:val="-4"/>
            </w:rPr>
          </w:pPr>
          <w:r>
            <w:rPr>
              <w:rFonts w:ascii="Times New Roman"/>
              <w:position w:val="-4"/>
              <w:sz w:val="40"/>
            </w:rPr>
            <w:t>CEDAW</w:t>
          </w:r>
          <w:r>
            <w:rPr>
              <w:rFonts w:ascii="Times New Roman"/>
              <w:position w:val="-4"/>
            </w:rPr>
            <w:t>/C/CUB/Q/7-8/Add.1</w:t>
          </w:r>
        </w:p>
      </w:tc>
    </w:tr>
    <w:tr w:rsidR="0034182C" w:rsidRPr="004D7E3A" w:rsidTr="004D7E3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34182C" w:rsidRDefault="0034182C" w:rsidP="004D7E3A">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4182C" w:rsidRPr="004D7E3A" w:rsidRDefault="0034182C" w:rsidP="004D7E3A">
          <w:pPr>
            <w:pStyle w:val="Header"/>
            <w:spacing w:before="109"/>
            <w:ind w:left="-72"/>
          </w:pPr>
        </w:p>
      </w:tc>
      <w:tc>
        <w:tcPr>
          <w:tcW w:w="5227" w:type="dxa"/>
          <w:gridSpan w:val="3"/>
          <w:tcBorders>
            <w:top w:val="single" w:sz="4" w:space="0" w:color="auto"/>
            <w:bottom w:val="single" w:sz="12" w:space="0" w:color="auto"/>
          </w:tcBorders>
          <w:shd w:val="clear" w:color="auto" w:fill="auto"/>
        </w:tcPr>
        <w:p w:rsidR="0034182C" w:rsidRPr="004D7E3A" w:rsidRDefault="0034182C" w:rsidP="004D7E3A">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34182C" w:rsidRPr="004D7E3A" w:rsidRDefault="0034182C" w:rsidP="004D7E3A">
          <w:pPr>
            <w:pStyle w:val="Header"/>
            <w:spacing w:before="109"/>
          </w:pPr>
        </w:p>
      </w:tc>
      <w:tc>
        <w:tcPr>
          <w:tcW w:w="3180" w:type="dxa"/>
          <w:gridSpan w:val="2"/>
          <w:tcBorders>
            <w:top w:val="single" w:sz="4" w:space="0" w:color="auto"/>
            <w:bottom w:val="single" w:sz="12" w:space="0" w:color="auto"/>
          </w:tcBorders>
          <w:shd w:val="clear" w:color="auto" w:fill="auto"/>
        </w:tcPr>
        <w:p w:rsidR="0034182C" w:rsidRDefault="0034182C" w:rsidP="004D7E3A">
          <w:pPr>
            <w:spacing w:before="240" w:line="240" w:lineRule="exact"/>
            <w:rPr>
              <w:rFonts w:ascii="Times New Roman"/>
            </w:rPr>
          </w:pPr>
          <w:r>
            <w:rPr>
              <w:rFonts w:ascii="Times New Roman"/>
            </w:rPr>
            <w:t>Distr.: General</w:t>
          </w:r>
        </w:p>
        <w:p w:rsidR="0034182C" w:rsidRDefault="0034182C" w:rsidP="004D7E3A">
          <w:pPr>
            <w:spacing w:line="240" w:lineRule="exact"/>
            <w:rPr>
              <w:rFonts w:ascii="Times New Roman"/>
            </w:rPr>
          </w:pPr>
          <w:r>
            <w:rPr>
              <w:rFonts w:ascii="Times New Roman"/>
            </w:rPr>
            <w:t>22 February 2013</w:t>
          </w:r>
        </w:p>
        <w:p w:rsidR="0034182C" w:rsidRDefault="0034182C" w:rsidP="004D7E3A">
          <w:pPr>
            <w:spacing w:line="240" w:lineRule="exact"/>
            <w:rPr>
              <w:rFonts w:ascii="Times New Roman"/>
            </w:rPr>
          </w:pPr>
          <w:r>
            <w:rPr>
              <w:rFonts w:ascii="Times New Roman"/>
            </w:rPr>
            <w:t>Chinese</w:t>
          </w:r>
        </w:p>
        <w:p w:rsidR="0034182C" w:rsidRPr="004D7E3A" w:rsidRDefault="0034182C" w:rsidP="004D7E3A">
          <w:pPr>
            <w:spacing w:line="240" w:lineRule="exact"/>
            <w:rPr>
              <w:rFonts w:ascii="Times New Roman"/>
            </w:rPr>
          </w:pPr>
          <w:r>
            <w:rPr>
              <w:rFonts w:ascii="Times New Roman"/>
            </w:rPr>
            <w:t>Original: Spanish</w:t>
          </w:r>
        </w:p>
      </w:tc>
    </w:tr>
  </w:tbl>
  <w:p w:rsidR="0034182C" w:rsidRPr="004D7E3A" w:rsidRDefault="0034182C" w:rsidP="004D7E3A">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21339*"/>
    <w:docVar w:name="CreationDt" w:val="28/02/2013 09:03:05"/>
    <w:docVar w:name="DocCategory" w:val="Doc"/>
    <w:docVar w:name="DocType" w:val="Final"/>
    <w:docVar w:name="FooterJN" w:val="13-21339 (C)"/>
    <w:docVar w:name="jobn" w:val="13-21339 (C)"/>
    <w:docVar w:name="jobnDT" w:val="13-21339 (C)   280213"/>
    <w:docVar w:name="jobnDTDT" w:val="13-21339 (C)   280213   280213"/>
    <w:docVar w:name="JobNo" w:val="1321339C"/>
    <w:docVar w:name="OandT" w:val="DONG"/>
    <w:docVar w:name="sss1" w:val="CEDAW/C/CUB/Q/7-8/Add.1"/>
    <w:docVar w:name="sss2" w:val="-"/>
    <w:docVar w:name="Symbol1" w:val="CEDAW/C/CUB/Q/7-8/Add.1"/>
    <w:docVar w:name="Symbol2" w:val="-"/>
  </w:docVars>
  <w:rsids>
    <w:rsidRoot w:val="007D2C1B"/>
    <w:rsid w:val="0000347C"/>
    <w:rsid w:val="000125BC"/>
    <w:rsid w:val="0001645E"/>
    <w:rsid w:val="00021A2B"/>
    <w:rsid w:val="00036AA2"/>
    <w:rsid w:val="00037B39"/>
    <w:rsid w:val="00044CA4"/>
    <w:rsid w:val="00044EE9"/>
    <w:rsid w:val="00045EFE"/>
    <w:rsid w:val="0007337D"/>
    <w:rsid w:val="000758DF"/>
    <w:rsid w:val="00076EB8"/>
    <w:rsid w:val="00077AEE"/>
    <w:rsid w:val="00082CCB"/>
    <w:rsid w:val="00083CAB"/>
    <w:rsid w:val="00095C67"/>
    <w:rsid w:val="000A31F9"/>
    <w:rsid w:val="000C1786"/>
    <w:rsid w:val="000C4DDE"/>
    <w:rsid w:val="000E240F"/>
    <w:rsid w:val="000E49A4"/>
    <w:rsid w:val="000F1058"/>
    <w:rsid w:val="000F55DC"/>
    <w:rsid w:val="00101C4E"/>
    <w:rsid w:val="001113F8"/>
    <w:rsid w:val="001212F9"/>
    <w:rsid w:val="00121328"/>
    <w:rsid w:val="0012708E"/>
    <w:rsid w:val="001329F7"/>
    <w:rsid w:val="00141322"/>
    <w:rsid w:val="0015066B"/>
    <w:rsid w:val="00150D3A"/>
    <w:rsid w:val="00153D29"/>
    <w:rsid w:val="00161E69"/>
    <w:rsid w:val="00161F54"/>
    <w:rsid w:val="00170FBE"/>
    <w:rsid w:val="00174233"/>
    <w:rsid w:val="0017506F"/>
    <w:rsid w:val="001B2814"/>
    <w:rsid w:val="001B4F95"/>
    <w:rsid w:val="001C3F7F"/>
    <w:rsid w:val="001C5166"/>
    <w:rsid w:val="001D0354"/>
    <w:rsid w:val="001D3F72"/>
    <w:rsid w:val="001E20EC"/>
    <w:rsid w:val="001E4442"/>
    <w:rsid w:val="001E5A51"/>
    <w:rsid w:val="001F03A7"/>
    <w:rsid w:val="001F2F76"/>
    <w:rsid w:val="00203760"/>
    <w:rsid w:val="00207135"/>
    <w:rsid w:val="002145EA"/>
    <w:rsid w:val="00231575"/>
    <w:rsid w:val="00241DB7"/>
    <w:rsid w:val="00247382"/>
    <w:rsid w:val="00252E35"/>
    <w:rsid w:val="00254858"/>
    <w:rsid w:val="00257053"/>
    <w:rsid w:val="00263B7B"/>
    <w:rsid w:val="00264D46"/>
    <w:rsid w:val="00266257"/>
    <w:rsid w:val="00271BE6"/>
    <w:rsid w:val="0027454D"/>
    <w:rsid w:val="00277AAE"/>
    <w:rsid w:val="00280671"/>
    <w:rsid w:val="002814F9"/>
    <w:rsid w:val="00282D17"/>
    <w:rsid w:val="002A4AEF"/>
    <w:rsid w:val="002B305F"/>
    <w:rsid w:val="002B564F"/>
    <w:rsid w:val="002B5F5D"/>
    <w:rsid w:val="002B62ED"/>
    <w:rsid w:val="002C2254"/>
    <w:rsid w:val="002C3BC9"/>
    <w:rsid w:val="002C54DB"/>
    <w:rsid w:val="002D039F"/>
    <w:rsid w:val="002D0694"/>
    <w:rsid w:val="002D0B62"/>
    <w:rsid w:val="002D4ACE"/>
    <w:rsid w:val="002D5503"/>
    <w:rsid w:val="002E66D5"/>
    <w:rsid w:val="002F41E2"/>
    <w:rsid w:val="00320C99"/>
    <w:rsid w:val="003274A9"/>
    <w:rsid w:val="00331221"/>
    <w:rsid w:val="0034182C"/>
    <w:rsid w:val="00346223"/>
    <w:rsid w:val="00354A26"/>
    <w:rsid w:val="00363610"/>
    <w:rsid w:val="003649EE"/>
    <w:rsid w:val="00371BC6"/>
    <w:rsid w:val="00373A15"/>
    <w:rsid w:val="00383ACA"/>
    <w:rsid w:val="00384CB1"/>
    <w:rsid w:val="00394A02"/>
    <w:rsid w:val="003966E8"/>
    <w:rsid w:val="003C4B82"/>
    <w:rsid w:val="003C7B20"/>
    <w:rsid w:val="003D075F"/>
    <w:rsid w:val="003E4565"/>
    <w:rsid w:val="003E748F"/>
    <w:rsid w:val="003E7612"/>
    <w:rsid w:val="00414423"/>
    <w:rsid w:val="00433853"/>
    <w:rsid w:val="004411AD"/>
    <w:rsid w:val="004424EF"/>
    <w:rsid w:val="00453BB0"/>
    <w:rsid w:val="00460162"/>
    <w:rsid w:val="004620A8"/>
    <w:rsid w:val="00466BB5"/>
    <w:rsid w:val="004700CF"/>
    <w:rsid w:val="00487444"/>
    <w:rsid w:val="00493C9C"/>
    <w:rsid w:val="004A06D1"/>
    <w:rsid w:val="004A11FC"/>
    <w:rsid w:val="004B2C67"/>
    <w:rsid w:val="004C0224"/>
    <w:rsid w:val="004C053E"/>
    <w:rsid w:val="004C3255"/>
    <w:rsid w:val="004D07E1"/>
    <w:rsid w:val="004D1C19"/>
    <w:rsid w:val="004D7E3A"/>
    <w:rsid w:val="004E739A"/>
    <w:rsid w:val="004F29B8"/>
    <w:rsid w:val="004F5E26"/>
    <w:rsid w:val="0050413E"/>
    <w:rsid w:val="00515657"/>
    <w:rsid w:val="00521275"/>
    <w:rsid w:val="0052216F"/>
    <w:rsid w:val="005232CA"/>
    <w:rsid w:val="00523636"/>
    <w:rsid w:val="0053047C"/>
    <w:rsid w:val="005335B9"/>
    <w:rsid w:val="00536CCE"/>
    <w:rsid w:val="00552CE5"/>
    <w:rsid w:val="005541E4"/>
    <w:rsid w:val="00562FE7"/>
    <w:rsid w:val="0057094A"/>
    <w:rsid w:val="00570BD4"/>
    <w:rsid w:val="0057450D"/>
    <w:rsid w:val="0058302A"/>
    <w:rsid w:val="0058434C"/>
    <w:rsid w:val="005A175A"/>
    <w:rsid w:val="005B7338"/>
    <w:rsid w:val="005C02AB"/>
    <w:rsid w:val="005C5FC3"/>
    <w:rsid w:val="005D0F04"/>
    <w:rsid w:val="005F12F0"/>
    <w:rsid w:val="005F1AAD"/>
    <w:rsid w:val="005F3273"/>
    <w:rsid w:val="005F34A3"/>
    <w:rsid w:val="00610CF2"/>
    <w:rsid w:val="006328DE"/>
    <w:rsid w:val="006353DE"/>
    <w:rsid w:val="006479F1"/>
    <w:rsid w:val="00650BEE"/>
    <w:rsid w:val="006520FA"/>
    <w:rsid w:val="0065377D"/>
    <w:rsid w:val="00666F57"/>
    <w:rsid w:val="006740A7"/>
    <w:rsid w:val="006767D5"/>
    <w:rsid w:val="00691524"/>
    <w:rsid w:val="006926DF"/>
    <w:rsid w:val="006A654B"/>
    <w:rsid w:val="006C4BB3"/>
    <w:rsid w:val="006E2924"/>
    <w:rsid w:val="006E7A26"/>
    <w:rsid w:val="006F04EF"/>
    <w:rsid w:val="006F2B3D"/>
    <w:rsid w:val="007052CC"/>
    <w:rsid w:val="007319E0"/>
    <w:rsid w:val="00733ECF"/>
    <w:rsid w:val="007345AA"/>
    <w:rsid w:val="00737B00"/>
    <w:rsid w:val="0075155C"/>
    <w:rsid w:val="00753A05"/>
    <w:rsid w:val="00757193"/>
    <w:rsid w:val="00761190"/>
    <w:rsid w:val="00776537"/>
    <w:rsid w:val="00783A25"/>
    <w:rsid w:val="007877F4"/>
    <w:rsid w:val="007C74B9"/>
    <w:rsid w:val="007D2C1B"/>
    <w:rsid w:val="007E1B5E"/>
    <w:rsid w:val="007E6253"/>
    <w:rsid w:val="007F2278"/>
    <w:rsid w:val="00803014"/>
    <w:rsid w:val="00805783"/>
    <w:rsid w:val="00806F57"/>
    <w:rsid w:val="00806F90"/>
    <w:rsid w:val="008246FC"/>
    <w:rsid w:val="00824C19"/>
    <w:rsid w:val="00826250"/>
    <w:rsid w:val="0083056F"/>
    <w:rsid w:val="008378D1"/>
    <w:rsid w:val="00846462"/>
    <w:rsid w:val="00860742"/>
    <w:rsid w:val="0086691F"/>
    <w:rsid w:val="00883DB0"/>
    <w:rsid w:val="00884C8F"/>
    <w:rsid w:val="00896D38"/>
    <w:rsid w:val="008A0216"/>
    <w:rsid w:val="008C3296"/>
    <w:rsid w:val="008C3413"/>
    <w:rsid w:val="008E2D03"/>
    <w:rsid w:val="008E7BDF"/>
    <w:rsid w:val="008F2BB5"/>
    <w:rsid w:val="008F425D"/>
    <w:rsid w:val="008F5472"/>
    <w:rsid w:val="008F5D0F"/>
    <w:rsid w:val="009122E0"/>
    <w:rsid w:val="00913351"/>
    <w:rsid w:val="0096193C"/>
    <w:rsid w:val="009769E1"/>
    <w:rsid w:val="00977E0D"/>
    <w:rsid w:val="00982D5C"/>
    <w:rsid w:val="00986132"/>
    <w:rsid w:val="00986C04"/>
    <w:rsid w:val="009A11E3"/>
    <w:rsid w:val="009A2F76"/>
    <w:rsid w:val="009D2AC2"/>
    <w:rsid w:val="009E1774"/>
    <w:rsid w:val="009E2668"/>
    <w:rsid w:val="009E40A3"/>
    <w:rsid w:val="009E5C8C"/>
    <w:rsid w:val="009F10B1"/>
    <w:rsid w:val="009F47E3"/>
    <w:rsid w:val="009F6938"/>
    <w:rsid w:val="00A0537D"/>
    <w:rsid w:val="00A069AD"/>
    <w:rsid w:val="00A17A85"/>
    <w:rsid w:val="00A20856"/>
    <w:rsid w:val="00A24399"/>
    <w:rsid w:val="00A24CA5"/>
    <w:rsid w:val="00A33D6D"/>
    <w:rsid w:val="00A37345"/>
    <w:rsid w:val="00A40AAE"/>
    <w:rsid w:val="00A40EA9"/>
    <w:rsid w:val="00A4532A"/>
    <w:rsid w:val="00A5206D"/>
    <w:rsid w:val="00A72E47"/>
    <w:rsid w:val="00A90956"/>
    <w:rsid w:val="00A95404"/>
    <w:rsid w:val="00A968C5"/>
    <w:rsid w:val="00A968CD"/>
    <w:rsid w:val="00AA3C28"/>
    <w:rsid w:val="00AA759D"/>
    <w:rsid w:val="00AB2786"/>
    <w:rsid w:val="00AD4308"/>
    <w:rsid w:val="00AF2A33"/>
    <w:rsid w:val="00B03EFA"/>
    <w:rsid w:val="00B309DD"/>
    <w:rsid w:val="00B36621"/>
    <w:rsid w:val="00B36D64"/>
    <w:rsid w:val="00B41B48"/>
    <w:rsid w:val="00B55E1D"/>
    <w:rsid w:val="00B56194"/>
    <w:rsid w:val="00B60F41"/>
    <w:rsid w:val="00B60F51"/>
    <w:rsid w:val="00B61A34"/>
    <w:rsid w:val="00B64E8E"/>
    <w:rsid w:val="00B65E8B"/>
    <w:rsid w:val="00B8025A"/>
    <w:rsid w:val="00B827B1"/>
    <w:rsid w:val="00BB23A4"/>
    <w:rsid w:val="00BC2276"/>
    <w:rsid w:val="00BC6A78"/>
    <w:rsid w:val="00BD1BFF"/>
    <w:rsid w:val="00BD2150"/>
    <w:rsid w:val="00BE1CC3"/>
    <w:rsid w:val="00BE365A"/>
    <w:rsid w:val="00BE47C4"/>
    <w:rsid w:val="00C052A2"/>
    <w:rsid w:val="00C06A4A"/>
    <w:rsid w:val="00C1391A"/>
    <w:rsid w:val="00C14CE6"/>
    <w:rsid w:val="00C15218"/>
    <w:rsid w:val="00C22BB2"/>
    <w:rsid w:val="00C2725D"/>
    <w:rsid w:val="00C31E79"/>
    <w:rsid w:val="00C403C9"/>
    <w:rsid w:val="00C42033"/>
    <w:rsid w:val="00C464DD"/>
    <w:rsid w:val="00C52423"/>
    <w:rsid w:val="00C60D8E"/>
    <w:rsid w:val="00C62EF9"/>
    <w:rsid w:val="00C672B6"/>
    <w:rsid w:val="00C76854"/>
    <w:rsid w:val="00C900C5"/>
    <w:rsid w:val="00C92AE0"/>
    <w:rsid w:val="00C943B4"/>
    <w:rsid w:val="00CA450F"/>
    <w:rsid w:val="00CB2B1E"/>
    <w:rsid w:val="00CC3E8B"/>
    <w:rsid w:val="00CC4E84"/>
    <w:rsid w:val="00CD5641"/>
    <w:rsid w:val="00CE64AC"/>
    <w:rsid w:val="00CF49BA"/>
    <w:rsid w:val="00CF7718"/>
    <w:rsid w:val="00D177F1"/>
    <w:rsid w:val="00D323B5"/>
    <w:rsid w:val="00D42ACC"/>
    <w:rsid w:val="00D51DC5"/>
    <w:rsid w:val="00D676D7"/>
    <w:rsid w:val="00D71517"/>
    <w:rsid w:val="00D7168D"/>
    <w:rsid w:val="00D874E1"/>
    <w:rsid w:val="00D9586D"/>
    <w:rsid w:val="00D9749C"/>
    <w:rsid w:val="00DA51B2"/>
    <w:rsid w:val="00DA6965"/>
    <w:rsid w:val="00DB0932"/>
    <w:rsid w:val="00DC2506"/>
    <w:rsid w:val="00DC49FA"/>
    <w:rsid w:val="00DD3D6B"/>
    <w:rsid w:val="00DD4467"/>
    <w:rsid w:val="00DD61C8"/>
    <w:rsid w:val="00DD772B"/>
    <w:rsid w:val="00DF742A"/>
    <w:rsid w:val="00E041F4"/>
    <w:rsid w:val="00E050BA"/>
    <w:rsid w:val="00E25442"/>
    <w:rsid w:val="00E25A1F"/>
    <w:rsid w:val="00E35B72"/>
    <w:rsid w:val="00E37EEB"/>
    <w:rsid w:val="00E710FB"/>
    <w:rsid w:val="00E806D9"/>
    <w:rsid w:val="00E82CA2"/>
    <w:rsid w:val="00E94E5A"/>
    <w:rsid w:val="00E95594"/>
    <w:rsid w:val="00EA31C3"/>
    <w:rsid w:val="00EB33AC"/>
    <w:rsid w:val="00EC669D"/>
    <w:rsid w:val="00EC6F21"/>
    <w:rsid w:val="00EE0913"/>
    <w:rsid w:val="00F01440"/>
    <w:rsid w:val="00F020E7"/>
    <w:rsid w:val="00F03676"/>
    <w:rsid w:val="00F04C64"/>
    <w:rsid w:val="00F13305"/>
    <w:rsid w:val="00F15B46"/>
    <w:rsid w:val="00F40463"/>
    <w:rsid w:val="00F50336"/>
    <w:rsid w:val="00F55E5B"/>
    <w:rsid w:val="00F569BC"/>
    <w:rsid w:val="00F62E3F"/>
    <w:rsid w:val="00F67F90"/>
    <w:rsid w:val="00F77B3E"/>
    <w:rsid w:val="00F833CB"/>
    <w:rsid w:val="00F87754"/>
    <w:rsid w:val="00F90A4B"/>
    <w:rsid w:val="00F90C56"/>
    <w:rsid w:val="00FC1CE4"/>
    <w:rsid w:val="00FD594E"/>
    <w:rsid w:val="00FD75B9"/>
    <w:rsid w:val="00FE5FE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Normal"/>
    <w:rsid w:val="00986132"/>
    <w:pPr>
      <w:keepNext/>
      <w:keepLines/>
      <w:suppressAutoHyphens/>
      <w:outlineLvl w:val="0"/>
    </w:pPr>
    <w:rPr>
      <w:rFonts w:ascii="SimHei" w:eastAsia="SimHei"/>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basedOn w:val="DefaultParagraphFont"/>
    <w:semiHidden/>
    <w:rsid w:val="00803014"/>
    <w:rPr>
      <w:color w:val="auto"/>
      <w:spacing w:val="0"/>
      <w:w w:val="150"/>
      <w:position w:val="0"/>
      <w:vertAlign w:val="superscript"/>
    </w:rPr>
  </w:style>
  <w:style w:type="character" w:styleId="EndnoteReference">
    <w:name w:val="endnote reference"/>
    <w:basedOn w:val="FootnoteReference"/>
    <w:semiHidden/>
    <w:rsid w:val="001E5A51"/>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1</Pages>
  <Words>2957</Words>
  <Characters>16857</Characters>
  <Application>Microsoft Office Outlook</Application>
  <DocSecurity>4</DocSecurity>
  <Lines>140</Lines>
  <Paragraphs>39</Paragraphs>
  <ScaleCrop>false</ScaleCrop>
  <Company>United Nations</Company>
  <LinksUpToDate>false</LinksUpToDate>
  <CharactersWithSpaces>19775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DLH</dc:creator>
  <cp:keywords/>
  <dc:description/>
  <cp:lastModifiedBy>FrontDesk2</cp:lastModifiedBy>
  <cp:revision>9</cp:revision>
  <cp:lastPrinted>2013-02-28T08:21:00Z</cp:lastPrinted>
  <dcterms:created xsi:type="dcterms:W3CDTF">2013-02-28T07:02:00Z</dcterms:created>
  <dcterms:modified xsi:type="dcterms:W3CDTF">2013-02-28T10:08:00Z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1321339</vt:lpwstr>
  </property>
  <property fmtid="{D5CDD505-2E9C-101B-9397-08002B2CF9AE}" pid="3" name="Symbol1">
    <vt:lpwstr>CEDAW/C/CUB/Q/7-8/Add.1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20</vt:lpwstr>
  </property>
  <property fmtid="{D5CDD505-2E9C-101B-9397-08002B2CF9AE}" pid="8" name="Operator">
    <vt:lpwstr>DONG</vt:lpwstr>
  </property>
</Properties>
</file>