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91" w:rsidRDefault="00601991" w:rsidP="00601991">
      <w:pPr>
        <w:spacing w:line="60" w:lineRule="exact"/>
        <w:sectPr w:rsidR="00601991" w:rsidSect="0060199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Add"/>
            <w10:wrap anchorx="page" anchory="page"/>
          </v:shape>
        </w:pict>
      </w:r>
      <w:commentRangeEnd w:id="0"/>
      <w:r>
        <w:rPr>
          <w:rStyle w:val="CommentReference"/>
        </w:rPr>
        <w:commentReference w:id="0"/>
      </w:r>
    </w:p>
    <w:p w:rsidR="00601991" w:rsidRDefault="00601991" w:rsidP="00601991">
      <w:pPr>
        <w:spacing w:line="60" w:lineRule="exact"/>
      </w:pPr>
    </w:p>
    <w:p w:rsidR="004821CF" w:rsidRPr="004A3BD1"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sz w:val="24"/>
          <w:szCs w:val="24"/>
        </w:rPr>
      </w:pPr>
      <w:r w:rsidRPr="004A3BD1">
        <w:rPr>
          <w:rFonts w:hint="eastAsia"/>
          <w:sz w:val="24"/>
          <w:szCs w:val="24"/>
        </w:rPr>
        <w:t>消除对妇女歧视委员会</w:t>
      </w:r>
    </w:p>
    <w:p w:rsidR="004821CF" w:rsidRPr="00BD2D26"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sidRPr="00BD2D26">
        <w:rPr>
          <w:rFonts w:hint="eastAsia"/>
        </w:rPr>
        <w:t>第五十五届会议</w:t>
      </w:r>
    </w:p>
    <w:p w:rsidR="004821CF"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ascii="SimSun" w:eastAsia="SimSun" w:hAnsi="SimSun" w:hint="eastAsia"/>
        </w:rPr>
      </w:pPr>
      <w:r w:rsidRPr="00BD2D26">
        <w:rPr>
          <w:rFonts w:ascii="SimSun" w:eastAsia="SimSun" w:hAnsi="SimSun" w:hint="eastAsia"/>
        </w:rPr>
        <w:t>2013年7月8日至26日</w:t>
      </w:r>
    </w:p>
    <w:p w:rsidR="004821CF" w:rsidRPr="004821CF" w:rsidRDefault="004821CF" w:rsidP="004821CF">
      <w:pPr>
        <w:pStyle w:val="SingleTxt"/>
        <w:spacing w:after="0" w:line="120" w:lineRule="exact"/>
        <w:ind w:right="0"/>
        <w:rPr>
          <w:rFonts w:hint="eastAsia"/>
          <w:sz w:val="10"/>
        </w:rPr>
      </w:pPr>
    </w:p>
    <w:p w:rsidR="004821CF" w:rsidRPr="004821CF" w:rsidRDefault="004821CF" w:rsidP="004821CF">
      <w:pPr>
        <w:pStyle w:val="SingleTxt"/>
        <w:spacing w:after="0" w:line="120" w:lineRule="exact"/>
        <w:ind w:right="0"/>
        <w:rPr>
          <w:rFonts w:hint="eastAsia"/>
          <w:sz w:val="10"/>
        </w:rPr>
      </w:pPr>
    </w:p>
    <w:p w:rsidR="004821CF" w:rsidRPr="00BD2D26" w:rsidRDefault="004821CF" w:rsidP="004821C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Sun" w:eastAsia="SimSun" w:hAnsi="SimSun" w:hint="eastAsia"/>
        </w:rPr>
      </w:pPr>
      <w:r>
        <w:rPr>
          <w:rFonts w:hint="eastAsia"/>
        </w:rPr>
        <w:tab/>
      </w:r>
      <w:r>
        <w:rPr>
          <w:rFonts w:hint="eastAsia"/>
        </w:rPr>
        <w:tab/>
      </w:r>
      <w:r w:rsidRPr="00BD2D26">
        <w:rPr>
          <w:rFonts w:hint="eastAsia"/>
        </w:rPr>
        <w:t>与审议定期报告有关的议题和问题清单：佛得角</w:t>
      </w:r>
    </w:p>
    <w:p w:rsidR="004821CF" w:rsidRPr="004821CF" w:rsidRDefault="004821CF" w:rsidP="004821CF">
      <w:pPr>
        <w:pStyle w:val="SingleTxt"/>
        <w:spacing w:after="0" w:line="120" w:lineRule="exact"/>
        <w:ind w:right="0"/>
        <w:rPr>
          <w:rFonts w:hint="eastAsia"/>
          <w:sz w:val="10"/>
        </w:rPr>
      </w:pPr>
    </w:p>
    <w:p w:rsidR="004821CF" w:rsidRPr="004821CF" w:rsidRDefault="004821CF" w:rsidP="004821CF">
      <w:pPr>
        <w:pStyle w:val="SingleTxt"/>
        <w:spacing w:after="0" w:line="120" w:lineRule="exact"/>
        <w:ind w:right="0"/>
        <w:rPr>
          <w:rFonts w:hint="eastAsia"/>
          <w:sz w:val="10"/>
        </w:rPr>
      </w:pPr>
    </w:p>
    <w:p w:rsidR="004821CF"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D2D26">
        <w:rPr>
          <w:rFonts w:hint="eastAsia"/>
        </w:rPr>
        <w:t>增编</w:t>
      </w:r>
    </w:p>
    <w:p w:rsidR="004821CF" w:rsidRPr="004821CF" w:rsidRDefault="004821CF" w:rsidP="004821CF">
      <w:pPr>
        <w:pStyle w:val="SingleTxt"/>
        <w:spacing w:after="0" w:line="120" w:lineRule="exact"/>
        <w:ind w:right="0"/>
        <w:rPr>
          <w:rFonts w:hint="eastAsia"/>
          <w:sz w:val="10"/>
        </w:rPr>
      </w:pPr>
    </w:p>
    <w:p w:rsidR="004821CF" w:rsidRPr="004821CF" w:rsidRDefault="004821CF" w:rsidP="004821CF">
      <w:pPr>
        <w:pStyle w:val="SingleTxt"/>
        <w:spacing w:after="0" w:line="120" w:lineRule="exact"/>
        <w:ind w:right="0"/>
        <w:rPr>
          <w:rFonts w:hint="eastAsia"/>
          <w:sz w:val="10"/>
        </w:rPr>
      </w:pPr>
    </w:p>
    <w:p w:rsidR="004821CF" w:rsidRPr="00175403" w:rsidRDefault="004821CF" w:rsidP="004741DA">
      <w:pPr>
        <w:framePr w:w="9792" w:h="432" w:hSpace="180" w:wrap="around" w:hAnchor="page" w:x="1210" w:yAlign="bottom"/>
        <w:spacing w:line="100" w:lineRule="exact"/>
        <w:rPr>
          <w:sz w:val="10"/>
        </w:rPr>
      </w:pPr>
    </w:p>
    <w:p w:rsidR="004821CF" w:rsidRPr="00175403" w:rsidRDefault="004821CF" w:rsidP="004741DA">
      <w:pPr>
        <w:framePr w:w="9792" w:h="432" w:hSpace="180" w:wrap="around" w:hAnchor="page" w:x="1210" w:yAlign="bottom"/>
        <w:spacing w:line="60" w:lineRule="exact"/>
        <w:rPr>
          <w:sz w:val="6"/>
        </w:rPr>
      </w:pPr>
      <w:r w:rsidRPr="00175403">
        <w:rPr>
          <w:noProof/>
          <w:sz w:val="6"/>
        </w:rPr>
        <w:pict>
          <v:line id="_x0000_s1027" style="position:absolute;left:0;text-align:left;z-index:2;mso-position-horizontal-relative:page" from="108pt,-1pt" to="180pt,-1pt" strokeweight=".25pt">
            <w10:wrap anchorx="page"/>
          </v:line>
        </w:pict>
      </w:r>
    </w:p>
    <w:p w:rsidR="004821CF" w:rsidRPr="00175403" w:rsidRDefault="004821CF" w:rsidP="004741DA">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175403">
        <w:rPr>
          <w:rFonts w:ascii="Times New Roman"/>
          <w:sz w:val="18"/>
          <w:vertAlign w:val="superscript"/>
        </w:rPr>
        <w:t>*</w:t>
      </w:r>
      <w:r>
        <w:rPr>
          <w:rFonts w:hint="eastAsia"/>
          <w:sz w:val="18"/>
        </w:rPr>
        <w:tab/>
      </w:r>
      <w:r w:rsidRPr="00175403">
        <w:rPr>
          <w:rFonts w:hint="eastAsia"/>
          <w:sz w:val="18"/>
        </w:rPr>
        <w:t>按照已通知各缔约国的报告处理办法，本文件未经编辑</w:t>
      </w:r>
      <w:r>
        <w:rPr>
          <w:rFonts w:hint="eastAsia"/>
          <w:sz w:val="18"/>
        </w:rPr>
        <w:t>。</w:t>
      </w:r>
    </w:p>
    <w:p w:rsidR="004821CF" w:rsidRPr="00175403" w:rsidRDefault="004821CF" w:rsidP="004741DA">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pacing w:val="4"/>
        </w:rPr>
      </w:pPr>
      <w:r>
        <w:rPr>
          <w:rFonts w:ascii="SimHei" w:eastAsia="SimHei" w:hint="eastAsia"/>
          <w:sz w:val="24"/>
        </w:rPr>
        <w:tab/>
      </w:r>
      <w:r>
        <w:rPr>
          <w:rFonts w:ascii="SimHei" w:eastAsia="SimHei" w:hint="eastAsia"/>
          <w:sz w:val="24"/>
        </w:rPr>
        <w:tab/>
      </w:r>
      <w:r w:rsidRPr="00175403">
        <w:rPr>
          <w:rFonts w:ascii="SimHei" w:eastAsia="SimHei" w:hint="eastAsia"/>
          <w:spacing w:val="6"/>
          <w:sz w:val="24"/>
        </w:rPr>
        <w:t>佛得角就审议其第七和第八次合并定期报告时将讨论的议题清单所作的答复</w:t>
      </w:r>
      <w:r w:rsidRPr="00BD2D26">
        <w:rPr>
          <w:rFonts w:ascii="Times New Roman"/>
          <w:vertAlign w:val="superscript"/>
        </w:rPr>
        <w:t>*</w:t>
      </w:r>
      <w:r>
        <w:rPr>
          <w:rFonts w:ascii="Times New Roman" w:hint="eastAsia"/>
          <w:vertAlign w:val="superscript"/>
        </w:rPr>
        <w:t xml:space="preserve"> </w:t>
      </w:r>
    </w:p>
    <w:p w:rsidR="004821CF" w:rsidRPr="00BD2D26"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821CF" w:rsidRPr="00BD2D26"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D2D26">
        <w:rPr>
          <w:rFonts w:hint="eastAsia"/>
        </w:rPr>
        <w:t>宪法、立法和体制框架</w:t>
      </w:r>
    </w:p>
    <w:p w:rsidR="004821CF" w:rsidRPr="00BD2D26" w:rsidRDefault="004821CF" w:rsidP="004741DA">
      <w:pPr>
        <w:pStyle w:val="SingleTxt"/>
        <w:spacing w:after="0" w:line="120" w:lineRule="exact"/>
        <w:rPr>
          <w:rFonts w:ascii="SimHei" w:eastAsia="SimHei" w:hint="eastAsia"/>
          <w:sz w:val="10"/>
        </w:rPr>
      </w:pPr>
    </w:p>
    <w:p w:rsidR="004821CF" w:rsidRDefault="004821CF" w:rsidP="004741DA">
      <w:pPr>
        <w:pStyle w:val="SingleTxt"/>
        <w:rPr>
          <w:rFonts w:hint="eastAsia"/>
        </w:rPr>
      </w:pPr>
      <w:r>
        <w:rPr>
          <w:rFonts w:ascii="SimHei" w:eastAsia="SimHei" w:hint="eastAsia"/>
        </w:rPr>
        <w:tab/>
        <w:t>1.</w:t>
      </w:r>
      <w:r>
        <w:rPr>
          <w:rFonts w:ascii="SimHei" w:eastAsia="SimHei" w:hint="eastAsia"/>
        </w:rPr>
        <w:tab/>
      </w:r>
      <w:r w:rsidRPr="00BD2D26">
        <w:rPr>
          <w:rFonts w:ascii="SimHei" w:eastAsia="SimHei" w:hint="eastAsia"/>
        </w:rPr>
        <w:t>报告</w:t>
      </w:r>
      <w:r>
        <w:rPr>
          <w:rFonts w:ascii="SimHei" w:eastAsia="SimHei" w:hint="eastAsia"/>
        </w:rPr>
        <w:t>(</w:t>
      </w:r>
      <w:r w:rsidRPr="00BD2D26">
        <w:rPr>
          <w:rFonts w:ascii="SimHei" w:eastAsia="SimHei" w:hint="eastAsia"/>
        </w:rPr>
        <w:t>第89段</w:t>
      </w:r>
      <w:r>
        <w:rPr>
          <w:rFonts w:ascii="SimHei" w:eastAsia="SimHei" w:hint="eastAsia"/>
        </w:rPr>
        <w:t>)表示，在编写报告之时，缔约国正在审查其宪法，以期“深化性别平等的原则”</w:t>
      </w:r>
      <w:r w:rsidRPr="00BD2D26">
        <w:rPr>
          <w:rFonts w:ascii="SimHei" w:eastAsia="SimHei" w:hint="eastAsia"/>
        </w:rPr>
        <w:t>。请提供最新资料，说明宪法审查过程</w:t>
      </w:r>
      <w:r>
        <w:rPr>
          <w:rFonts w:hint="eastAsia"/>
        </w:rPr>
        <w:t>。</w:t>
      </w:r>
    </w:p>
    <w:p w:rsidR="004821CF" w:rsidRDefault="004821CF" w:rsidP="004741DA">
      <w:pPr>
        <w:pStyle w:val="SingleTxt"/>
        <w:spacing w:line="340" w:lineRule="exact"/>
        <w:rPr>
          <w:rFonts w:hint="eastAsia"/>
        </w:rPr>
      </w:pPr>
      <w:r>
        <w:rPr>
          <w:rFonts w:hint="eastAsia"/>
        </w:rPr>
        <w:t>1.</w:t>
      </w:r>
      <w:r>
        <w:rPr>
          <w:rFonts w:hint="eastAsia"/>
        </w:rPr>
        <w:tab/>
        <w:t>2010年修订宪法的工作包含了由佛得角性别平等和公平研究所所作的一些贡献，其中包括消除旧《宪法》所用的一些成规定型的性别用语。因此，在提到男性和女性时，用“人”取代阳性的“男人”，用“人权”取代“男人的权利”。为说明这一点，我们引用5月3日第1/VII/2010号《宪法》第1条的用语：“佛得角是一个统一和民主的主权共和国，保证尊重人的尊严，承认不可侵犯和不可剥夺的人权是所有人类社会、和平及正义的基础”。应指出，宪法案文里仍有性别成规定型用语，因为维持了语法中阳性包含男性和女性的传统用法。</w:t>
      </w:r>
    </w:p>
    <w:p w:rsidR="004821CF" w:rsidRDefault="004821CF" w:rsidP="004741DA">
      <w:pPr>
        <w:pStyle w:val="SingleTxt"/>
        <w:spacing w:line="340" w:lineRule="exact"/>
        <w:rPr>
          <w:rFonts w:hint="eastAsia"/>
        </w:rPr>
      </w:pPr>
      <w:r>
        <w:rPr>
          <w:rFonts w:hint="eastAsia"/>
        </w:rPr>
        <w:t>2.</w:t>
      </w:r>
      <w:r>
        <w:rPr>
          <w:rFonts w:hint="eastAsia"/>
        </w:rPr>
        <w:tab/>
        <w:t>在修订过程中，保留了形式平等原则和对歧视妇女状况的承认，并明确规定，“国家的任务是，逐步去除阻碍公民享受真正机会平等的经济、社会、文化和政治障碍，特别是家庭和社会中对妇女的歧视因素”(第7条)。第47条第3款还规定，夫妻享有平等的公民权利和政治权利及义务。</w:t>
      </w:r>
    </w:p>
    <w:p w:rsidR="004821CF" w:rsidRDefault="004821CF" w:rsidP="004741DA">
      <w:pPr>
        <w:pStyle w:val="SingleTxt"/>
        <w:spacing w:line="340" w:lineRule="exact"/>
        <w:rPr>
          <w:rFonts w:hint="eastAsia"/>
        </w:rPr>
      </w:pPr>
      <w:r>
        <w:rPr>
          <w:rFonts w:hint="eastAsia"/>
        </w:rPr>
        <w:t>3.</w:t>
      </w:r>
      <w:r>
        <w:rPr>
          <w:rFonts w:hint="eastAsia"/>
        </w:rPr>
        <w:tab/>
        <w:t>就新《宪法》而言，批准了若干条例，加强了促进性别平等原则和不歧视原则，其中包括：</w:t>
      </w:r>
      <w:r>
        <w:rPr>
          <w:rFonts w:hAnsi="SimSun" w:hint="eastAsia"/>
        </w:rPr>
        <w:t xml:space="preserve">㈠ </w:t>
      </w:r>
      <w:r>
        <w:rPr>
          <w:rFonts w:hint="eastAsia"/>
        </w:rPr>
        <w:t>对媒体部门和新闻活动作出规定的8月16日第70/VII/2010号法；该法第6条(c)款规定，媒体有义务“不以歧视性的方式提及种族、宗教、性别、性取向、疾病、政治关系和社会条件”，从而使佛得角性别平等和公</w:t>
      </w:r>
      <w:r w:rsidRPr="00175403">
        <w:rPr>
          <w:rFonts w:hint="eastAsia"/>
          <w:spacing w:val="-2"/>
        </w:rPr>
        <w:t>平研究所提出的关于促进性别平等和基于性取向的非歧视建议落到了实处；以及</w:t>
      </w:r>
      <w:r w:rsidRPr="00777719">
        <w:rPr>
          <w:rFonts w:hint="eastAsia"/>
        </w:rPr>
        <w:t xml:space="preserve">㈡ </w:t>
      </w:r>
      <w:r>
        <w:rPr>
          <w:rFonts w:hint="eastAsia"/>
        </w:rPr>
        <w:t>该法规定了预防和惩处基于性别的暴力罪行的措施(1月10日第84/VII/11法)；该法第1条第1款规定，作为其中一个目标，应采取措施实施性别平等原则，并明确规定要采取能促进性别平等和消除性别或歧视性的陈规定型观念的教育措施，以保证尊重基本权利。</w:t>
      </w:r>
    </w:p>
    <w:p w:rsidR="004821CF" w:rsidRDefault="004821CF" w:rsidP="004741DA">
      <w:pPr>
        <w:pStyle w:val="SingleTxt"/>
        <w:rPr>
          <w:rFonts w:hint="eastAsia"/>
        </w:rPr>
      </w:pPr>
      <w:r>
        <w:rPr>
          <w:rFonts w:hint="eastAsia"/>
        </w:rPr>
        <w:t>4.</w:t>
      </w:r>
      <w:r>
        <w:rPr>
          <w:rFonts w:hint="eastAsia"/>
        </w:rPr>
        <w:tab/>
        <w:t>目前正在落实第84/VII/11号法的监管过程，明确规定了教育、就业、卫生、媒体和司法部门在促进性别平等和非暴力文化方面的行动原则。此外，由于女议员网络的努力，议会各政党最近公开表示会致力于拟订《对等法》。</w:t>
      </w:r>
    </w:p>
    <w:p w:rsidR="004821CF" w:rsidRDefault="004821CF" w:rsidP="004741DA">
      <w:pPr>
        <w:pStyle w:val="SingleTxt"/>
        <w:rPr>
          <w:rFonts w:hint="eastAsia"/>
        </w:rPr>
      </w:pPr>
      <w:r w:rsidRPr="0051219F">
        <w:rPr>
          <w:rFonts w:ascii="SimHei" w:eastAsia="SimHei" w:hint="eastAsia"/>
        </w:rPr>
        <w:tab/>
        <w:t>2.</w:t>
      </w:r>
      <w:r w:rsidRPr="0051219F">
        <w:rPr>
          <w:rFonts w:ascii="SimHei" w:eastAsia="SimHei" w:hint="eastAsia"/>
        </w:rPr>
        <w:tab/>
        <w:t>报告表明，部长理事会在2007年批准了《2007-2011年打击基于性别的暴力行为的国家计划》。请提供对该《国家计划》执行情况的评估资料，包括关于如何涵盖所有形式暴力行为的资料。还请提供关于该计划是否延期至2011年之后的资料</w:t>
      </w:r>
      <w:r>
        <w:rPr>
          <w:rFonts w:hint="eastAsia"/>
        </w:rPr>
        <w:t>。</w:t>
      </w:r>
    </w:p>
    <w:p w:rsidR="004821CF" w:rsidRDefault="004821CF" w:rsidP="004741DA">
      <w:pPr>
        <w:pStyle w:val="SingleTxt"/>
        <w:rPr>
          <w:rFonts w:hint="eastAsia"/>
        </w:rPr>
      </w:pPr>
      <w:r>
        <w:rPr>
          <w:rFonts w:hint="eastAsia"/>
        </w:rPr>
        <w:t>5.</w:t>
      </w:r>
      <w:r>
        <w:rPr>
          <w:rFonts w:hint="eastAsia"/>
        </w:rPr>
        <w:tab/>
        <w:t>在2011年对《2007-2011年打击基于性别的暴力行为的国家计划》及《2005-2011年性别平等和公平国家计划》进行了评价。事实上，该计划是《性别平等和公平国家计划》战略核心中的业务核心，即指导打击基于性别的暴力行为，为佛得角公共机构、民间社会和发展伙伴在基于性别的暴力行为领域进行干预提供了一个一致和系统性的框架。</w:t>
      </w:r>
    </w:p>
    <w:p w:rsidR="004821CF" w:rsidRDefault="004821CF" w:rsidP="004741DA">
      <w:pPr>
        <w:pStyle w:val="SingleTxt"/>
        <w:spacing w:line="340" w:lineRule="exact"/>
        <w:rPr>
          <w:rFonts w:hint="eastAsia"/>
        </w:rPr>
      </w:pPr>
      <w:r>
        <w:rPr>
          <w:rFonts w:hint="eastAsia"/>
        </w:rPr>
        <w:t>6.</w:t>
      </w:r>
      <w:r>
        <w:rPr>
          <w:rFonts w:hint="eastAsia"/>
        </w:rPr>
        <w:tab/>
        <w:t>对《2007-2011年打击基于性别的暴力行为的国家计划》的评价结果显示，总体来看，采用方案方法，再加上具体的逻辑框架，使得“在这一领域取得了更具战略性的业绩，同时还促进了针对这一领域的筹资工作，从而能够落实更多活动，惠及众多的受益人”。评价结果显示取得了重大进展，特别是在《计划》的5个战略支柱中的3个支柱方面：</w:t>
      </w:r>
      <w:r>
        <w:rPr>
          <w:rFonts w:hAnsi="SimSun" w:hint="eastAsia"/>
        </w:rPr>
        <w:t xml:space="preserve">㈠ </w:t>
      </w:r>
      <w:r>
        <w:rPr>
          <w:rFonts w:hint="eastAsia"/>
        </w:rPr>
        <w:t>立法；</w:t>
      </w:r>
      <w:r>
        <w:rPr>
          <w:rFonts w:hAnsi="SimSun" w:hint="eastAsia"/>
        </w:rPr>
        <w:t xml:space="preserve">㈡ </w:t>
      </w:r>
      <w:r>
        <w:rPr>
          <w:rFonts w:hint="eastAsia"/>
        </w:rPr>
        <w:t>支持和保护受害者；以及</w:t>
      </w:r>
      <w:r>
        <w:rPr>
          <w:rFonts w:hAnsi="SimSun" w:hint="eastAsia"/>
        </w:rPr>
        <w:t xml:space="preserve">㈢ </w:t>
      </w:r>
      <w:r>
        <w:rPr>
          <w:rFonts w:hint="eastAsia"/>
        </w:rPr>
        <w:t>促使男子参与打击基于性别的暴力行为。</w:t>
      </w:r>
    </w:p>
    <w:p w:rsidR="004821CF" w:rsidRDefault="004821CF" w:rsidP="004741DA">
      <w:pPr>
        <w:pStyle w:val="SingleTxt"/>
        <w:spacing w:line="340" w:lineRule="exact"/>
        <w:rPr>
          <w:rFonts w:hint="eastAsia"/>
        </w:rPr>
      </w:pPr>
      <w:r>
        <w:rPr>
          <w:rFonts w:hint="eastAsia"/>
        </w:rPr>
        <w:t>7.</w:t>
      </w:r>
      <w:r>
        <w:rPr>
          <w:rFonts w:hint="eastAsia"/>
        </w:rPr>
        <w:tab/>
        <w:t>在立法方面，通过了于2011年3月生效的《关于基于性别的暴力行为的特别法》(第84/VII/11号法)，强化了国家和公共机构在对基于性别的暴力行为方面采取预防、援助和制止措施的首要义务。该法认为基于性别的暴力行为是公诉罪(当然起诉罪)并考虑到以下形式的暴力行为：身体、心理、性、道德、家长专制方面的暴力行为及性骚扰。该法还规定各机构(法院、警察和卫生机构)需作出快速反应，包括对犯罪人采取改造措施和保证对受害者提供物质和心理支助。议会一致通过了该法律，这是进行密集的研究、合作和倡导工作后取得的成果；佛得角各政治派别和机构的众多行为体都参与其中，包括女议员网络、佛得角性别平等和公平研究所、非政府组织、向基于性别的暴力行为受害者提供支助的合作伙伴、活动家和国际组织。评价结果显示，性别平等问题的可见性出现指数级增长，特别是基于性别的暴力行为，受害者和证人举报关于基于性别的暴力行为的数量大幅度增加的现象就反映了这一点。评价结果指出，基于性别的暴力行为已不再为社会所接受，并成为道德上的谴责对象：如果以前男人可习以为常地公开承认动用暴力，现在这种做法则不被容忍。该法律把这种做法定为公诉罪(当然起诉罪)，从而使社会面临一个新的社会法律现实——男子的权威受到限制，因此有必要改变男性与女性之间的权力关系，并对传统的教育模式提出质疑。</w:t>
      </w:r>
    </w:p>
    <w:p w:rsidR="004821CF" w:rsidRDefault="004821CF" w:rsidP="004741DA">
      <w:pPr>
        <w:pStyle w:val="SingleTxt"/>
        <w:rPr>
          <w:rFonts w:hint="eastAsia"/>
        </w:rPr>
      </w:pPr>
      <w:r>
        <w:rPr>
          <w:rFonts w:hint="eastAsia"/>
        </w:rPr>
        <w:t>8.</w:t>
      </w:r>
      <w:r>
        <w:rPr>
          <w:rFonts w:hint="eastAsia"/>
        </w:rPr>
        <w:tab/>
        <w:t>在支助和保护基于性别的暴力行为受害者方面，《计划》取得的一个主要成果就是巩固并扩大了保护和援助基于性别的暴力行为受害者网络——“团结网”。在实施《计划》之前，受害者找不到合适的机构以寻求帮助、支助或伸张正义。“团结网”目前存在于9个岛屿中的6个岛屿和22个市县中的12个市县里，建立了广泛的多学科和跨机构合作伙伴关系，把不同的机构召集在一起成为合作伙伴，如警察、医院、非政府组织、法学家、司法部、佛得角性别平等和公平研究所等。截至2010年底，将近有5 886名受害者获得援助。如今，该网络每年援助的人数超过2 000名，除了快速转递关于基于性别的暴力行为的投诉外，还提供医疗服务、心理咨询、关于应享权利的信息、填写诉状方面的法律支助、专业培训、小额贷款等。国家警察在警署设立了12个基于性别的暴力行为应对小组(截至2012年底)。《计划》规划对警员进行基于性别的暴力行为的敏感性学习和关注受害者方面的培训：在2010年建立一个15人的“培训员的培训员”人才库，并在第二年对372名国家警察进行了敏感性学习及培训。对《计划》的评价结果还指出，有必要使网络制度化，并努力使支助工作更为标准化；不拘形式的网络操作，没有官僚主义障碍，这对于实现快速运作至关重要，但同时也构成了风险。评价结果指出，司法进程缓慢是一个重大挑战。为应对这一挑战，《关于基于性别的暴力行为特别法》规定，在诉讼的所有阶段起诉工作都刻不容缓，这显然有助于解决司法进程缓慢这个问题。</w:t>
      </w:r>
    </w:p>
    <w:p w:rsidR="004821CF" w:rsidRDefault="004821CF" w:rsidP="004741DA">
      <w:pPr>
        <w:pStyle w:val="SingleTxt"/>
        <w:rPr>
          <w:rFonts w:hint="eastAsia"/>
        </w:rPr>
      </w:pPr>
      <w:r>
        <w:rPr>
          <w:rFonts w:hint="eastAsia"/>
        </w:rPr>
        <w:t>9.</w:t>
      </w:r>
      <w:r>
        <w:rPr>
          <w:rFonts w:hint="eastAsia"/>
        </w:rPr>
        <w:tab/>
        <w:t>对《计划》的评价结果最后着重指出，在提高社会认识方面取得了一个显著成果：在2009年创建了男性反对暴力行为和促进性别平等的“白丝带网”。该网络最初是与加拿大非政府组织“白丝带”结成伙伴关系而建立的，现在已成为在佛得角促使男性参与打击针对妇女的暴力行为的一个最有力的工具。该团体有大约30个永久成员，另有数以百计对该事业持支持态度的男性支持者；该网络最大的成就就是成员们自己解构性别歧视思想，开展影响其他男子的工作，落实旨在提高认识和进行培训的各种行动，讨论陈规定型观念和负责任的育儿做法，特别是展开对年轻人的工作。</w:t>
      </w:r>
    </w:p>
    <w:p w:rsidR="004821CF" w:rsidRDefault="004821CF" w:rsidP="004741DA">
      <w:pPr>
        <w:pStyle w:val="SingleTxt"/>
        <w:rPr>
          <w:rFonts w:hint="eastAsia"/>
        </w:rPr>
      </w:pPr>
      <w:r>
        <w:rPr>
          <w:rFonts w:hint="eastAsia"/>
        </w:rPr>
        <w:t>10.</w:t>
      </w:r>
      <w:r>
        <w:rPr>
          <w:rFonts w:hint="eastAsia"/>
        </w:rPr>
        <w:tab/>
        <w:t>在编写《2007-2011年打击基于性别的暴力行为的国家计划》时，并没有考虑到所有形式的基于性别的暴力行为，特别是性骚扰、性虐待和贩卖妇女等问题。但在实施《计划》时，在提供服务方面则考虑到了所有形式的暴力行为。《特别法》确立的关于基于性别的暴力行为的概念克服了《计划》的局限性，填补了性骚扰(第25条)和婚内强奸(第23条第3款)之间的空白，并且克服了以前对侵害妇女的家庭暴力行为的关注仅限于《刑法典》第134条所规定的婚姻关系的问题。《特别法》涵盖了在家庭或任何亲密感情关系中(犯罪人与受害者住在一起或曾住在一起，不管是否同居)孤立或复发性的暴力行为。</w:t>
      </w:r>
    </w:p>
    <w:p w:rsidR="004821CF" w:rsidRDefault="004821CF" w:rsidP="004741DA">
      <w:pPr>
        <w:pStyle w:val="SingleTxt"/>
        <w:rPr>
          <w:rFonts w:hint="eastAsia"/>
        </w:rPr>
      </w:pPr>
      <w:r>
        <w:rPr>
          <w:rFonts w:hint="eastAsia"/>
        </w:rPr>
        <w:t>11.</w:t>
      </w:r>
      <w:r>
        <w:rPr>
          <w:rFonts w:hint="eastAsia"/>
        </w:rPr>
        <w:tab/>
        <w:t>关于延长《计划》的期限，必须考虑到2011年除了正巧是《性别平等和公平国家计划》和《打击基于性别的暴力行为的国家计划》执行期的结束年，而且还是执行《关于基于性别的暴力行为特别法》的第一年。这一状况特别要求为佛得角性别平等和公平研究所确定一个新的运作框架，使之能够对新法律所赋予的任务作出反应，并支助机构伙伴作出机构适应努力。因此，佛得角性别平等和公平研究所为2011-2012年编写了一个过渡计划——“促进性别平等的干预计划”；该计划确定了主要的行动方针，以调整行动方向，推动对话，协调并使不同结构和机构参与这一进程，把执行《特别法》作为干预行动的中心内容。佛得角性别</w:t>
      </w:r>
      <w:r w:rsidRPr="00737572">
        <w:rPr>
          <w:rFonts w:hint="eastAsia"/>
          <w:spacing w:val="8"/>
        </w:rPr>
        <w:t>平等和公平研究所根据过渡计划在2011/2012年期间执行的战略行动包括</w:t>
      </w:r>
      <w:r>
        <w:rPr>
          <w:rFonts w:hint="eastAsia"/>
        </w:rPr>
        <w:t>：</w:t>
      </w:r>
      <w:r>
        <w:rPr>
          <w:rFonts w:hAnsi="SimSun" w:hint="eastAsia"/>
        </w:rPr>
        <w:t>㈠ 《</w:t>
      </w:r>
      <w:r>
        <w:rPr>
          <w:rFonts w:hint="eastAsia"/>
        </w:rPr>
        <w:t>特别法》条例，这是落实《特别法》所预见的各种服务(受害者支助中心、支助基金、庇护所等)的关键；</w:t>
      </w:r>
      <w:r>
        <w:rPr>
          <w:rFonts w:hAnsi="SimSun" w:hint="eastAsia"/>
        </w:rPr>
        <w:t xml:space="preserve">㈡ </w:t>
      </w:r>
      <w:r>
        <w:rPr>
          <w:rFonts w:hint="eastAsia"/>
        </w:rPr>
        <w:t>机构能力建设举措，特别是国家警察(为基于性别的暴力行为案件编写程序规则、培训警员管理警方每天24小时工作的基于性别的暴力行为热线电话)并同司法部合作(培训负责对犯罪人改造方案的工作人员才人库、由监狱和重返社会局组建两个改造小组作为试点、编写并出版《关于基于性别的暴力行为特别法》注释版以确保该法律得到一致应用、就应用《关于基于性别的暴力行为特别法》培训100名以上的法官和律师；以及</w:t>
      </w:r>
      <w:r>
        <w:rPr>
          <w:rFonts w:hAnsi="SimSun" w:hint="eastAsia"/>
        </w:rPr>
        <w:t xml:space="preserve">㈢ </w:t>
      </w:r>
      <w:r>
        <w:rPr>
          <w:rFonts w:hint="eastAsia"/>
        </w:rPr>
        <w:t>通过培训培训员人才库在当地传播《特别法》、拟订方法手册和宣传材料。培训员人才库早已成倍增加了8个市县的培训数量，培训了229个当地行为体(非政府组织、社区协会、地方当局、当地服务部门)，创造了一个有利于在当地执行《特别法》的环境。</w:t>
      </w:r>
    </w:p>
    <w:p w:rsidR="004821CF" w:rsidRDefault="004821CF" w:rsidP="004741DA">
      <w:pPr>
        <w:pStyle w:val="SingleTxt"/>
        <w:rPr>
          <w:rFonts w:hint="eastAsia"/>
        </w:rPr>
      </w:pPr>
      <w:r>
        <w:rPr>
          <w:rFonts w:hint="eastAsia"/>
        </w:rPr>
        <w:t>12.</w:t>
      </w:r>
      <w:r>
        <w:rPr>
          <w:rFonts w:hint="eastAsia"/>
        </w:rPr>
        <w:tab/>
        <w:t>此外，佛得角性别平等和公平研究所开展了资源调集工作，以确保为建设各利益攸关方执行《特别法》的能力进行必要投资。为此目的设计的方案涵盖对国家应对基于性别的暴力行为的措施的可持续性具有关键意义的三个支柱：</w:t>
      </w:r>
      <w:r>
        <w:rPr>
          <w:rFonts w:hAnsi="SimSun" w:hint="eastAsia"/>
        </w:rPr>
        <w:t xml:space="preserve">㈠ </w:t>
      </w:r>
      <w:r>
        <w:rPr>
          <w:rFonts w:hint="eastAsia"/>
        </w:rPr>
        <w:t>通过开展信息、教育、宣传、民众觉悟活动的方式预防暴力，重点是由教育和媒体部门作出结构化和结构性的反应，同时继续发动新盟友，特别是男子和年轻人；</w:t>
      </w:r>
      <w:r>
        <w:rPr>
          <w:rFonts w:hAnsi="SimSun" w:hint="eastAsia"/>
        </w:rPr>
        <w:t xml:space="preserve">㈡ </w:t>
      </w:r>
      <w:r>
        <w:rPr>
          <w:rFonts w:hint="eastAsia"/>
        </w:rPr>
        <w:t>改善《特别法》所预见的各项服务的交付工作、促进部门间协调、服务提供者的能力建设和促进心理咨询、医疗救助、庇护及诉诸法律的机会；以及</w:t>
      </w:r>
      <w:r>
        <w:rPr>
          <w:rFonts w:hAnsi="SimSun" w:hint="eastAsia"/>
        </w:rPr>
        <w:t xml:space="preserve">㈢ </w:t>
      </w:r>
      <w:r>
        <w:rPr>
          <w:rFonts w:hint="eastAsia"/>
        </w:rPr>
        <w:t>加强机构应对措施，支持各层级执行多部门政策和行动计划、监测执行情况，以及改善政府官员和决策者的能力。该方案由联合国消除暴力侵害妇女行为信托基金出资，为期三年(2013年至2015年)。</w:t>
      </w:r>
    </w:p>
    <w:p w:rsidR="004821CF" w:rsidRDefault="004821CF" w:rsidP="004741DA">
      <w:pPr>
        <w:pStyle w:val="SingleTxt"/>
        <w:rPr>
          <w:rFonts w:hint="eastAsia"/>
        </w:rPr>
      </w:pPr>
      <w:r>
        <w:rPr>
          <w:rFonts w:hint="eastAsia"/>
        </w:rPr>
        <w:t>13.</w:t>
      </w:r>
      <w:r>
        <w:rPr>
          <w:rFonts w:hint="eastAsia"/>
        </w:rPr>
        <w:tab/>
      </w:r>
      <w:r w:rsidRPr="00DD180B">
        <w:rPr>
          <w:rFonts w:hint="eastAsia"/>
          <w:spacing w:val="-2"/>
        </w:rPr>
        <w:t>计划在2013年第一季度拟订一个新的打击基于性别的暴力行为的计划，以便使该领域所预见到的所有措施制度化，因为这是性别平等政策的一个关键支柱。</w:t>
      </w:r>
    </w:p>
    <w:p w:rsidR="004821CF" w:rsidRPr="00737572" w:rsidRDefault="004821CF" w:rsidP="004741DA">
      <w:pPr>
        <w:pStyle w:val="SingleTxt"/>
        <w:rPr>
          <w:rFonts w:ascii="SimHei" w:eastAsia="SimHei" w:hint="eastAsia"/>
        </w:rPr>
      </w:pPr>
      <w:r>
        <w:rPr>
          <w:rFonts w:hint="eastAsia"/>
        </w:rPr>
        <w:tab/>
      </w:r>
      <w:r w:rsidRPr="00737572">
        <w:rPr>
          <w:rFonts w:ascii="SimHei" w:eastAsia="SimHei" w:hint="eastAsia"/>
        </w:rPr>
        <w:t>3.</w:t>
      </w:r>
      <w:r w:rsidRPr="00737572">
        <w:rPr>
          <w:rFonts w:ascii="SimHei" w:eastAsia="SimHei" w:hint="eastAsia"/>
        </w:rPr>
        <w:tab/>
        <w:t>报告</w:t>
      </w:r>
      <w:r>
        <w:rPr>
          <w:rFonts w:ascii="SimHei" w:eastAsia="SimHei" w:hint="eastAsia"/>
        </w:rPr>
        <w:t>(</w:t>
      </w:r>
      <w:r w:rsidRPr="00737572">
        <w:rPr>
          <w:rFonts w:ascii="SimHei" w:eastAsia="SimHei" w:hint="eastAsia"/>
        </w:rPr>
        <w:t>第130段</w:t>
      </w:r>
      <w:r>
        <w:rPr>
          <w:rFonts w:ascii="SimHei" w:eastAsia="SimHei" w:hint="eastAsia"/>
        </w:rPr>
        <w:t>)</w:t>
      </w:r>
      <w:r w:rsidRPr="00737572">
        <w:rPr>
          <w:rFonts w:ascii="SimHei" w:eastAsia="SimHei" w:hint="eastAsia"/>
        </w:rPr>
        <w:t>表明，在编写报告之时，</w:t>
      </w:r>
      <w:r>
        <w:rPr>
          <w:rFonts w:ascii="SimHei" w:eastAsia="SimHei" w:hint="eastAsia"/>
        </w:rPr>
        <w:t>缔约国正在执行称为“</w:t>
      </w:r>
      <w:r w:rsidRPr="00737572">
        <w:rPr>
          <w:rFonts w:ascii="SimHei" w:eastAsia="SimHei" w:hint="eastAsia"/>
        </w:rPr>
        <w:t>项目+</w:t>
      </w:r>
      <w:r>
        <w:rPr>
          <w:rFonts w:ascii="SimHei" w:eastAsia="SimHei" w:hint="eastAsia"/>
        </w:rPr>
        <w:t>性别”</w:t>
      </w:r>
      <w:r w:rsidRPr="00737572">
        <w:rPr>
          <w:rFonts w:ascii="SimHei" w:eastAsia="SimHei" w:hint="eastAsia"/>
        </w:rPr>
        <w:t>的项目第一阶段，目的是引入对性别平等问题有敏感认识的规划和预算编制方法。请提供关于该项目执行情况的最新资料。</w:t>
      </w:r>
    </w:p>
    <w:p w:rsidR="004821CF" w:rsidRDefault="004821CF" w:rsidP="004741DA">
      <w:pPr>
        <w:pStyle w:val="SingleTxt"/>
        <w:rPr>
          <w:rFonts w:hint="eastAsia"/>
        </w:rPr>
      </w:pPr>
      <w:r>
        <w:rPr>
          <w:rFonts w:hint="eastAsia"/>
        </w:rPr>
        <w:t>14.</w:t>
      </w:r>
      <w:r>
        <w:rPr>
          <w:rFonts w:hint="eastAsia"/>
        </w:rPr>
        <w:tab/>
        <w:t>“项目+性别”有4个目标，全部都取得了成果。第一个目标是在公共行政部门促进发展一种机构的性别平等文化。在这一层级，可向国家改革协调股和国家减贫方案报告性别平等审计工作的执行情况；减贫方案为在开展性别平等审计工作之后改善性别平等整合工作确立了行动框架，增加了对促进性别平等项目的投资。根据性别平等审计结果确定了佛得角一个高度知名的公私合营公司——佛得角电信公司的性别平等计划。这是一个试验执行第26/2010号决议的举措；该决议批准了《国营公司和国家参与的公司的善政原则》，其第9条规定，国家拥有的公司应在进行现状分析之后通过性别平等计划，以求实现对公司男女员工的平等待遇和机会，消除歧视，并调节个人、家庭和职业生活。</w:t>
      </w:r>
    </w:p>
    <w:p w:rsidR="004821CF" w:rsidRDefault="004821CF" w:rsidP="004741DA">
      <w:pPr>
        <w:pStyle w:val="SingleTxt"/>
        <w:rPr>
          <w:rFonts w:hint="eastAsia"/>
        </w:rPr>
      </w:pPr>
      <w:r>
        <w:rPr>
          <w:rFonts w:hint="eastAsia"/>
        </w:rPr>
        <w:t>15.</w:t>
      </w:r>
      <w:r>
        <w:rPr>
          <w:rFonts w:hint="eastAsia"/>
        </w:rPr>
        <w:tab/>
        <w:t>第二个目标是将性别平等方法纳入国家和市县一级的规划和预算编制流程。执行工作包括针对行政和立法层级的行动。佛得角性别平等和公平研究所编写了题为“关于将性别平等方法有效纳入政府方案主流的建议”的文件，为每一个战略领域确定了可促进性别平等的行动。该文件通过规划、预算编制和管理事务等总局发至内阁所有成员，并让部门小组阅读；来自这些总局的35名工作人员接受了促进性别平等的规划和预算编制方面的培训，动员了10个部门(财政、农村发展、司法、内务、教育、文化、环境、权力下放、住房和国土规划、卫生、旅游、青年、就业和人力资源开发、国家改革协调)，并编写和分发了一份关于在部门一级使性别平等方法主流化的介绍手册。农村发展部举办了一个有部门小组参加的讲习班，重点是分析性别平等在《国家农业投资方案》中的主流化情况。当地行为体及民间社会伙伴参加了在2011年举办的促进性别平等的规划和预算编制方面的初始培训，目的是加强佛得角性别平等和公平研究所小组和“项目+性别”伙伴的能力。在立法层面，在举办了女议员网络的培训讲习班后，该网络为佛得角议员组织了一个为期一天的关于促进性别平等的预算编制的提高认识研讨会；该研讨会也是议会关于2013年国家预算全体会议准备工作的组成部分。在就促进性别平等的预算编制所作的建议中，值得一提的是如下建议：目前正在</w:t>
      </w:r>
      <w:r w:rsidRPr="00DD180B">
        <w:rPr>
          <w:rFonts w:hint="eastAsia"/>
          <w:spacing w:val="-2"/>
        </w:rPr>
        <w:t>审查的《预算框架法》应明确提出，需以性别平等观念来编制国家预算，政府应逐渐把该观念纳入预算方案(建议将卫生和教育部门作为试点单位来启动该进程)。</w:t>
      </w:r>
    </w:p>
    <w:p w:rsidR="004821CF" w:rsidRDefault="004821CF" w:rsidP="004741DA">
      <w:pPr>
        <w:pStyle w:val="SingleTxt"/>
        <w:rPr>
          <w:rFonts w:hint="eastAsia"/>
        </w:rPr>
      </w:pPr>
      <w:r>
        <w:rPr>
          <w:rFonts w:hint="eastAsia"/>
        </w:rPr>
        <w:t>16.</w:t>
      </w:r>
      <w:r>
        <w:rPr>
          <w:rFonts w:hint="eastAsia"/>
        </w:rPr>
        <w:tab/>
        <w:t>第三个目标是加强妇女参与把关于性别平等的要求和建议纳入不同部门和市县的规划和预算的工作。妇女非政府组织的代表参与了上述关于促进性别平等的预算编制方面的初始培训，女议员网络接受了以性别平等观念和政治参与角度分析和监测政策的培训。对该网络成员的培训是2012年启动的一个进程的组成部分，目的是确立一个性别平等优先事项议程、调动不同的决策层：</w:t>
      </w:r>
      <w:r>
        <w:rPr>
          <w:rFonts w:hAnsi="SimSun" w:hint="eastAsia"/>
        </w:rPr>
        <w:t xml:space="preserve">㈠ </w:t>
      </w:r>
      <w:r>
        <w:rPr>
          <w:rFonts w:hint="eastAsia"/>
        </w:rPr>
        <w:t>立法部门，通过女议员的参与和磋商开展立法工作；</w:t>
      </w:r>
      <w:r>
        <w:rPr>
          <w:rFonts w:hAnsi="SimSun" w:hint="eastAsia"/>
        </w:rPr>
        <w:t xml:space="preserve">㈡ </w:t>
      </w:r>
      <w:r>
        <w:rPr>
          <w:rFonts w:hint="eastAsia"/>
        </w:rPr>
        <w:t>市县一级，女候选人参与2012年的地方选举(有的当选，有的未当选)；</w:t>
      </w:r>
      <w:r>
        <w:rPr>
          <w:rFonts w:hAnsi="SimSun" w:hint="eastAsia"/>
        </w:rPr>
        <w:t xml:space="preserve">㈢ </w:t>
      </w:r>
      <w:r>
        <w:rPr>
          <w:rFonts w:hint="eastAsia"/>
        </w:rPr>
        <w:t>社区一级，确保社区协会女领导人的参与；以及</w:t>
      </w:r>
      <w:r>
        <w:rPr>
          <w:rFonts w:hAnsi="SimSun" w:hint="eastAsia"/>
        </w:rPr>
        <w:t xml:space="preserve">㈣ </w:t>
      </w:r>
      <w:r>
        <w:rPr>
          <w:rFonts w:hint="eastAsia"/>
        </w:rPr>
        <w:t>有资格的团体，使中心或大学研究团体进入性别平等领域。在目前这个试点阶段，首先由女候选人参与在两个市县——一个城市地区(首都普拉亚)和一个农村地区的地方选举，并建立一个各组织联盟，负责领导编写议程的磋商进程。</w:t>
      </w:r>
    </w:p>
    <w:p w:rsidR="004821CF" w:rsidRDefault="004821CF" w:rsidP="004741DA">
      <w:pPr>
        <w:pStyle w:val="SingleTxt"/>
        <w:rPr>
          <w:rFonts w:hint="eastAsia"/>
        </w:rPr>
      </w:pPr>
      <w:r>
        <w:rPr>
          <w:rFonts w:hint="eastAsia"/>
        </w:rPr>
        <w:t>17.</w:t>
      </w:r>
      <w:r>
        <w:rPr>
          <w:rFonts w:hint="eastAsia"/>
        </w:rPr>
        <w:tab/>
        <w:t>最后一个目标是战略性地利用统计和定性信息，以促进消除性别不平等现象。在这个层面上，通过一个纳入于2012年最后一个季度开展的《国家就业调查》的模块收集关于时间使用方面的信息。对该信息的分析将有助于改善关于女性和男性在有报酬和无报酬工作方面的经济参与及这类参与的特定性别限制因素的统计数据。根据对12个核心指标的定期监测结果设计了一个性别平等观察站，涉及各种自主权领域(决策、身体和经济)及能深度描绘不同领域情况的一整套68个指标。观察站将设在佛得角性别平等和公平研究所的网站上。</w:t>
      </w:r>
    </w:p>
    <w:p w:rsidR="004821CF" w:rsidRPr="00737572" w:rsidRDefault="004821CF" w:rsidP="004741DA">
      <w:pPr>
        <w:pStyle w:val="SingleTxt"/>
        <w:rPr>
          <w:rFonts w:ascii="SimHei" w:eastAsia="SimHei" w:hint="eastAsia"/>
        </w:rPr>
      </w:pPr>
      <w:r>
        <w:rPr>
          <w:rFonts w:hint="eastAsia"/>
        </w:rPr>
        <w:tab/>
      </w:r>
      <w:r w:rsidRPr="00737572">
        <w:rPr>
          <w:rFonts w:ascii="SimHei" w:eastAsia="SimHei" w:hint="eastAsia"/>
        </w:rPr>
        <w:t>4.</w:t>
      </w:r>
      <w:r w:rsidRPr="00737572">
        <w:rPr>
          <w:rFonts w:ascii="SimHei" w:eastAsia="SimHei" w:hint="eastAsia"/>
        </w:rPr>
        <w:tab/>
        <w:t>报告第93段显示，已执行了《2005-2011年性别平等和公平国家计划》。请提供资料说明所取得的成果和在执行过程中面临的挑战，以及是否将该计划的期限延长至2011年以后。</w:t>
      </w:r>
    </w:p>
    <w:p w:rsidR="004821CF" w:rsidRDefault="004821CF" w:rsidP="004741DA">
      <w:pPr>
        <w:pStyle w:val="SingleTxt"/>
        <w:rPr>
          <w:rFonts w:hint="eastAsia"/>
        </w:rPr>
      </w:pPr>
      <w:r>
        <w:rPr>
          <w:rFonts w:hint="eastAsia"/>
        </w:rPr>
        <w:t>18.</w:t>
      </w:r>
      <w:r>
        <w:rPr>
          <w:rFonts w:hint="eastAsia"/>
        </w:rPr>
        <w:tab/>
        <w:t>对《性别平等和公平国家计划》执行情况的评价显示取得了以下成果：</w:t>
      </w:r>
      <w:r>
        <w:rPr>
          <w:rFonts w:hAnsi="SimSun" w:hint="eastAsia"/>
        </w:rPr>
        <w:t xml:space="preserve">㈠ </w:t>
      </w:r>
      <w:r>
        <w:rPr>
          <w:rFonts w:hint="eastAsia"/>
        </w:rPr>
        <w:t>引入了性别平等框架(从女权问题转成为社会和经济平衡发展的问题)；</w:t>
      </w:r>
      <w:r>
        <w:rPr>
          <w:rFonts w:hAnsi="SimSun" w:hint="eastAsia"/>
        </w:rPr>
        <w:t xml:space="preserve">㈡ </w:t>
      </w:r>
      <w:r>
        <w:rPr>
          <w:rFonts w:hint="eastAsia"/>
        </w:rPr>
        <w:t>性别平等问题的可见度发生了变化，成为公共议程和政治议程的组成部分；</w:t>
      </w:r>
      <w:r>
        <w:rPr>
          <w:rFonts w:hAnsi="SimSun" w:hint="eastAsia"/>
        </w:rPr>
        <w:t xml:space="preserve">㈢ </w:t>
      </w:r>
      <w:r>
        <w:rPr>
          <w:rFonts w:hint="eastAsia"/>
        </w:rPr>
        <w:t>成为佛得角向联合国定期提交报告的第一个主题(通过《消除对妇女一切形式歧视公约》报告)；以及</w:t>
      </w:r>
      <w:r>
        <w:rPr>
          <w:rFonts w:hAnsi="SimSun" w:hint="eastAsia"/>
        </w:rPr>
        <w:t xml:space="preserve">㈣ </w:t>
      </w:r>
      <w:r>
        <w:rPr>
          <w:rFonts w:hint="eastAsia"/>
        </w:rPr>
        <w:t>成为政府与非政府组织及其受益者加强协调开展工作的领域。</w:t>
      </w:r>
    </w:p>
    <w:p w:rsidR="004821CF" w:rsidRDefault="004821CF" w:rsidP="004741DA">
      <w:pPr>
        <w:pStyle w:val="SingleTxt"/>
        <w:rPr>
          <w:rFonts w:hint="eastAsia"/>
        </w:rPr>
      </w:pPr>
      <w:r>
        <w:rPr>
          <w:rFonts w:hint="eastAsia"/>
        </w:rPr>
        <w:t>19.</w:t>
      </w:r>
      <w:r>
        <w:rPr>
          <w:rFonts w:hint="eastAsia"/>
        </w:rPr>
        <w:tab/>
        <w:t>《性别平等和公平国家计划》促进了政府和非政府组织在以下方面的能力发展：专门技术知识和管理技能、网络联系和向目标人群提供服务、改善可向性别平等和公平领域里的群众提供的服务。在国家统计研究所所有工作中和在其他公共组织开展的研究工作中采用按性别分类的数据方面也取得了重大进展。在立法层面上，创立和修订了明确针对妇女权利和/或平等措施的法律。考虑到需要将某些行动作为优先事项并鉴于可用的资源有限，已将《性别平等和公平国家计划》的某些支柱作为优先事项，特别是基于性别的暴力行为，这是因为考虑到其作为全面切入点所具有的价值，其次是教育、卫生、媒体、政治参与和性别平等主流化，当然在某种程度上对经济部门的干预支柱产生了不利影响。</w:t>
      </w:r>
    </w:p>
    <w:p w:rsidR="004821CF" w:rsidRDefault="004821CF" w:rsidP="004741DA">
      <w:pPr>
        <w:pStyle w:val="SingleTxt"/>
        <w:rPr>
          <w:rFonts w:hint="eastAsia"/>
        </w:rPr>
      </w:pPr>
      <w:r>
        <w:rPr>
          <w:rFonts w:hint="eastAsia"/>
        </w:rPr>
        <w:t>20.</w:t>
      </w:r>
      <w:r>
        <w:rPr>
          <w:rFonts w:hint="eastAsia"/>
        </w:rPr>
        <w:tab/>
        <w:t>评价结果突显了在执行《性别平等和公平国家计划》整个过程中所面临的若干挑战：保证关键伙伴作出承诺，以实现成果的可持续性；提高决策者的敏感性，这是拨款的一个关键要素；确保提供分类数据和性别平等指标，以显示不平等现象和作出知情的规划；设计和落实定期监测和评价系统，汇编经验教训，重点是成果和已开展的活动；对《性别平等和公平国家计划》的其他支柱(在基于性别的暴力行为之外)采用方案方法；确保为执行性别平等政策提供足够技术和财政资源；以及扩大提高认识和社会动员的范围，同时要考虑到这一层面的最佳做法。</w:t>
      </w:r>
    </w:p>
    <w:p w:rsidR="004821CF" w:rsidRDefault="004821CF" w:rsidP="004741DA">
      <w:pPr>
        <w:pStyle w:val="SingleTxt"/>
      </w:pPr>
      <w:r>
        <w:rPr>
          <w:rFonts w:hint="eastAsia"/>
        </w:rPr>
        <w:t>21.</w:t>
      </w:r>
      <w:r>
        <w:rPr>
          <w:rFonts w:hint="eastAsia"/>
        </w:rPr>
        <w:tab/>
        <w:t>关于延长《计划》期限，佛得角性别平等和公平研究所编制了2011-2012年过渡计划——“促进性别平等的干预计划”，目的是对过渡时期作出适当规划，同时考虑到《性别平等和公平国家计划》的执行期已结束、2011年立法选举和需要调整性别平等政策以符合新一届政府的政府方案，以及2011年是实施《关于基于性别的暴力行为特别法》第一年。计划在2013年第一季度制订一项新的性别平等政策。</w:t>
      </w:r>
    </w:p>
    <w:p w:rsidR="004821CF" w:rsidRPr="000F21D8"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F21D8">
        <w:rPr>
          <w:rFonts w:hint="eastAsia"/>
        </w:rPr>
        <w:t>国家人权机构</w:t>
      </w:r>
    </w:p>
    <w:p w:rsidR="004821CF" w:rsidRPr="00E37F88" w:rsidRDefault="004821CF" w:rsidP="004741DA">
      <w:pPr>
        <w:pStyle w:val="SingleTxt"/>
        <w:spacing w:after="0" w:line="120" w:lineRule="exact"/>
        <w:rPr>
          <w:rFonts w:hint="eastAsia"/>
          <w:sz w:val="10"/>
        </w:rPr>
      </w:pPr>
    </w:p>
    <w:p w:rsidR="004821CF" w:rsidRPr="00E37F88" w:rsidRDefault="004821CF" w:rsidP="004741DA">
      <w:pPr>
        <w:pStyle w:val="SingleTxt"/>
        <w:rPr>
          <w:rFonts w:ascii="SimHei" w:eastAsia="SimHei" w:hint="eastAsia"/>
        </w:rPr>
      </w:pPr>
      <w:r w:rsidRPr="00E37F88">
        <w:rPr>
          <w:rFonts w:ascii="SimHei" w:eastAsia="SimHei" w:hint="eastAsia"/>
        </w:rPr>
        <w:tab/>
        <w:t>5.</w:t>
      </w:r>
      <w:r w:rsidRPr="00E37F88">
        <w:rPr>
          <w:rFonts w:ascii="SimHei" w:eastAsia="SimHei" w:hint="eastAsia"/>
        </w:rPr>
        <w:tab/>
        <w:t>请说明缔约国是否打算建立一个担负按照《巴黎原则》促进和保护所有人权任务的国家人权机构。还请提供资料，说明有关加强国家人权和公民事务委员会任务和职能的计划。</w:t>
      </w:r>
    </w:p>
    <w:p w:rsidR="004821CF" w:rsidRDefault="004821CF" w:rsidP="004741DA">
      <w:pPr>
        <w:pStyle w:val="SingleTxt"/>
        <w:rPr>
          <w:rFonts w:hint="eastAsia"/>
        </w:rPr>
      </w:pPr>
      <w:r>
        <w:rPr>
          <w:rFonts w:hint="eastAsia"/>
        </w:rPr>
        <w:t>22.</w:t>
      </w:r>
      <w:r>
        <w:rPr>
          <w:rFonts w:hint="eastAsia"/>
        </w:rPr>
        <w:tab/>
        <w:t>起草了一个修订国家人权和公民事务委员会章程的提案，以确保更好地遵守《巴黎原则》，加强其职能和任务。提交给司法部的修订章程提案提议：由专员委员会选举主席，而不是像现行机制根据司法部的提案由总理任命主席；国家人权和公民事务委员会在向财政部提交预算方面享有实际独立地位(目前通过司法部提交)；根据法律正式落实国家人权和公民事务委员会的新结构；向国民议会和政府提交年度报告(目前向政府提交年度报告)；国家人权和公民事务委员会主席任期连任的可能性(6+6年)；在专员大会里引入1名文化部的代表；国家人权和公民事务委员会的3个机关(主席、专员委员会和专员大会)——在目前的国家人权和公民事务委员会章程里，只有主席和专员委员会被认为是机关；为国家人权和公民事务委员会建立以下支助部门：主席办公室、行政和财务部，以及技术部；加强国家人权和公民事务委员会的人事框架，以期能满足对服务的日益增长的需求。</w:t>
      </w:r>
    </w:p>
    <w:p w:rsidR="004821CF" w:rsidRDefault="004821CF" w:rsidP="004741DA">
      <w:pPr>
        <w:pStyle w:val="SingleTxt"/>
        <w:rPr>
          <w:rFonts w:hint="eastAsia"/>
        </w:rPr>
      </w:pPr>
      <w:r>
        <w:rPr>
          <w:rFonts w:hint="eastAsia"/>
        </w:rPr>
        <w:t>23.</w:t>
      </w:r>
      <w:r>
        <w:rPr>
          <w:rFonts w:hint="eastAsia"/>
        </w:rPr>
        <w:tab/>
        <w:t>尽管国家人权和公民事务委员会目前的地位不完全符合《巴黎原则》，但这是一个建立在多元化基础之上的机构，担负着一些符合《巴黎原则》的职能，特别是在教育、咨询和调查职能方面，以完成其在促进和加强尊重人权和加深公民意识方面的任务，以及在人权和国际人道主义法领域发挥监督、预警、咨询、监测和调查机构的作用。</w:t>
      </w:r>
    </w:p>
    <w:p w:rsidR="004821CF" w:rsidRDefault="004821CF" w:rsidP="004741DA">
      <w:pPr>
        <w:pStyle w:val="SingleTxt"/>
        <w:rPr>
          <w:rFonts w:hint="eastAsia"/>
        </w:rPr>
      </w:pPr>
      <w:r>
        <w:rPr>
          <w:rFonts w:hint="eastAsia"/>
        </w:rPr>
        <w:t>24.</w:t>
      </w:r>
      <w:r>
        <w:rPr>
          <w:rFonts w:hint="eastAsia"/>
        </w:rPr>
        <w:tab/>
        <w:t>因此委员会每天都关注侵犯人权的案件，就具体问题向政府提出建议，开展人权和公民意识培训班和提高认识班，编写关于公民意识和人权的系列出版物，编写涵盖2004-2010年期间的第一次国家人权报告，以及采取其他行动。</w:t>
      </w:r>
    </w:p>
    <w:p w:rsidR="004821CF" w:rsidRPr="000F21D8"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F21D8">
        <w:rPr>
          <w:rFonts w:hint="eastAsia"/>
        </w:rPr>
        <w:t>暴力侵害妇女行为</w:t>
      </w:r>
    </w:p>
    <w:p w:rsidR="004821CF" w:rsidRPr="00E37F88" w:rsidRDefault="004821CF" w:rsidP="004741DA">
      <w:pPr>
        <w:pStyle w:val="SingleTxt"/>
        <w:spacing w:after="0" w:line="120" w:lineRule="exact"/>
        <w:rPr>
          <w:rFonts w:ascii="SimHei" w:eastAsia="SimHei" w:hint="eastAsia"/>
          <w:sz w:val="10"/>
        </w:rPr>
      </w:pPr>
    </w:p>
    <w:p w:rsidR="004821CF" w:rsidRPr="00E37F88" w:rsidRDefault="004821CF" w:rsidP="004741DA">
      <w:pPr>
        <w:pStyle w:val="SingleTxt"/>
        <w:rPr>
          <w:rFonts w:ascii="SimHei" w:eastAsia="SimHei" w:hint="eastAsia"/>
        </w:rPr>
      </w:pPr>
      <w:r>
        <w:rPr>
          <w:rFonts w:ascii="SimHei" w:eastAsia="SimHei" w:hint="eastAsia"/>
        </w:rPr>
        <w:tab/>
      </w:r>
      <w:r w:rsidRPr="00E37F88">
        <w:rPr>
          <w:rFonts w:ascii="SimHei" w:eastAsia="SimHei" w:hint="eastAsia"/>
        </w:rPr>
        <w:t>6.</w:t>
      </w:r>
      <w:r w:rsidRPr="00E37F88">
        <w:rPr>
          <w:rFonts w:ascii="SimHei" w:eastAsia="SimHei" w:hint="eastAsia"/>
        </w:rPr>
        <w:tab/>
        <w:t>报告</w:t>
      </w:r>
      <w:r>
        <w:rPr>
          <w:rFonts w:ascii="SimHei" w:eastAsia="SimHei" w:hint="eastAsia"/>
        </w:rPr>
        <w:t>(</w:t>
      </w:r>
      <w:r w:rsidRPr="00E37F88">
        <w:rPr>
          <w:rFonts w:ascii="SimHei" w:eastAsia="SimHei" w:hint="eastAsia"/>
        </w:rPr>
        <w:t>第155段</w:t>
      </w:r>
      <w:r>
        <w:rPr>
          <w:rFonts w:ascii="SimHei" w:eastAsia="SimHei" w:hint="eastAsia"/>
        </w:rPr>
        <w:t>)</w:t>
      </w:r>
      <w:r w:rsidRPr="00E37F88">
        <w:rPr>
          <w:rFonts w:ascii="SimHei" w:eastAsia="SimHei" w:hint="eastAsia"/>
        </w:rPr>
        <w:t>表明，已经执行了旨在加强治安法官在处理基于性别的暴力行为案件方面能力的法证心理学项目。报告还指出，对50名治安法官进行了法证心理学方面的培训，26名法证心理学家经认证可直接与法院开展工作。请提供资料，说明自执行该项目以来在基于性别的暴力行为案件方面的起诉、定罪和判刑数量，并提供资料说明所侦查到的暴力行为的形式。</w:t>
      </w:r>
    </w:p>
    <w:p w:rsidR="004821CF" w:rsidRDefault="004821CF" w:rsidP="004741DA">
      <w:pPr>
        <w:pStyle w:val="SingleTxt"/>
        <w:rPr>
          <w:rFonts w:hint="eastAsia"/>
        </w:rPr>
      </w:pPr>
      <w:r>
        <w:rPr>
          <w:rFonts w:hint="eastAsia"/>
        </w:rPr>
        <w:t>25.</w:t>
      </w:r>
      <w:r>
        <w:rPr>
          <w:rFonts w:hint="eastAsia"/>
        </w:rPr>
        <w:tab/>
        <w:t>在提高认识和加强法官能力方面的进展是一个持续进程，法证心理学项目开始后又举办了有将近100名治安法官参加的4期讲习班(2011年12月举办了2期，2012年11月举办了2期)；佛得角性别平等和公平研究所出版了《关于基于性别的暴力行为特别法》注释版(2011年1月10日第84/VII/11号法)，为《特别法》得到一致应用作出了贡献，通过改善对有关机制的解释和适用，对基于性别的暴力行为受害者需求的反应作出了有利于受害者的调整。此外，《特别法》执行方案把参与执行《特别法》的不同行为体(包括法官)的持续能力建设进程定为是一项战略原则。</w:t>
      </w:r>
    </w:p>
    <w:p w:rsidR="004821CF" w:rsidRDefault="004821CF" w:rsidP="004741DA">
      <w:pPr>
        <w:pStyle w:val="SingleTxt"/>
        <w:rPr>
          <w:rFonts w:hint="eastAsia"/>
        </w:rPr>
      </w:pPr>
      <w:r>
        <w:rPr>
          <w:rFonts w:hint="eastAsia"/>
        </w:rPr>
        <w:t>26.</w:t>
      </w:r>
      <w:r>
        <w:rPr>
          <w:rFonts w:hint="eastAsia"/>
        </w:rPr>
        <w:tab/>
        <w:t>关于起诉和审判案件的数量，在《关于基于性别的暴力行为特别法》生效之前，总检察长办公室和治安法官最高委员会的报告对具体的基于性别的暴力行为案件是不加区分的。只有在《特别法》生效之后，这些案件才得到区分，但这类报告尚未载入具体说明已犯下的基于性别的暴力行为类型的资料。</w:t>
      </w:r>
    </w:p>
    <w:p w:rsidR="004821CF" w:rsidRDefault="004821CF" w:rsidP="004741DA">
      <w:pPr>
        <w:pStyle w:val="SingleTxt"/>
        <w:rPr>
          <w:rFonts w:hint="eastAsia"/>
        </w:rPr>
      </w:pPr>
      <w:r>
        <w:rPr>
          <w:rFonts w:hint="eastAsia"/>
        </w:rPr>
        <w:t>27.</w:t>
      </w:r>
      <w:r>
        <w:rPr>
          <w:rFonts w:hint="eastAsia"/>
        </w:rPr>
        <w:tab/>
        <w:t>总检察长办公室提供的数据表明，诉诸法律的案件数量很大(2011年有2 607件；2012年上半年有1 181件)，有相当数量的案件在当年结案(2011年为42%)。死于亲密伴侣之手的妇女人数有所下降(2011年有3位，而2010年和2009年则分别为6位和7位，之前数年的数字更高)。国家统计研究所与司法部、国家警察和佛得角性别平等和公平研究所合作正在收集司法和国内行政领域的行政统计数据，并正在创建一个性别平等观察站，以期能获得性别暴力领域的准确信息。</w:t>
      </w:r>
    </w:p>
    <w:p w:rsidR="004821CF" w:rsidRDefault="004821CF" w:rsidP="004741DA">
      <w:pPr>
        <w:pStyle w:val="SingleTxt"/>
        <w:rPr>
          <w:rFonts w:hint="eastAsia"/>
        </w:rPr>
      </w:pPr>
      <w:r>
        <w:rPr>
          <w:rFonts w:hint="eastAsia"/>
        </w:rPr>
        <w:t>28.</w:t>
      </w:r>
      <w:r>
        <w:rPr>
          <w:rFonts w:hint="eastAsia"/>
        </w:rPr>
        <w:tab/>
      </w:r>
      <w:r w:rsidRPr="00DD180B">
        <w:rPr>
          <w:rFonts w:hint="eastAsia"/>
          <w:spacing w:val="-3"/>
        </w:rPr>
        <w:t>议会在2012年通过关于创建资产追回办公室的法律(9月13日第18/VIII/2012</w:t>
      </w:r>
      <w:r>
        <w:rPr>
          <w:rFonts w:hint="eastAsia"/>
        </w:rPr>
        <w:t>号法)批准了一个条款，把从管理没收财产所产生的收益或宣布由国家没收的财产中的15%用于打击基于性别的暴力行为。</w:t>
      </w:r>
    </w:p>
    <w:p w:rsidR="004821CF"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Pr>
          <w:rFonts w:hint="eastAsia"/>
        </w:rPr>
        <w:tab/>
      </w:r>
      <w:r w:rsidRPr="00043AE2">
        <w:rPr>
          <w:rFonts w:hint="eastAsia"/>
        </w:rPr>
        <w:t>贩卖和利用妇女卖淫营利</w:t>
      </w:r>
    </w:p>
    <w:p w:rsidR="004821CF" w:rsidRPr="00043AE2" w:rsidRDefault="004821CF" w:rsidP="004741DA">
      <w:pPr>
        <w:pStyle w:val="SingleTxt"/>
        <w:spacing w:after="0" w:line="120" w:lineRule="exact"/>
        <w:rPr>
          <w:rFonts w:hint="eastAsia"/>
          <w:sz w:val="10"/>
        </w:rPr>
      </w:pPr>
    </w:p>
    <w:p w:rsidR="004821CF" w:rsidRPr="00043AE2" w:rsidRDefault="004821CF" w:rsidP="004741DA">
      <w:pPr>
        <w:pStyle w:val="SingleTxt"/>
        <w:rPr>
          <w:rFonts w:ascii="SimHei" w:eastAsia="SimHei" w:hint="eastAsia"/>
        </w:rPr>
      </w:pPr>
      <w:r w:rsidRPr="00043AE2">
        <w:rPr>
          <w:rFonts w:ascii="SimHei" w:eastAsia="SimHei" w:hint="eastAsia"/>
        </w:rPr>
        <w:tab/>
        <w:t>7.</w:t>
      </w:r>
      <w:r w:rsidRPr="00043AE2">
        <w:rPr>
          <w:rFonts w:ascii="SimHei" w:eastAsia="SimHei" w:hint="eastAsia"/>
        </w:rPr>
        <w:tab/>
        <w:t>报告</w:t>
      </w:r>
      <w:r>
        <w:rPr>
          <w:rFonts w:ascii="SimHei" w:eastAsia="SimHei" w:hint="eastAsia"/>
        </w:rPr>
        <w:t>(</w:t>
      </w:r>
      <w:r w:rsidRPr="00043AE2">
        <w:rPr>
          <w:rFonts w:ascii="SimHei" w:eastAsia="SimHei" w:hint="eastAsia"/>
        </w:rPr>
        <w:t>第174和第175段</w:t>
      </w:r>
      <w:r>
        <w:rPr>
          <w:rFonts w:ascii="SimHei" w:eastAsia="SimHei" w:hint="eastAsia"/>
        </w:rPr>
        <w:t>)</w:t>
      </w:r>
      <w:r w:rsidRPr="00043AE2">
        <w:rPr>
          <w:rFonts w:ascii="SimHei" w:eastAsia="SimHei" w:hint="eastAsia"/>
        </w:rPr>
        <w:t>提到联合国毒品和犯罪办公室根据《联合国打击跨国有组织犯罪公约》更新国家立法的区域项目。请提供资料，说明该项目的成果以及执行过程中面临的挑战。还请告知委员会是否已经根据该项目的设想，从性别平等的角度起草了关于非法贩运人口</w:t>
      </w:r>
      <w:r>
        <w:rPr>
          <w:rFonts w:ascii="SimHei" w:eastAsia="SimHei" w:hint="eastAsia"/>
        </w:rPr>
        <w:t>(</w:t>
      </w:r>
      <w:r w:rsidRPr="00043AE2">
        <w:rPr>
          <w:rFonts w:ascii="SimHei" w:eastAsia="SimHei" w:hint="eastAsia"/>
        </w:rPr>
        <w:t>包括移民</w:t>
      </w:r>
      <w:r>
        <w:rPr>
          <w:rFonts w:ascii="SimHei" w:eastAsia="SimHei" w:hint="eastAsia"/>
        </w:rPr>
        <w:t>)</w:t>
      </w:r>
      <w:r w:rsidRPr="00043AE2">
        <w:rPr>
          <w:rFonts w:ascii="SimHei" w:eastAsia="SimHei" w:hint="eastAsia"/>
        </w:rPr>
        <w:t>的立法，以及是否开展了官员的相关能力建设。</w:t>
      </w:r>
    </w:p>
    <w:p w:rsidR="004821CF" w:rsidRDefault="004821CF" w:rsidP="004741DA">
      <w:pPr>
        <w:pStyle w:val="SingleTxt"/>
        <w:rPr>
          <w:rFonts w:hint="eastAsia"/>
        </w:rPr>
      </w:pPr>
      <w:r>
        <w:rPr>
          <w:rFonts w:hint="eastAsia"/>
        </w:rPr>
        <w:t>29.</w:t>
      </w:r>
      <w:r>
        <w:rPr>
          <w:rFonts w:hint="eastAsia"/>
        </w:rPr>
        <w:tab/>
        <w:t>报告提到的联合国毒品和犯罪办公室项目在IMPACT方案(非正常移民PACT方案)的框架范围内，包括IMPACT LED(法律发展)和IMPACT LEN(执法能力建设)两个组成部分，主要目标是修订法律框架和加强执法警员对偷运移民行为的处理能力。在佛得角，根据IMPACT LED的内容，已起草了一个关于偷运移民行为的法案草案，目的是落实《联合国打击跨国有组织犯罪公约》附加议定书，打击路上、海上和空中偷运移民的行为。该法案包括若干关于贩卖人口的条款。该法律草案已向社会公布，在2012年3月的一次讲习班中进行了讨论，并已提交议会。</w:t>
      </w:r>
    </w:p>
    <w:p w:rsidR="004821CF" w:rsidRDefault="004821CF" w:rsidP="004741DA">
      <w:pPr>
        <w:pStyle w:val="SingleTxt"/>
        <w:rPr>
          <w:rFonts w:hint="eastAsia"/>
        </w:rPr>
      </w:pPr>
      <w:r>
        <w:rPr>
          <w:rFonts w:hint="eastAsia"/>
        </w:rPr>
        <w:t>30.</w:t>
      </w:r>
      <w:r>
        <w:rPr>
          <w:rFonts w:hint="eastAsia"/>
        </w:rPr>
        <w:tab/>
        <w:t>根据IMPACT LEN的内容，修订了关于偷运移民问题初期培训的培训手册，以便将该手册纳入国家培训课程，并对佛得角和几内亚比绍的培训员进行了在对偷运移民和贩卖人口问题进行调查、起诉和国际合作方面的培训。</w:t>
      </w:r>
    </w:p>
    <w:p w:rsidR="004821CF"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43AE2">
        <w:rPr>
          <w:rFonts w:hint="eastAsia"/>
        </w:rPr>
        <w:t>参与政治和公共生活</w:t>
      </w:r>
    </w:p>
    <w:p w:rsidR="004821CF" w:rsidRPr="00043AE2" w:rsidRDefault="004821CF" w:rsidP="004741DA">
      <w:pPr>
        <w:pStyle w:val="SingleTxt"/>
        <w:spacing w:after="0" w:line="120" w:lineRule="exact"/>
        <w:rPr>
          <w:rFonts w:hint="eastAsia"/>
          <w:sz w:val="10"/>
        </w:rPr>
      </w:pPr>
    </w:p>
    <w:p w:rsidR="004821CF" w:rsidRPr="00043AE2" w:rsidRDefault="004821CF" w:rsidP="004741DA">
      <w:pPr>
        <w:pStyle w:val="SingleTxt"/>
        <w:rPr>
          <w:rFonts w:ascii="SimHei" w:eastAsia="SimHei" w:hint="eastAsia"/>
        </w:rPr>
      </w:pPr>
      <w:r w:rsidRPr="00043AE2">
        <w:rPr>
          <w:rFonts w:ascii="SimHei" w:eastAsia="SimHei" w:hint="eastAsia"/>
        </w:rPr>
        <w:tab/>
        <w:t>8.</w:t>
      </w:r>
      <w:r w:rsidRPr="00043AE2">
        <w:rPr>
          <w:rFonts w:ascii="SimHei" w:eastAsia="SimHei" w:hint="eastAsia"/>
        </w:rPr>
        <w:tab/>
        <w:t>报告表示</w:t>
      </w:r>
      <w:r>
        <w:rPr>
          <w:rFonts w:ascii="SimHei" w:eastAsia="SimHei" w:hint="eastAsia"/>
        </w:rPr>
        <w:t>(</w:t>
      </w:r>
      <w:r w:rsidRPr="00043AE2">
        <w:rPr>
          <w:rFonts w:ascii="SimHei" w:eastAsia="SimHei" w:hint="eastAsia"/>
        </w:rPr>
        <w:t>第46和第47段</w:t>
      </w:r>
      <w:r>
        <w:rPr>
          <w:rFonts w:ascii="SimHei" w:eastAsia="SimHei" w:hint="eastAsia"/>
        </w:rPr>
        <w:t>)</w:t>
      </w:r>
      <w:r w:rsidRPr="00043AE2">
        <w:rPr>
          <w:rFonts w:ascii="SimHei" w:eastAsia="SimHei" w:hint="eastAsia"/>
        </w:rPr>
        <w:t>，妇女在议会的任职比例为15.2%，在市县当局的任职比例为22.2%，在政党领导部门的任职比例为21.7%，在雇主组织的任职比例为20.8%。报告</w:t>
      </w:r>
      <w:r>
        <w:rPr>
          <w:rFonts w:ascii="SimHei" w:eastAsia="SimHei" w:hint="eastAsia"/>
        </w:rPr>
        <w:t>(</w:t>
      </w:r>
      <w:r w:rsidRPr="00043AE2">
        <w:rPr>
          <w:rFonts w:ascii="SimHei" w:eastAsia="SimHei" w:hint="eastAsia"/>
        </w:rPr>
        <w:t>第190段</w:t>
      </w:r>
      <w:r>
        <w:rPr>
          <w:rFonts w:ascii="SimHei" w:eastAsia="SimHei" w:hint="eastAsia"/>
        </w:rPr>
        <w:t>)</w:t>
      </w:r>
      <w:r w:rsidRPr="00043AE2">
        <w:rPr>
          <w:rFonts w:ascii="SimHei" w:eastAsia="SimHei" w:hint="eastAsia"/>
        </w:rPr>
        <w:t>进一步承认，妇女在该缔约国外交使团最高层职位中的代表性仍然偏低。请提供资料，说明为了提高妇女在政治和公共生活所有领域的参与性，包括对外交和国际事务的参与程度所采取的措施，包括暂行特别措施。</w:t>
      </w:r>
    </w:p>
    <w:p w:rsidR="004821CF" w:rsidRDefault="004821CF" w:rsidP="004741DA">
      <w:pPr>
        <w:pStyle w:val="SingleTxt"/>
        <w:rPr>
          <w:rFonts w:hint="eastAsia"/>
        </w:rPr>
      </w:pPr>
      <w:r>
        <w:rPr>
          <w:rFonts w:hint="eastAsia"/>
        </w:rPr>
        <w:t>31.</w:t>
      </w:r>
      <w:r>
        <w:rPr>
          <w:rFonts w:hint="eastAsia"/>
        </w:rPr>
        <w:tab/>
        <w:t>在佛得角，自2008年以来，内阁的组成已实现性别均等，妇女在关键部委任职，如财政、内部行政、农村发展和渔业、教育、卫生等。此外，除了报告提到的为增加参与政治和公共生活所有领域的妇女人数所作出的努力外，在2010年和2011年还在领导层的参与下开展了各种提高妇女在政权机关代表性的活动。</w:t>
      </w:r>
    </w:p>
    <w:p w:rsidR="004821CF" w:rsidRDefault="004821CF" w:rsidP="004741DA">
      <w:pPr>
        <w:pStyle w:val="SingleTxt"/>
        <w:rPr>
          <w:rFonts w:hint="eastAsia"/>
        </w:rPr>
      </w:pPr>
      <w:r>
        <w:rPr>
          <w:rFonts w:hint="eastAsia"/>
        </w:rPr>
        <w:t>32.</w:t>
      </w:r>
      <w:r>
        <w:rPr>
          <w:rFonts w:hint="eastAsia"/>
        </w:rPr>
        <w:tab/>
        <w:t>这些行动包括举行了一次得到媒体广泛报道的议会大会，会上不仅讨论了佛</w:t>
      </w:r>
      <w:r w:rsidRPr="00DD180B">
        <w:rPr>
          <w:rFonts w:hint="eastAsia"/>
          <w:spacing w:val="-2"/>
        </w:rPr>
        <w:t>得角的现状，而且还介绍了卢旺达和西班牙的经验和进程。此外，对各政党领导人展开了宣传活动。2011年2月举行立法选举后，妇女在议会的代表性从15.1%上升到20.8%。在2011年6月的地方选举中，竞选市县领导职位的女候选人人数有所增加(从2008年的3位增至2011年的5位)。但是选举名单上的妇女人数并没有反映所取得的重大进展，即从22.2%增至22.8%(市县为21.2%，市议会则为23.5%)。</w:t>
      </w:r>
    </w:p>
    <w:p w:rsidR="004821CF" w:rsidRDefault="004821CF" w:rsidP="004741DA">
      <w:pPr>
        <w:pStyle w:val="SingleTxt"/>
        <w:rPr>
          <w:rFonts w:hint="eastAsia"/>
        </w:rPr>
      </w:pPr>
      <w:r>
        <w:rPr>
          <w:rFonts w:hint="eastAsia"/>
        </w:rPr>
        <w:t>33.</w:t>
      </w:r>
      <w:r>
        <w:rPr>
          <w:rFonts w:hint="eastAsia"/>
        </w:rPr>
        <w:tab/>
        <w:t>在外交部门，过去10年中外交部各级的妇女人数逐渐增加。目前外交使团由94人组成，其中37人为女性(39.3%)。在现有的15个大使馆中，有5个由女性领导(华盛顿、布鲁塞尔、柏林、里斯本和卢森堡)。在此之前，佛得角有14个大使馆，2个由女性领导。此外，13名妇女担负着具有外交性质的职能(根据《外交职业规约》第12条的规定，7月27日第27/2009号法令)，包括在共和国总统办公厅、总理办公厅、国民议会和社区事务部担任职务的5名妇女。中央事务部下设6个总局，其中2个由女性领导(规划、预算编制和管理总局和领事事务和条约总局)。</w:t>
      </w:r>
    </w:p>
    <w:p w:rsidR="004821CF" w:rsidRDefault="004821CF" w:rsidP="004741DA">
      <w:pPr>
        <w:pStyle w:val="SingleTxt"/>
        <w:rPr>
          <w:rFonts w:hint="eastAsia"/>
        </w:rPr>
      </w:pPr>
      <w:r>
        <w:rPr>
          <w:rFonts w:hint="eastAsia"/>
        </w:rPr>
        <w:t>34.</w:t>
      </w:r>
      <w:r>
        <w:rPr>
          <w:rFonts w:hint="eastAsia"/>
        </w:rPr>
        <w:tab/>
        <w:t>在2011年为想投身外交界的人员举行了公开考试，新招收的人中大多数是女性(15人中有10人)。在2012年参与能力建设举措的人中大多数也是女性(20人中有12人)。</w:t>
      </w:r>
    </w:p>
    <w:p w:rsidR="004821CF" w:rsidRDefault="004821CF" w:rsidP="004741DA">
      <w:pPr>
        <w:pStyle w:val="SingleTxt"/>
        <w:rPr>
          <w:rFonts w:hint="eastAsia"/>
        </w:rPr>
      </w:pPr>
      <w:r>
        <w:rPr>
          <w:rFonts w:hint="eastAsia"/>
        </w:rPr>
        <w:t>35.</w:t>
      </w:r>
      <w:r>
        <w:rPr>
          <w:rFonts w:hint="eastAsia"/>
        </w:rPr>
        <w:tab/>
        <w:t>尽管取得了一些进展，妇女在决策层的代表性仍然偏低，因此政治参与是需要采取行动的优先领域，包括负责促进性别平等的国家机构和民间社会组织。在2012年期间，女议员网络展开了培训活动，参加者有葡萄牙语国家共同体的国会议员和代表。该网络还同佛得角议员举办了一次研讨会，会议结束时公开宣布，需要拟订和执行性别均等法，以确保妇女有效参与所有层级的决策进程。</w:t>
      </w:r>
    </w:p>
    <w:p w:rsidR="004821CF" w:rsidRDefault="004821CF" w:rsidP="004741D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43AE2">
        <w:rPr>
          <w:rFonts w:hint="eastAsia"/>
        </w:rPr>
        <w:t>教育</w:t>
      </w:r>
    </w:p>
    <w:p w:rsidR="004821CF" w:rsidRPr="00043AE2" w:rsidRDefault="004821CF" w:rsidP="004741DA">
      <w:pPr>
        <w:pStyle w:val="SingleTxt"/>
        <w:spacing w:after="0" w:line="120" w:lineRule="exact"/>
        <w:rPr>
          <w:rFonts w:hint="eastAsia"/>
          <w:sz w:val="10"/>
        </w:rPr>
      </w:pPr>
    </w:p>
    <w:p w:rsidR="004821CF" w:rsidRPr="00043AE2" w:rsidRDefault="004821CF" w:rsidP="004741DA">
      <w:pPr>
        <w:pStyle w:val="SingleTxt"/>
        <w:rPr>
          <w:rFonts w:ascii="SimHei" w:eastAsia="SimHei" w:hint="eastAsia"/>
        </w:rPr>
      </w:pPr>
      <w:r w:rsidRPr="00043AE2">
        <w:rPr>
          <w:rFonts w:ascii="SimHei" w:eastAsia="SimHei" w:hint="eastAsia"/>
        </w:rPr>
        <w:tab/>
        <w:t>9.</w:t>
      </w:r>
      <w:r w:rsidRPr="00043AE2">
        <w:rPr>
          <w:rFonts w:ascii="SimHei" w:eastAsia="SimHei" w:hint="eastAsia"/>
        </w:rPr>
        <w:tab/>
        <w:t>根据报告</w:t>
      </w:r>
      <w:r>
        <w:rPr>
          <w:rFonts w:ascii="SimHei" w:eastAsia="SimHei" w:hint="eastAsia"/>
        </w:rPr>
        <w:t>(</w:t>
      </w:r>
      <w:r w:rsidRPr="00043AE2">
        <w:rPr>
          <w:rFonts w:ascii="SimHei" w:eastAsia="SimHei" w:hint="eastAsia"/>
        </w:rPr>
        <w:t>第33段</w:t>
      </w:r>
      <w:r>
        <w:rPr>
          <w:rFonts w:ascii="SimHei" w:eastAsia="SimHei" w:hint="eastAsia"/>
        </w:rPr>
        <w:t>)</w:t>
      </w:r>
      <w:r w:rsidRPr="00043AE2">
        <w:rPr>
          <w:rFonts w:ascii="SimHei" w:eastAsia="SimHei" w:hint="eastAsia"/>
        </w:rPr>
        <w:t>的说法，尽管该国妇女的识字率有所提高，农村妇女的识字率仍然处于极低水平</w:t>
      </w:r>
      <w:r>
        <w:rPr>
          <w:rFonts w:ascii="SimHei" w:eastAsia="SimHei" w:hint="eastAsia"/>
        </w:rPr>
        <w:t>(</w:t>
      </w:r>
      <w:r w:rsidRPr="00043AE2">
        <w:rPr>
          <w:rFonts w:ascii="SimHei" w:eastAsia="SimHei" w:hint="eastAsia"/>
        </w:rPr>
        <w:t>64.1%</w:t>
      </w:r>
      <w:r>
        <w:rPr>
          <w:rFonts w:ascii="SimHei" w:eastAsia="SimHei" w:hint="eastAsia"/>
        </w:rPr>
        <w:t>)</w:t>
      </w:r>
      <w:r w:rsidRPr="00043AE2">
        <w:rPr>
          <w:rFonts w:ascii="SimHei" w:eastAsia="SimHei" w:hint="eastAsia"/>
        </w:rPr>
        <w:t>。请提供资料，说明为解决此问题采取的措施，包括暂行特别措施。</w:t>
      </w:r>
    </w:p>
    <w:p w:rsidR="004821CF" w:rsidRDefault="004821CF" w:rsidP="004741DA">
      <w:pPr>
        <w:pStyle w:val="SingleTxt"/>
        <w:rPr>
          <w:rFonts w:hint="eastAsia"/>
        </w:rPr>
      </w:pPr>
      <w:r>
        <w:rPr>
          <w:rFonts w:hint="eastAsia"/>
        </w:rPr>
        <w:t>36.</w:t>
      </w:r>
      <w:r>
        <w:rPr>
          <w:rFonts w:hint="eastAsia"/>
        </w:rPr>
        <w:tab/>
        <w:t>根据2000年人口普查，农村妇女的识字率为56.6%，农村男子则为76.1%。教育部根据这一情况采取了一整套措施，以加强成人教育，降低文盲率，特别是在农村地区。在采取的措施中主要有下列一些措施：</w:t>
      </w:r>
      <w:r>
        <w:rPr>
          <w:rFonts w:hAnsi="SimSun" w:hint="eastAsia"/>
        </w:rPr>
        <w:t xml:space="preserve">㈠ </w:t>
      </w:r>
      <w:r>
        <w:rPr>
          <w:rFonts w:hint="eastAsia"/>
        </w:rPr>
        <w:t>实施根据学习能力编制的成人教育和培训新课程；</w:t>
      </w:r>
      <w:r>
        <w:rPr>
          <w:rFonts w:hAnsi="SimSun" w:hint="eastAsia"/>
        </w:rPr>
        <w:t xml:space="preserve">㈡ </w:t>
      </w:r>
      <w:r>
        <w:rPr>
          <w:rFonts w:hint="eastAsia"/>
        </w:rPr>
        <w:t>培训成人教育和培训方面</w:t>
      </w:r>
      <w:r w:rsidRPr="00043AE2">
        <w:rPr>
          <w:rFonts w:hint="eastAsia"/>
          <w:spacing w:val="4"/>
        </w:rPr>
        <w:t>的培训员；</w:t>
      </w:r>
      <w:r w:rsidRPr="00043AE2">
        <w:rPr>
          <w:rFonts w:hAnsi="SimSun" w:hint="eastAsia"/>
          <w:spacing w:val="4"/>
        </w:rPr>
        <w:t>㈢</w:t>
      </w:r>
      <w:r>
        <w:rPr>
          <w:rFonts w:hAnsi="SimSun" w:hint="eastAsia"/>
          <w:spacing w:val="4"/>
        </w:rPr>
        <w:t xml:space="preserve"> </w:t>
      </w:r>
      <w:r w:rsidRPr="00043AE2">
        <w:rPr>
          <w:rFonts w:hint="eastAsia"/>
          <w:spacing w:val="4"/>
        </w:rPr>
        <w:t>加强成人远程授课工作；</w:t>
      </w:r>
      <w:r w:rsidRPr="00043AE2">
        <w:rPr>
          <w:rFonts w:hAnsi="SimSun" w:hint="eastAsia"/>
          <w:spacing w:val="4"/>
        </w:rPr>
        <w:t>㈣</w:t>
      </w:r>
      <w:r>
        <w:rPr>
          <w:rFonts w:hAnsi="SimSun" w:hint="eastAsia"/>
          <w:spacing w:val="4"/>
        </w:rPr>
        <w:t xml:space="preserve"> </w:t>
      </w:r>
      <w:r w:rsidRPr="00043AE2">
        <w:rPr>
          <w:rFonts w:hint="eastAsia"/>
          <w:spacing w:val="4"/>
        </w:rPr>
        <w:t>增加提供社会-专业远程学习机会；</w:t>
      </w:r>
      <w:r>
        <w:rPr>
          <w:rFonts w:hAnsi="SimSun" w:hint="eastAsia"/>
        </w:rPr>
        <w:t xml:space="preserve">㈤ </w:t>
      </w:r>
      <w:r>
        <w:rPr>
          <w:rFonts w:hint="eastAsia"/>
        </w:rPr>
        <w:t>加强文化中心/俱乐部；</w:t>
      </w:r>
      <w:r>
        <w:rPr>
          <w:rFonts w:hAnsi="SimSun" w:hint="eastAsia"/>
        </w:rPr>
        <w:t xml:space="preserve">㈥ </w:t>
      </w:r>
      <w:r>
        <w:rPr>
          <w:rFonts w:hint="eastAsia"/>
        </w:rPr>
        <w:t>为成人举办提高认识讲习班和课程，特别是为农村地区的妇女；</w:t>
      </w:r>
      <w:r>
        <w:rPr>
          <w:rFonts w:hAnsi="SimSun" w:hint="eastAsia"/>
        </w:rPr>
        <w:t xml:space="preserve">㈦ </w:t>
      </w:r>
      <w:r>
        <w:rPr>
          <w:rFonts w:hint="eastAsia"/>
        </w:rPr>
        <w:t>与民间社会组织建立伙伴关系，以促进农村地区的成人教育和培训；</w:t>
      </w:r>
      <w:r>
        <w:rPr>
          <w:rFonts w:hAnsi="SimSun" w:hint="eastAsia"/>
        </w:rPr>
        <w:t xml:space="preserve">㈧ </w:t>
      </w:r>
      <w:r>
        <w:rPr>
          <w:rFonts w:hint="eastAsia"/>
        </w:rPr>
        <w:t>将成人基础教育的年限延长至8年；以及</w:t>
      </w:r>
      <w:r>
        <w:rPr>
          <w:rFonts w:hAnsi="SimSun" w:hint="eastAsia"/>
        </w:rPr>
        <w:t xml:space="preserve">㈨ </w:t>
      </w:r>
      <w:r>
        <w:rPr>
          <w:rFonts w:hint="eastAsia"/>
        </w:rPr>
        <w:t>实施成人再教育工作。</w:t>
      </w:r>
    </w:p>
    <w:p w:rsidR="004821CF" w:rsidRDefault="004821CF" w:rsidP="004741DA">
      <w:pPr>
        <w:pStyle w:val="SingleTxt"/>
        <w:rPr>
          <w:rFonts w:hint="eastAsia"/>
        </w:rPr>
      </w:pPr>
      <w:r>
        <w:rPr>
          <w:rFonts w:hint="eastAsia"/>
        </w:rPr>
        <w:t>37.</w:t>
      </w:r>
      <w:r>
        <w:rPr>
          <w:rFonts w:hint="eastAsia"/>
        </w:rPr>
        <w:tab/>
        <w:t>在实施这些措施后，到2010年，农村妇女的识字率上升至68.1%，男子则上升至82.2%。数据显示，这些措施对女性的影响大于对男性的影响，因为在10年期间，农村妇女的文盲率下跌了11.5个百分点，男子的文盲率则下跌了6.8个百分点。</w:t>
      </w:r>
    </w:p>
    <w:p w:rsidR="004821CF" w:rsidRDefault="004821CF" w:rsidP="004741DA">
      <w:pPr>
        <w:pStyle w:val="SingleTxt"/>
        <w:rPr>
          <w:rFonts w:hint="eastAsia"/>
        </w:rPr>
      </w:pPr>
      <w:r>
        <w:rPr>
          <w:rFonts w:hint="eastAsia"/>
        </w:rPr>
        <w:t>38.</w:t>
      </w:r>
      <w:r>
        <w:rPr>
          <w:rFonts w:hint="eastAsia"/>
        </w:rPr>
        <w:tab/>
        <w:t>总的来说，女性中文盲率最高的是年龄超过35岁的群体，特别是农村妇女更是如此。就15岁至29岁的年龄组而言，农村妇女的文盲率略低于男子。</w:t>
      </w:r>
    </w:p>
    <w:p w:rsidR="004821CF" w:rsidRDefault="004821CF" w:rsidP="004741DA">
      <w:pPr>
        <w:pStyle w:val="SingleTxt"/>
        <w:rPr>
          <w:rFonts w:hint="eastAsia"/>
        </w:rPr>
      </w:pPr>
      <w:r>
        <w:rPr>
          <w:rFonts w:hint="eastAsia"/>
        </w:rPr>
        <w:tab/>
        <w:t>1</w:t>
      </w:r>
      <w:r w:rsidRPr="00043AE2">
        <w:rPr>
          <w:rFonts w:ascii="SimHei" w:eastAsia="SimHei" w:hint="eastAsia"/>
        </w:rPr>
        <w:t>0.</w:t>
      </w:r>
      <w:r w:rsidRPr="00043AE2">
        <w:rPr>
          <w:rFonts w:ascii="SimHei" w:eastAsia="SimHei" w:hint="eastAsia"/>
        </w:rPr>
        <w:tab/>
        <w:t>报告</w:t>
      </w:r>
      <w:r w:rsidRPr="00DD180B">
        <w:rPr>
          <w:rFonts w:ascii="SimHei" w:eastAsia="SimHei" w:hint="eastAsia"/>
          <w:spacing w:val="-2"/>
        </w:rPr>
        <w:t>(第215段)承认，包括职业教育在内的教育系统仍然存在性别陈规定型观念，即女孩通常选择与会计、工商管理、企业管理和图像艺术相关的专业，而男孩则更可能选择学习电气安装、民用建筑、电力和机械专业。请提供资料，说明为了落实委员会关于鼓励男孩女孩教育选择多元化，以吸引更多的妇女进入科学和技术领域工作的建议所采取的措施，包括暂行特别措施。</w:t>
      </w:r>
    </w:p>
    <w:p w:rsidR="004821CF" w:rsidRDefault="004821CF" w:rsidP="004741DA">
      <w:pPr>
        <w:pStyle w:val="SingleTxt"/>
        <w:rPr>
          <w:rFonts w:hint="eastAsia"/>
        </w:rPr>
      </w:pPr>
      <w:r>
        <w:rPr>
          <w:rFonts w:hint="eastAsia"/>
        </w:rPr>
        <w:t>39.</w:t>
      </w:r>
      <w:r>
        <w:rPr>
          <w:rFonts w:hint="eastAsia"/>
        </w:rPr>
        <w:tab/>
        <w:t>根据教育部《统计年鉴》，在2010/2011学年中，中学(普通中学和技术中学)招收了53 691名儿童和青少年，其中 有28 411名女孩(52.9%)。就在校学生而言，技术教育占全部学生的2.9%(1 558)，入学女孩的比例为47.7%。这一数据显示，在2009年(44%)和2010年期间，技术教育招收的女孩人数有大幅度增加。</w:t>
      </w:r>
    </w:p>
    <w:p w:rsidR="004821CF" w:rsidRDefault="004821CF" w:rsidP="004741DA">
      <w:pPr>
        <w:pStyle w:val="SingleTxt"/>
      </w:pPr>
      <w:r>
        <w:rPr>
          <w:rFonts w:hint="eastAsia"/>
        </w:rPr>
        <w:t>40.</w:t>
      </w:r>
      <w:r>
        <w:rPr>
          <w:rFonts w:hint="eastAsia"/>
        </w:rPr>
        <w:tab/>
        <w:t>实现这一增长的主要原因是实施了关于增加妇女和女孩接受技术和科学教育及职业培训机会的战略建议。这些建议包括：</w:t>
      </w:r>
      <w:r>
        <w:rPr>
          <w:rFonts w:hAnsi="SimSun" w:hint="eastAsia"/>
        </w:rPr>
        <w:t xml:space="preserve">㈠ </w:t>
      </w:r>
      <w:r>
        <w:rPr>
          <w:rFonts w:hint="eastAsia"/>
        </w:rPr>
        <w:t>举办关于各种专业的研讨会和会议；</w:t>
      </w:r>
      <w:r>
        <w:rPr>
          <w:rFonts w:hAnsi="SimSun" w:hint="eastAsia"/>
        </w:rPr>
        <w:t xml:space="preserve">㈡ </w:t>
      </w:r>
      <w:r>
        <w:rPr>
          <w:rFonts w:hint="eastAsia"/>
        </w:rPr>
        <w:t>在中学和大学举办各专业的招工面谈会；</w:t>
      </w:r>
      <w:r>
        <w:rPr>
          <w:rFonts w:hAnsi="SimSun" w:hint="eastAsia"/>
        </w:rPr>
        <w:t xml:space="preserve">㈢ </w:t>
      </w:r>
      <w:r>
        <w:rPr>
          <w:rFonts w:hint="eastAsia"/>
        </w:rPr>
        <w:t>在所有中学建立学校、职业和专业咨询制度；</w:t>
      </w:r>
      <w:r>
        <w:rPr>
          <w:rFonts w:hAnsi="SimSun" w:hint="eastAsia"/>
        </w:rPr>
        <w:t xml:space="preserve">㈣ </w:t>
      </w:r>
      <w:r>
        <w:rPr>
          <w:rFonts w:hint="eastAsia"/>
        </w:rPr>
        <w:t>加强学校的科学课程，建立实验室并添置设备，促进对科学和技术的兴趣；以及</w:t>
      </w:r>
      <w:r>
        <w:rPr>
          <w:rFonts w:hAnsi="SimSun" w:hint="eastAsia"/>
        </w:rPr>
        <w:t>㈤</w:t>
      </w:r>
      <w:r>
        <w:rPr>
          <w:rFonts w:hint="eastAsia"/>
        </w:rPr>
        <w:t xml:space="preserve"> 对教师进行性别平等培训。</w:t>
      </w:r>
    </w:p>
    <w:p w:rsidR="004821CF" w:rsidRPr="007800DE" w:rsidRDefault="004821CF" w:rsidP="004741DA">
      <w:pPr>
        <w:pStyle w:val="SingleTxt"/>
        <w:rPr>
          <w:rFonts w:ascii="SimHei" w:eastAsia="SimHei" w:hint="eastAsia"/>
        </w:rPr>
      </w:pPr>
      <w:r>
        <w:rPr>
          <w:rFonts w:hint="eastAsia"/>
        </w:rPr>
        <w:tab/>
      </w:r>
      <w:r w:rsidRPr="007800DE">
        <w:rPr>
          <w:rFonts w:ascii="SimHei" w:eastAsia="SimHei" w:hint="eastAsia"/>
        </w:rPr>
        <w:t>11.</w:t>
      </w:r>
      <w:r w:rsidRPr="007800DE">
        <w:rPr>
          <w:rFonts w:ascii="SimHei" w:eastAsia="SimHei" w:hint="eastAsia"/>
        </w:rPr>
        <w:tab/>
        <w:t>报告</w:t>
      </w:r>
      <w:r>
        <w:rPr>
          <w:rFonts w:ascii="SimHei" w:eastAsia="SimHei" w:hint="eastAsia"/>
        </w:rPr>
        <w:t>(</w:t>
      </w:r>
      <w:r w:rsidRPr="007800DE">
        <w:rPr>
          <w:rFonts w:ascii="SimHei" w:eastAsia="SimHei" w:hint="eastAsia"/>
        </w:rPr>
        <w:t>第223段</w:t>
      </w:r>
      <w:r>
        <w:rPr>
          <w:rFonts w:ascii="SimHei" w:eastAsia="SimHei" w:hint="eastAsia"/>
        </w:rPr>
        <w:t>)</w:t>
      </w:r>
      <w:r w:rsidRPr="007800DE">
        <w:rPr>
          <w:rFonts w:ascii="SimHei" w:eastAsia="SimHei" w:hint="eastAsia"/>
        </w:rPr>
        <w:t>表示，2001年出台的关于更好地处理在校怀孕问题的导则已被废除，新条例将于2010/2011学年起开始适用，而且新条例将有助于协调妊娠孕产和学业之间的关系。请提供详细资料，说明这些新条例的内容，以及新条例的实施对怀孕女孩接受教育所产生的影响。</w:t>
      </w:r>
    </w:p>
    <w:p w:rsidR="004821CF" w:rsidRDefault="004821CF" w:rsidP="004741DA">
      <w:pPr>
        <w:pStyle w:val="SingleTxt"/>
        <w:rPr>
          <w:rFonts w:hint="eastAsia"/>
        </w:rPr>
      </w:pPr>
      <w:r>
        <w:rPr>
          <w:rFonts w:hint="eastAsia"/>
        </w:rPr>
        <w:t>41.</w:t>
      </w:r>
      <w:r>
        <w:rPr>
          <w:rFonts w:hint="eastAsia"/>
        </w:rPr>
        <w:tab/>
        <w:t>正如报告第223段所指出的，指导令尚未废除。佛得角性别平等和公平研究所提议，性别平等事务部长请教育部废除2001年出台的关于更好地处理在校怀</w:t>
      </w:r>
      <w:r w:rsidRPr="007800DE">
        <w:rPr>
          <w:rFonts w:hint="eastAsia"/>
          <w:spacing w:val="-6"/>
        </w:rPr>
        <w:t>孕问题的导则，并制订一个新的具体条例以便从2010/2011学年开始协调妊娠/</w:t>
      </w:r>
      <w:r>
        <w:rPr>
          <w:rFonts w:hint="eastAsia"/>
        </w:rPr>
        <w:t>孕产与学业之间的关系。教育部根据这一要求设立了一个工作组，以便根据对该问题的广泛讨论结果对指导令提出修正建议。</w:t>
      </w:r>
    </w:p>
    <w:p w:rsidR="004821CF" w:rsidRDefault="004821CF" w:rsidP="004741DA">
      <w:pPr>
        <w:pStyle w:val="SingleTxt"/>
        <w:rPr>
          <w:rFonts w:hint="eastAsia"/>
        </w:rPr>
      </w:pPr>
      <w:r>
        <w:rPr>
          <w:rFonts w:hint="eastAsia"/>
        </w:rPr>
        <w:t>42.</w:t>
      </w:r>
      <w:r>
        <w:rPr>
          <w:rFonts w:hint="eastAsia"/>
        </w:rPr>
        <w:tab/>
        <w:t>在普通学校一级，加强了对因怀孕而暂时休学的怀孕学生的监测工作，以便改善教学和学习条件，并提高这些学生在生下小孩之后的返校率，及确保她们在学业上获得成功。</w:t>
      </w:r>
    </w:p>
    <w:p w:rsidR="004821CF" w:rsidRDefault="004821CF" w:rsidP="004741DA">
      <w:pPr>
        <w:pStyle w:val="SingleTxt"/>
        <w:rPr>
          <w:rFonts w:hint="eastAsia"/>
        </w:rPr>
      </w:pPr>
      <w:r>
        <w:rPr>
          <w:rFonts w:hint="eastAsia"/>
        </w:rPr>
        <w:t>43.</w:t>
      </w:r>
      <w:r>
        <w:rPr>
          <w:rFonts w:hint="eastAsia"/>
        </w:rPr>
        <w:tab/>
        <w:t>根据管理自主原则，一些学校选择了不同的工作开展方式，分析每个个案的情况，并根据学校董事会、家长和学生之间达成的共识作出决定。怀孕学生可选择暂时休学或继续正常上课。</w:t>
      </w:r>
    </w:p>
    <w:p w:rsidR="004821CF" w:rsidRPr="007800DE"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7800DE">
        <w:rPr>
          <w:rFonts w:hint="eastAsia"/>
        </w:rPr>
        <w:t>就业</w:t>
      </w:r>
    </w:p>
    <w:p w:rsidR="004821CF" w:rsidRPr="004821CF" w:rsidRDefault="004821CF" w:rsidP="004821CF">
      <w:pPr>
        <w:pStyle w:val="SingleTxt"/>
        <w:spacing w:after="0" w:line="120" w:lineRule="exact"/>
        <w:ind w:right="0"/>
        <w:rPr>
          <w:rFonts w:hint="eastAsia"/>
          <w:sz w:val="10"/>
        </w:rPr>
      </w:pPr>
    </w:p>
    <w:p w:rsidR="004821CF" w:rsidRPr="007800DE" w:rsidRDefault="004821CF" w:rsidP="004741DA">
      <w:pPr>
        <w:pStyle w:val="SingleTxt"/>
        <w:rPr>
          <w:rFonts w:ascii="SimHei" w:eastAsia="SimHei" w:hint="eastAsia"/>
        </w:rPr>
      </w:pPr>
      <w:r>
        <w:rPr>
          <w:rFonts w:ascii="SimHei" w:eastAsia="SimHei" w:hint="eastAsia"/>
        </w:rPr>
        <w:tab/>
      </w:r>
      <w:r w:rsidRPr="007800DE">
        <w:rPr>
          <w:rFonts w:ascii="SimHei" w:eastAsia="SimHei" w:hint="eastAsia"/>
        </w:rPr>
        <w:t>12.</w:t>
      </w:r>
      <w:r w:rsidRPr="007800DE">
        <w:rPr>
          <w:rFonts w:ascii="SimHei" w:eastAsia="SimHei" w:hint="eastAsia"/>
        </w:rPr>
        <w:tab/>
        <w:t>尽管新的《劳动法》第16节规定，根据工作的性质、数量和质量，所有工人都有权得到公平的报酬，新法却并未对同值工作同等报酬的原则做出规定。请提供资料，说明缔约国是否设想对《劳动法》进行修正，以纳入同值工作同等报酬的原则。</w:t>
      </w:r>
    </w:p>
    <w:p w:rsidR="004821CF" w:rsidRDefault="004821CF" w:rsidP="004741DA">
      <w:pPr>
        <w:pStyle w:val="SingleTxt"/>
        <w:rPr>
          <w:rFonts w:hint="eastAsia"/>
        </w:rPr>
      </w:pPr>
      <w:r>
        <w:rPr>
          <w:rFonts w:hint="eastAsia"/>
        </w:rPr>
        <w:t>44.</w:t>
      </w:r>
      <w:r>
        <w:rPr>
          <w:rFonts w:hint="eastAsia"/>
        </w:rPr>
        <w:tab/>
        <w:t>虽然新法典没有载入同值工作同等报酬的原则，但《劳动法》第15条及《宪法》第62条第2款“对于相同的工作，男性和女性应获得相同报酬”的规定对此作出了保障。佛得角新《劳动法》(经10月16日第5/2007号法令批准并经6月16日第5/2010号法令修正)第15条确立了所有工人之间的平等原则。第15条第1款规定：(a) 不得以性别、肤色、社会出身、宗教、政治或思想信仰、工会会员资格或其他歧视性动机为由剥夺、妨碍或以其他方式歧视在获取工作机会、确立工作条件、薪酬、暂停或终止工作关系或任何其他合法就业状态方面的权利；(b) 从补偿(不管是标准补偿还是合同规定的补偿)中获得裨益的权利，这类补偿不为大多数工人所享有但基于年龄、性别、先天或后天残疾及其他致残疾病、产后状态，以及由于生产力水平和具体的劳动条件而被认为是合理的；以及(c) 不因作小时工而被剥夺权利和特权的权利，也不应为此受任何歧视。</w:t>
      </w:r>
    </w:p>
    <w:p w:rsidR="004821CF" w:rsidRDefault="004821CF" w:rsidP="004741DA">
      <w:pPr>
        <w:pStyle w:val="SingleTxt"/>
        <w:rPr>
          <w:rFonts w:hint="eastAsia"/>
        </w:rPr>
      </w:pPr>
      <w:r>
        <w:rPr>
          <w:rFonts w:hint="eastAsia"/>
        </w:rPr>
        <w:t>45.</w:t>
      </w:r>
      <w:r>
        <w:rPr>
          <w:rFonts w:hint="eastAsia"/>
        </w:rPr>
        <w:tab/>
        <w:t>负责全国领土和各类活动的国家中央行政事务部门——劳动监察总局核查了与所有法律规定的合规情况。劳动监察总局的章程规定了该局的职能；该局享有技术自主权和独立，并有必要的授权。</w:t>
      </w:r>
    </w:p>
    <w:p w:rsidR="004821CF" w:rsidRPr="007800DE"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7800DE">
        <w:rPr>
          <w:rFonts w:hint="eastAsia"/>
        </w:rPr>
        <w:t>卫生</w:t>
      </w:r>
    </w:p>
    <w:p w:rsidR="004821CF" w:rsidRPr="004821CF" w:rsidRDefault="004821CF" w:rsidP="004821CF">
      <w:pPr>
        <w:pStyle w:val="SingleTxt"/>
        <w:spacing w:after="0" w:line="120" w:lineRule="exact"/>
        <w:ind w:right="0"/>
        <w:rPr>
          <w:rFonts w:hint="eastAsia"/>
          <w:sz w:val="10"/>
        </w:rPr>
      </w:pPr>
    </w:p>
    <w:p w:rsidR="004821CF" w:rsidRPr="007800DE" w:rsidRDefault="004821CF" w:rsidP="004741DA">
      <w:pPr>
        <w:pStyle w:val="SingleTxt"/>
        <w:rPr>
          <w:rFonts w:ascii="SimHei" w:eastAsia="SimHei" w:hint="eastAsia"/>
        </w:rPr>
      </w:pPr>
      <w:r w:rsidRPr="007800DE">
        <w:rPr>
          <w:rFonts w:ascii="SimHei" w:eastAsia="SimHei" w:hint="eastAsia"/>
        </w:rPr>
        <w:tab/>
        <w:t>13.</w:t>
      </w:r>
      <w:r w:rsidRPr="007800DE">
        <w:rPr>
          <w:rFonts w:ascii="SimHei" w:eastAsia="SimHei" w:hint="eastAsia"/>
        </w:rPr>
        <w:tab/>
        <w:t>报告</w:t>
      </w:r>
      <w:r>
        <w:rPr>
          <w:rFonts w:ascii="SimHei" w:eastAsia="SimHei" w:hint="eastAsia"/>
        </w:rPr>
        <w:t>(</w:t>
      </w:r>
      <w:r w:rsidRPr="007800DE">
        <w:rPr>
          <w:rFonts w:ascii="SimHei" w:eastAsia="SimHei" w:hint="eastAsia"/>
        </w:rPr>
        <w:t>第265段</w:t>
      </w:r>
      <w:r>
        <w:rPr>
          <w:rFonts w:ascii="SimHei" w:eastAsia="SimHei" w:hint="eastAsia"/>
        </w:rPr>
        <w:t>)</w:t>
      </w:r>
      <w:r w:rsidRPr="007800DE">
        <w:rPr>
          <w:rFonts w:ascii="SimHei" w:eastAsia="SimHei" w:hint="eastAsia"/>
        </w:rPr>
        <w:t>表示，由于根深蒂固的陈规定型观念造成女性无力要求采取安全性行为，妇女仍然比男性更容易遭受性传播感染。请提供资料，说明为提高男性和女性对生殖健康权利的认识所采取的措施，特别是在使用和获得避孕药具方面采取的措施。</w:t>
      </w:r>
    </w:p>
    <w:p w:rsidR="004821CF" w:rsidRDefault="004821CF" w:rsidP="004741DA">
      <w:pPr>
        <w:pStyle w:val="SingleTxt"/>
        <w:rPr>
          <w:rFonts w:hint="eastAsia"/>
        </w:rPr>
      </w:pPr>
      <w:r>
        <w:rPr>
          <w:rFonts w:hint="eastAsia"/>
        </w:rPr>
        <w:t>46.</w:t>
      </w:r>
      <w:r>
        <w:rPr>
          <w:rFonts w:hint="eastAsia"/>
        </w:rPr>
        <w:tab/>
        <w:t xml:space="preserve">《国家生殖健康方案》的对象是育龄男女。根据该方案提供的服务包括：避孕和改变行为的教育，以采取健康的生活方式、人性化的性行为、孕产和负责任的生育、促进妇女的自我主张和男子在生殖健康方面的参与和责任感。由卫生技术小组负责在各生殖健康中心提供这类旨在改变行为的教育服务。 </w:t>
      </w:r>
    </w:p>
    <w:p w:rsidR="004821CF" w:rsidRDefault="004821CF" w:rsidP="004741DA">
      <w:pPr>
        <w:pStyle w:val="SingleTxt"/>
        <w:rPr>
          <w:rFonts w:hint="eastAsia"/>
        </w:rPr>
      </w:pPr>
      <w:r>
        <w:rPr>
          <w:rFonts w:hint="eastAsia"/>
        </w:rPr>
        <w:t>47.</w:t>
      </w:r>
      <w:r>
        <w:rPr>
          <w:rFonts w:hint="eastAsia"/>
        </w:rPr>
        <w:tab/>
        <w:t xml:space="preserve">国内所有保健设施(卫生巡访团、保健中心、环卫站和基础保健单位)保证免费提供避孕药具。它们还保证就夫妇的计划生育和产前护理提供咨询意见。在不易获得服务的地区，保健代表会按计划作每月巡访，以确保提供性健康和生殖健康服务。在各民间社会组织的支持下，还就男用和女用避孕套及其他类型的避孕药具的使用方法和分发情况展开信息传播和提高认识活动。 </w:t>
      </w:r>
    </w:p>
    <w:p w:rsidR="004821CF" w:rsidRDefault="004821CF" w:rsidP="004741DA">
      <w:pPr>
        <w:pStyle w:val="SingleTxt"/>
        <w:rPr>
          <w:rFonts w:hint="eastAsia"/>
        </w:rPr>
      </w:pPr>
      <w:r>
        <w:rPr>
          <w:rFonts w:hint="eastAsia"/>
        </w:rPr>
        <w:t>48.</w:t>
      </w:r>
      <w:r>
        <w:rPr>
          <w:rFonts w:hint="eastAsia"/>
        </w:rPr>
        <w:tab/>
        <w:t xml:space="preserve">佛得角性别平等和公平研究所极为重视传播女用避孕套的使用方法，并于2011年3月启动了“促进使用女用避孕套全国运动”。该运动的目的是宣传避孕套作为预防性传播疾病和意外怀孕的工具所能发挥的作用，并增强妇女在性交过程中使用保护措施的决定权。 </w:t>
      </w:r>
    </w:p>
    <w:p w:rsidR="004821CF" w:rsidRDefault="004821CF" w:rsidP="004741DA">
      <w:pPr>
        <w:pStyle w:val="SingleTxt"/>
        <w:rPr>
          <w:rFonts w:hint="eastAsia"/>
        </w:rPr>
      </w:pPr>
      <w:r>
        <w:rPr>
          <w:rFonts w:hint="eastAsia"/>
        </w:rPr>
        <w:t>49.</w:t>
      </w:r>
      <w:r>
        <w:rPr>
          <w:rFonts w:hint="eastAsia"/>
        </w:rPr>
        <w:tab/>
        <w:t>在改变年轻人的习惯和态度方面，卫生部在2008年设立了青少年性健康和生殖健康服务局，并在2012年对这类服务进行了评价。评价结果表明，这类服务实现了必要的覆盖范围并能提供基本指导、咨询和保健服务，但在基础设施和人力资源的能力建设方面还需作出某些调整。评价结果还表明，重点是生殖问题，性行为的概念化则从属于生殖问题。建议指出，需要：</w:t>
      </w:r>
      <w:r>
        <w:rPr>
          <w:rFonts w:hAnsi="SimSun" w:hint="eastAsia"/>
        </w:rPr>
        <w:t xml:space="preserve">㈠ </w:t>
      </w:r>
      <w:r>
        <w:rPr>
          <w:rFonts w:hint="eastAsia"/>
        </w:rPr>
        <w:t>将关于性别平等的讨论纳入性健康和生殖健康行动；</w:t>
      </w:r>
      <w:r>
        <w:rPr>
          <w:rFonts w:hAnsi="SimSun" w:hint="eastAsia"/>
        </w:rPr>
        <w:t xml:space="preserve">㈡ </w:t>
      </w:r>
      <w:r>
        <w:rPr>
          <w:rFonts w:hint="eastAsia"/>
        </w:rPr>
        <w:t>尽量利用男子参与青年中心活动的机会来扩大影响，特别是在男子气概方面；</w:t>
      </w:r>
      <w:r>
        <w:rPr>
          <w:rFonts w:hAnsi="SimSun" w:hint="eastAsia"/>
        </w:rPr>
        <w:t>㈢</w:t>
      </w:r>
      <w:r>
        <w:rPr>
          <w:rFonts w:hint="eastAsia"/>
        </w:rPr>
        <w:t xml:space="preserve"> 利用性别暴力法带来的机遇，促进讨论对性别不平等现象的各种意见，特别是关于性健康和生殖健康做法的意见；</w:t>
      </w:r>
      <w:r>
        <w:rPr>
          <w:rFonts w:hAnsi="SimSun" w:hint="eastAsia"/>
        </w:rPr>
        <w:t>㈣</w:t>
      </w:r>
      <w:r>
        <w:rPr>
          <w:rFonts w:hint="eastAsia"/>
        </w:rPr>
        <w:t xml:space="preserve"> 将性行为做法纳入干预措施，除考虑性行为的风险和危险外，还要考虑到其积极方面和对保护的需要，以承认其乐趣及人类延续的需要；</w:t>
      </w:r>
      <w:r>
        <w:rPr>
          <w:rFonts w:hAnsi="SimSun" w:hint="eastAsia"/>
        </w:rPr>
        <w:t>㈤</w:t>
      </w:r>
      <w:r>
        <w:rPr>
          <w:rFonts w:hint="eastAsia"/>
        </w:rPr>
        <w:t xml:space="preserve"> 在扩大向妇女提供保健服务的情况下解决性健康和家庭生殖健康问题；</w:t>
      </w:r>
      <w:r>
        <w:rPr>
          <w:rFonts w:hAnsi="SimSun" w:hint="eastAsia"/>
        </w:rPr>
        <w:t>㈥</w:t>
      </w:r>
      <w:r>
        <w:rPr>
          <w:rFonts w:hint="eastAsia"/>
        </w:rPr>
        <w:t xml:space="preserve"> 加强在社区里的性行为教育工作，以便深入到各个家庭；</w:t>
      </w:r>
      <w:r>
        <w:rPr>
          <w:rFonts w:hAnsi="SimSun" w:hint="eastAsia"/>
        </w:rPr>
        <w:t>㈦</w:t>
      </w:r>
      <w:r>
        <w:rPr>
          <w:rFonts w:hint="eastAsia"/>
        </w:rPr>
        <w:t xml:space="preserve"> 在青年志愿者的协助下，促进同龄人之间的教育；以及</w:t>
      </w:r>
      <w:r>
        <w:rPr>
          <w:rFonts w:hAnsi="SimSun" w:hint="eastAsia"/>
        </w:rPr>
        <w:t>㈧</w:t>
      </w:r>
      <w:r>
        <w:rPr>
          <w:rFonts w:hint="eastAsia"/>
        </w:rPr>
        <w:t xml:space="preserve"> 加强对性健康和生殖健康服务工作人员的经常培训。</w:t>
      </w:r>
    </w:p>
    <w:p w:rsidR="004821CF" w:rsidRDefault="004821CF" w:rsidP="004741DA">
      <w:pPr>
        <w:pStyle w:val="SingleTxt"/>
        <w:rPr>
          <w:rFonts w:hint="eastAsia"/>
        </w:rPr>
      </w:pPr>
      <w:r>
        <w:rPr>
          <w:rFonts w:hint="eastAsia"/>
        </w:rPr>
        <w:t>50.</w:t>
      </w:r>
      <w:r>
        <w:rPr>
          <w:rFonts w:hint="eastAsia"/>
        </w:rPr>
        <w:tab/>
        <w:t>卫生部计划在2013年1月举办一期关于“卫生部门规划工作的公平问题”讲习班，这是政府为落实既定承诺而作出的努力之一，即通过采取针对具体性需求方面的干预措施减少卫生部门的性别不平等现象，以确保取得最好的成果，特别是在性健康和生殖健康领域。</w:t>
      </w:r>
    </w:p>
    <w:p w:rsidR="004821CF" w:rsidRPr="00EB5D15" w:rsidRDefault="004821CF" w:rsidP="004741DA">
      <w:pPr>
        <w:pStyle w:val="SingleTxt"/>
        <w:rPr>
          <w:rFonts w:ascii="SimHei" w:eastAsia="SimHei" w:hint="eastAsia"/>
        </w:rPr>
      </w:pPr>
      <w:r>
        <w:rPr>
          <w:rFonts w:hint="eastAsia"/>
        </w:rPr>
        <w:tab/>
      </w:r>
      <w:r>
        <w:rPr>
          <w:rFonts w:ascii="SimHei" w:eastAsia="SimHei" w:hint="eastAsia"/>
        </w:rPr>
        <w:t>14.</w:t>
      </w:r>
      <w:r>
        <w:rPr>
          <w:rFonts w:ascii="SimHei" w:eastAsia="SimHei" w:hint="eastAsia"/>
        </w:rPr>
        <w:tab/>
      </w:r>
      <w:r w:rsidRPr="00EB5D15">
        <w:rPr>
          <w:rFonts w:ascii="SimHei" w:eastAsia="SimHei" w:hint="eastAsia"/>
        </w:rPr>
        <w:t>报告</w:t>
      </w:r>
      <w:r>
        <w:rPr>
          <w:rFonts w:ascii="SimHei" w:eastAsia="SimHei" w:hint="eastAsia"/>
        </w:rPr>
        <w:t>(</w:t>
      </w:r>
      <w:r w:rsidRPr="00EB5D15">
        <w:rPr>
          <w:rFonts w:ascii="SimHei" w:eastAsia="SimHei" w:hint="eastAsia"/>
        </w:rPr>
        <w:t>第38段</w:t>
      </w:r>
      <w:r>
        <w:rPr>
          <w:rFonts w:ascii="SimHei" w:eastAsia="SimHei" w:hint="eastAsia"/>
        </w:rPr>
        <w:t>)</w:t>
      </w:r>
      <w:r w:rsidRPr="00EB5D15">
        <w:rPr>
          <w:rFonts w:ascii="SimHei" w:eastAsia="SimHei" w:hint="eastAsia"/>
        </w:rPr>
        <w:t>承认，结核病发病率较高</w:t>
      </w:r>
      <w:r>
        <w:rPr>
          <w:rFonts w:ascii="SimHei" w:eastAsia="SimHei" w:hint="eastAsia"/>
        </w:rPr>
        <w:t>(</w:t>
      </w:r>
      <w:r w:rsidRPr="00EB5D15">
        <w:rPr>
          <w:rFonts w:ascii="SimHei" w:eastAsia="SimHei" w:hint="eastAsia"/>
        </w:rPr>
        <w:t>约为每10万居民60人</w:t>
      </w:r>
      <w:r>
        <w:rPr>
          <w:rFonts w:ascii="SimHei" w:eastAsia="SimHei" w:hint="eastAsia"/>
        </w:rPr>
        <w:t>)</w:t>
      </w:r>
      <w:r w:rsidRPr="00EB5D15">
        <w:rPr>
          <w:rFonts w:ascii="SimHei" w:eastAsia="SimHei" w:hint="eastAsia"/>
        </w:rPr>
        <w:t>，主要原因是艾滋病毒和艾滋病的流行。请提供资料，说明为防治结核病及艾滋病毒和艾滋病所采取的措施。</w:t>
      </w:r>
    </w:p>
    <w:p w:rsidR="004821CF" w:rsidRDefault="004821CF" w:rsidP="004741DA">
      <w:pPr>
        <w:pStyle w:val="SingleTxt"/>
        <w:rPr>
          <w:rFonts w:hint="eastAsia"/>
        </w:rPr>
      </w:pPr>
      <w:r>
        <w:rPr>
          <w:rFonts w:hint="eastAsia"/>
        </w:rPr>
        <w:t>51.</w:t>
      </w:r>
      <w:r>
        <w:rPr>
          <w:rFonts w:hint="eastAsia"/>
        </w:rPr>
        <w:tab/>
        <w:t>在这两种情况下，首先应提到的是促进预防和保健方面的工作内容。召开了提高这方面认识的会议，以及分发传单、海报及开展关于培养健康生活习惯的公众教育活动等等。</w:t>
      </w:r>
    </w:p>
    <w:p w:rsidR="004821CF" w:rsidRDefault="004821CF" w:rsidP="004741DA">
      <w:pPr>
        <w:pStyle w:val="SingleTxt"/>
        <w:rPr>
          <w:rFonts w:hint="eastAsia"/>
        </w:rPr>
      </w:pPr>
      <w:r>
        <w:rPr>
          <w:rFonts w:hint="eastAsia"/>
        </w:rPr>
        <w:t>52.</w:t>
      </w:r>
      <w:r>
        <w:rPr>
          <w:rFonts w:hint="eastAsia"/>
        </w:rPr>
        <w:tab/>
        <w:t>具体就结核病而言，开展了以下工作：</w:t>
      </w:r>
      <w:r>
        <w:rPr>
          <w:rFonts w:hAnsi="SimSun" w:hint="eastAsia"/>
        </w:rPr>
        <w:t xml:space="preserve">㈠ </w:t>
      </w:r>
      <w:r>
        <w:rPr>
          <w:rFonts w:hint="eastAsia"/>
        </w:rPr>
        <w:t>早期诊断活动(通过对痰的显微镜和成像检查，对持续15天或以上的咳嗽患者进行排查)；</w:t>
      </w:r>
      <w:r>
        <w:rPr>
          <w:rFonts w:hAnsi="SimSun" w:hint="eastAsia"/>
        </w:rPr>
        <w:t>㈡</w:t>
      </w:r>
      <w:r>
        <w:rPr>
          <w:rFonts w:hint="eastAsia"/>
        </w:rPr>
        <w:t xml:space="preserve"> 编写并分发国家参考文件，就诊治结核病病例提出指导意见；</w:t>
      </w:r>
      <w:r>
        <w:rPr>
          <w:rFonts w:hAnsi="SimSun" w:hint="eastAsia"/>
        </w:rPr>
        <w:t>㈢</w:t>
      </w:r>
      <w:r>
        <w:rPr>
          <w:rFonts w:hint="eastAsia"/>
        </w:rPr>
        <w:t xml:space="preserve"> 分发免费药品；</w:t>
      </w:r>
      <w:r>
        <w:rPr>
          <w:rFonts w:hAnsi="SimSun" w:hint="eastAsia"/>
        </w:rPr>
        <w:t>㈣</w:t>
      </w:r>
      <w:r>
        <w:rPr>
          <w:rFonts w:hint="eastAsia"/>
        </w:rPr>
        <w:t xml:space="preserve"> 在所有卫生设施提供艾滋病毒检测服务；</w:t>
      </w:r>
      <w:r>
        <w:rPr>
          <w:rFonts w:hAnsi="SimSun" w:hint="eastAsia"/>
        </w:rPr>
        <w:t>㈤</w:t>
      </w:r>
      <w:r>
        <w:rPr>
          <w:rFonts w:hint="eastAsia"/>
        </w:rPr>
        <w:t xml:space="preserve"> 对患有结核病流行病的5岁以下幼儿提供预防措施；</w:t>
      </w:r>
      <w:r>
        <w:rPr>
          <w:rFonts w:hAnsi="SimSun" w:hint="eastAsia"/>
        </w:rPr>
        <w:t>㈥</w:t>
      </w:r>
      <w:r>
        <w:rPr>
          <w:rFonts w:hint="eastAsia"/>
        </w:rPr>
        <w:t xml:space="preserve"> 对感染艾滋病毒的病人提供预防措施；</w:t>
      </w:r>
      <w:r>
        <w:rPr>
          <w:rFonts w:hAnsi="SimSun" w:hint="eastAsia"/>
        </w:rPr>
        <w:t>㈦</w:t>
      </w:r>
      <w:r>
        <w:rPr>
          <w:rFonts w:hint="eastAsia"/>
        </w:rPr>
        <w:t xml:space="preserve"> 对感染结核病和艾滋病毒的病</w:t>
      </w:r>
      <w:r w:rsidRPr="00EB5D15">
        <w:rPr>
          <w:rFonts w:hint="eastAsia"/>
          <w:spacing w:val="-6"/>
        </w:rPr>
        <w:t>人进行抗逆转录病毒治疗；</w:t>
      </w:r>
      <w:r w:rsidRPr="00EB5D15">
        <w:rPr>
          <w:rFonts w:hAnsi="SimSun" w:hint="eastAsia"/>
          <w:spacing w:val="-6"/>
        </w:rPr>
        <w:t>㈧</w:t>
      </w:r>
      <w:r w:rsidRPr="00EB5D15">
        <w:rPr>
          <w:rFonts w:hint="eastAsia"/>
          <w:spacing w:val="-6"/>
        </w:rPr>
        <w:t xml:space="preserve"> 对保健专业人员进行诊治结核病方面的培训；</w:t>
      </w:r>
      <w:r w:rsidRPr="00EB5D15">
        <w:rPr>
          <w:rFonts w:hAnsi="SimSun" w:hint="eastAsia"/>
          <w:spacing w:val="-6"/>
        </w:rPr>
        <w:t>㈨</w:t>
      </w:r>
      <w:r>
        <w:rPr>
          <w:rFonts w:hint="eastAsia"/>
        </w:rPr>
        <w:t xml:space="preserve"> 保证在所有初级保健设施向结核病病人提供免费后续治疗；以及</w:t>
      </w:r>
      <w:r>
        <w:rPr>
          <w:rFonts w:hAnsi="SimSun" w:hint="eastAsia"/>
        </w:rPr>
        <w:t>㈩</w:t>
      </w:r>
      <w:r>
        <w:rPr>
          <w:rFonts w:hint="eastAsia"/>
        </w:rPr>
        <w:t xml:space="preserve"> 保证让患有较复杂结核病的病人住院，并采取生物安全措施。</w:t>
      </w:r>
    </w:p>
    <w:p w:rsidR="004821CF" w:rsidRDefault="004821CF" w:rsidP="004741DA">
      <w:pPr>
        <w:pStyle w:val="SingleTxt"/>
        <w:rPr>
          <w:rFonts w:hint="eastAsia"/>
        </w:rPr>
      </w:pPr>
      <w:r>
        <w:rPr>
          <w:rFonts w:hint="eastAsia"/>
        </w:rPr>
        <w:t>53.</w:t>
      </w:r>
      <w:r>
        <w:rPr>
          <w:rFonts w:hint="eastAsia"/>
        </w:rPr>
        <w:tab/>
        <w:t>关于防治艾滋病毒的战略框架，将针对不同弱势群体的初级预防工作置于优先地位，包括吸毒者、性工作者、在校和缀学青年、处于危险状况的儿童和流动人口。</w:t>
      </w:r>
    </w:p>
    <w:p w:rsidR="004821CF" w:rsidRDefault="004821CF" w:rsidP="004741DA">
      <w:pPr>
        <w:pStyle w:val="SingleTxt"/>
        <w:rPr>
          <w:rFonts w:hint="eastAsia"/>
        </w:rPr>
      </w:pPr>
      <w:r>
        <w:rPr>
          <w:rFonts w:hint="eastAsia"/>
        </w:rPr>
        <w:t>54.</w:t>
      </w:r>
      <w:r>
        <w:rPr>
          <w:rFonts w:hint="eastAsia"/>
        </w:rPr>
        <w:tab/>
        <w:t>此外，已经或正在开展下列行动：</w:t>
      </w:r>
      <w:r>
        <w:rPr>
          <w:rFonts w:hAnsi="SimSun" w:hint="eastAsia"/>
        </w:rPr>
        <w:t xml:space="preserve">㈠ </w:t>
      </w:r>
      <w:r>
        <w:rPr>
          <w:rFonts w:hint="eastAsia"/>
        </w:rPr>
        <w:t>将艾滋病毒/艾滋病内容纳入学校课程；</w:t>
      </w:r>
      <w:r>
        <w:rPr>
          <w:rFonts w:hAnsi="SimSun" w:hint="eastAsia"/>
        </w:rPr>
        <w:t>㈡</w:t>
      </w:r>
      <w:r>
        <w:rPr>
          <w:rFonts w:hint="eastAsia"/>
        </w:rPr>
        <w:t xml:space="preserve"> 在全国各中学设立信息和情况介绍中心；</w:t>
      </w:r>
      <w:r>
        <w:rPr>
          <w:rFonts w:hAnsi="SimSun" w:hint="eastAsia"/>
        </w:rPr>
        <w:t>㈢</w:t>
      </w:r>
      <w:r>
        <w:rPr>
          <w:rFonts w:hint="eastAsia"/>
        </w:rPr>
        <w:t xml:space="preserve"> 对同龄人和教育者进行性行为方面的培训；</w:t>
      </w:r>
      <w:r>
        <w:rPr>
          <w:rFonts w:hAnsi="SimSun" w:hint="eastAsia"/>
        </w:rPr>
        <w:t>㈣</w:t>
      </w:r>
      <w:r>
        <w:rPr>
          <w:rFonts w:hint="eastAsia"/>
        </w:rPr>
        <w:t xml:space="preserve"> 向弱势青年和弱势孤儿提供心理支助服务；</w:t>
      </w:r>
      <w:r>
        <w:rPr>
          <w:rFonts w:hAnsi="SimSun" w:hint="eastAsia"/>
        </w:rPr>
        <w:t>㈤</w:t>
      </w:r>
      <w:r>
        <w:rPr>
          <w:rFonts w:hint="eastAsia"/>
        </w:rPr>
        <w:t xml:space="preserve"> 在固定和流动结构里提供艾滋病毒咨询和检测，打击羞辱和歧视行为；以及</w:t>
      </w:r>
      <w:r>
        <w:rPr>
          <w:rFonts w:hAnsi="SimSun" w:hint="eastAsia"/>
        </w:rPr>
        <w:t>㈥</w:t>
      </w:r>
      <w:r>
        <w:rPr>
          <w:rFonts w:hint="eastAsia"/>
        </w:rPr>
        <w:t xml:space="preserve"> 设立预防母婴传播的方案。</w:t>
      </w:r>
    </w:p>
    <w:p w:rsidR="004821CF" w:rsidRPr="00EB5D15"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EB5D15">
        <w:rPr>
          <w:rFonts w:hint="eastAsia"/>
        </w:rPr>
        <w:t>农村妇女</w:t>
      </w:r>
    </w:p>
    <w:p w:rsidR="004821CF" w:rsidRPr="004821CF" w:rsidRDefault="004821CF" w:rsidP="004821CF">
      <w:pPr>
        <w:pStyle w:val="SingleTxt"/>
        <w:spacing w:after="0" w:line="120" w:lineRule="exact"/>
        <w:ind w:right="0"/>
        <w:rPr>
          <w:rFonts w:hint="eastAsia"/>
          <w:sz w:val="10"/>
        </w:rPr>
      </w:pPr>
    </w:p>
    <w:p w:rsidR="004821CF" w:rsidRDefault="004821CF" w:rsidP="004741DA">
      <w:pPr>
        <w:pStyle w:val="SingleTxt"/>
        <w:rPr>
          <w:rFonts w:hint="eastAsia"/>
        </w:rPr>
      </w:pPr>
      <w:r>
        <w:rPr>
          <w:rFonts w:hint="eastAsia"/>
        </w:rPr>
        <w:tab/>
      </w:r>
      <w:r w:rsidRPr="00EB5D15">
        <w:rPr>
          <w:rFonts w:ascii="SimHei" w:eastAsia="SimHei" w:hint="eastAsia"/>
        </w:rPr>
        <w:t>15.</w:t>
      </w:r>
      <w:r w:rsidRPr="00EB5D15">
        <w:rPr>
          <w:rFonts w:ascii="SimHei" w:eastAsia="SimHei" w:hint="eastAsia"/>
        </w:rPr>
        <w:tab/>
        <w:t>报告</w:t>
      </w:r>
      <w:r>
        <w:rPr>
          <w:rFonts w:ascii="SimHei" w:eastAsia="SimHei" w:hint="eastAsia"/>
        </w:rPr>
        <w:t>(</w:t>
      </w:r>
      <w:r w:rsidRPr="00EB5D15">
        <w:rPr>
          <w:rFonts w:ascii="SimHei" w:eastAsia="SimHei" w:hint="eastAsia"/>
        </w:rPr>
        <w:t>第298段</w:t>
      </w:r>
      <w:r>
        <w:rPr>
          <w:rFonts w:ascii="SimHei" w:eastAsia="SimHei" w:hint="eastAsia"/>
        </w:rPr>
        <w:t>)</w:t>
      </w:r>
      <w:r w:rsidRPr="00EB5D15">
        <w:rPr>
          <w:rFonts w:ascii="SimHei" w:eastAsia="SimHei" w:hint="eastAsia"/>
        </w:rPr>
        <w:t>表示，2004年的农业普查表明，“妇女大多为无报酬的家庭劳动力，主要在干旱土地上劳动，而灌溉农场的正式有偿劳动力主要为男性”。报告</w:t>
      </w:r>
      <w:r>
        <w:rPr>
          <w:rFonts w:ascii="SimHei" w:eastAsia="SimHei" w:hint="eastAsia"/>
        </w:rPr>
        <w:t>(</w:t>
      </w:r>
      <w:r w:rsidRPr="00EB5D15">
        <w:rPr>
          <w:rFonts w:ascii="SimHei" w:eastAsia="SimHei" w:hint="eastAsia"/>
        </w:rPr>
        <w:t>第259段</w:t>
      </w:r>
      <w:r>
        <w:rPr>
          <w:rFonts w:ascii="SimHei" w:eastAsia="SimHei" w:hint="eastAsia"/>
        </w:rPr>
        <w:t>)</w:t>
      </w:r>
      <w:r w:rsidRPr="00EB5D15">
        <w:rPr>
          <w:rFonts w:ascii="SimHei" w:eastAsia="SimHei" w:hint="eastAsia"/>
        </w:rPr>
        <w:t>还表示，农村地区的医疗服务覆盖面低于城市地区。请提供资料，说明为了改善农村妇女在所有领域的状况，尤其是在平等获得有偿工作机会、提高经济独立性以及获取卫生设施方面所采取的措施。</w:t>
      </w:r>
    </w:p>
    <w:p w:rsidR="004821CF" w:rsidRDefault="004821CF" w:rsidP="004741DA">
      <w:pPr>
        <w:pStyle w:val="SingleTxt"/>
        <w:rPr>
          <w:rFonts w:hint="eastAsia"/>
        </w:rPr>
      </w:pPr>
      <w:r>
        <w:rPr>
          <w:rFonts w:hint="eastAsia"/>
        </w:rPr>
        <w:t>55.</w:t>
      </w:r>
      <w:r>
        <w:rPr>
          <w:rFonts w:hint="eastAsia"/>
        </w:rPr>
        <w:tab/>
        <w:t>面对农业部门仍然存在的男女不平等现象，农村发展部为了促进可持续及包容性发展采取了一些行动，特别是在规划领域，其中有对现状分析结果的审查，包括对性别不平等现象的分析并确认结果。</w:t>
      </w:r>
    </w:p>
    <w:p w:rsidR="004821CF" w:rsidRDefault="004821CF" w:rsidP="004741DA">
      <w:pPr>
        <w:pStyle w:val="SingleTxt"/>
        <w:rPr>
          <w:rFonts w:hint="eastAsia"/>
        </w:rPr>
      </w:pPr>
      <w:r>
        <w:rPr>
          <w:rFonts w:hint="eastAsia"/>
        </w:rPr>
        <w:t>56.</w:t>
      </w:r>
      <w:r>
        <w:rPr>
          <w:rFonts w:hint="eastAsia"/>
        </w:rPr>
        <w:tab/>
        <w:t>据此采取了下列措施：</w:t>
      </w:r>
      <w:r>
        <w:rPr>
          <w:rFonts w:hAnsi="SimSun" w:hint="eastAsia"/>
        </w:rPr>
        <w:t xml:space="preserve">㈠ </w:t>
      </w:r>
      <w:r>
        <w:rPr>
          <w:rFonts w:hint="eastAsia"/>
        </w:rPr>
        <w:t>在规划、预算编制和管理总局设置了性别平等问题核心协调组，由部长办公室成员和该部负责规划、监测和评价工作的单位成员组成；</w:t>
      </w:r>
      <w:r>
        <w:rPr>
          <w:rFonts w:hAnsi="SimSun" w:hint="eastAsia"/>
        </w:rPr>
        <w:t>㈡</w:t>
      </w:r>
      <w:r>
        <w:rPr>
          <w:rFonts w:hint="eastAsia"/>
        </w:rPr>
        <w:t xml:space="preserve"> 促进在该部开展并传播的行政和普查统计中采用按性别分列的数据；以及</w:t>
      </w:r>
      <w:r>
        <w:rPr>
          <w:rFonts w:hAnsi="SimSun" w:hint="eastAsia"/>
        </w:rPr>
        <w:t>㈢</w:t>
      </w:r>
      <w:r>
        <w:rPr>
          <w:rFonts w:hint="eastAsia"/>
        </w:rPr>
        <w:t xml:space="preserve"> 对该部的官员开展能力建设活动，让他们熟悉各种做法和工具，以便在制订和执行战略计划和业务计划的所有阶段都将性别平等方法主流化。举办了一期讲习班，以分析在国家农业投资方案和农业发展项目方面的性别平等主流化现状。该部还出席了关于方案、计划和项目方面的性别平等主流化问题区域论坛和国际论坛。 </w:t>
      </w:r>
    </w:p>
    <w:p w:rsidR="004821CF" w:rsidRDefault="004821CF" w:rsidP="004741DA">
      <w:pPr>
        <w:pStyle w:val="SingleTxt"/>
        <w:rPr>
          <w:rFonts w:hint="eastAsia"/>
        </w:rPr>
      </w:pPr>
      <w:r>
        <w:rPr>
          <w:rFonts w:hint="eastAsia"/>
        </w:rPr>
        <w:t>57.</w:t>
      </w:r>
      <w:r>
        <w:rPr>
          <w:rFonts w:hint="eastAsia"/>
        </w:rPr>
        <w:tab/>
        <w:t>在2012年对农工商业提出的现状分析和干预提议将性别平等问题列为重点。此外，预计目前为分析水坝建筑工地周边社区而正在进行的数据收集工作将会有一个性别平等视角，以使对这些社区采取的干预措施能对妇女的社会-经济状况产生积极影响。</w:t>
      </w:r>
    </w:p>
    <w:p w:rsidR="004821CF" w:rsidRDefault="004821CF" w:rsidP="004741DA">
      <w:pPr>
        <w:pStyle w:val="SingleTxt"/>
        <w:rPr>
          <w:rFonts w:hint="eastAsia"/>
        </w:rPr>
      </w:pPr>
      <w:r>
        <w:rPr>
          <w:rFonts w:hint="eastAsia"/>
        </w:rPr>
        <w:t>58.</w:t>
      </w:r>
      <w:r>
        <w:rPr>
          <w:rFonts w:hint="eastAsia"/>
        </w:rPr>
        <w:tab/>
        <w:t>关于在农村地区获得保健服务的问题，已采取了一些行动，主要目的是改善获得保健服务的机会和服务质量。在这方面落实的举措包括卫生基础设施行动、改进关于人力资源开发、卫生信息、制药和药物的政策和标准。</w:t>
      </w:r>
    </w:p>
    <w:p w:rsidR="004821CF" w:rsidRDefault="004821CF" w:rsidP="004741DA">
      <w:pPr>
        <w:pStyle w:val="SingleTxt"/>
        <w:rPr>
          <w:rFonts w:hint="eastAsia"/>
        </w:rPr>
      </w:pPr>
      <w:r>
        <w:rPr>
          <w:rFonts w:hint="eastAsia"/>
        </w:rPr>
        <w:t>59.</w:t>
      </w:r>
      <w:r>
        <w:rPr>
          <w:rFonts w:hint="eastAsia"/>
        </w:rPr>
        <w:tab/>
        <w:t>在这些举措中，在基础设施层面的重要举措包括：㈠ 建造并装备5个新的保健中心；㈡ 建造北圣地亚哥区域医院，从而改善在国内居住人口最多的岛屿——圣地亚哥岛屿农村地区获得服务的机会；㈢ 建立2个内陆卫生站；以及㈣ 改造卫生站里的4个基础保健单位。正在建设远程保健结构，以便向卫生工作人员提供更多支持，特别是向那些在农村地区不易获得信息和培训的工作人员提供更多的支持。</w:t>
      </w:r>
    </w:p>
    <w:p w:rsidR="004821CF" w:rsidRDefault="004821CF" w:rsidP="004741DA">
      <w:pPr>
        <w:pStyle w:val="SingleTxt"/>
        <w:rPr>
          <w:rFonts w:hint="eastAsia"/>
        </w:rPr>
      </w:pPr>
      <w:r>
        <w:rPr>
          <w:rFonts w:hint="eastAsia"/>
        </w:rPr>
        <w:t>60.</w:t>
      </w:r>
      <w:r>
        <w:rPr>
          <w:rFonts w:hint="eastAsia"/>
        </w:rPr>
        <w:tab/>
        <w:t xml:space="preserve">应当指出，在佛得角这样一个孤立的群岛国家，受服务覆盖面的限制，特别是在专科方面，必须把最复杂的病例移送到中心医院，因此除了要改善这些医院的基础设施和人力资源外，正在加强在卫生巡访团和区域医院工作的工作人员的能力，以改进病人转送流程的质量。最近在区域医院采取的干预措施包括：㈠ 在背风岛区域中心医院为外科、产科和对外咨询中心建造护理病房；㈡ 翻修迎风岛区域中心医院的急诊室；以及㈢ 翻修圣安唐岛上的大里贝拉区域医院。 </w:t>
      </w:r>
    </w:p>
    <w:p w:rsidR="004821CF" w:rsidRDefault="004821CF" w:rsidP="004741DA">
      <w:pPr>
        <w:pStyle w:val="SingleTxt"/>
      </w:pPr>
      <w:r>
        <w:rPr>
          <w:rFonts w:hint="eastAsia"/>
        </w:rPr>
        <w:t>61.</w:t>
      </w:r>
      <w:r>
        <w:rPr>
          <w:rFonts w:hint="eastAsia"/>
        </w:rPr>
        <w:tab/>
        <w:t>在人力资源领域，已安置工作人员，特别是在管理部门安置医生、护士和技术人员，以增强卫生巡访团和区域医院的组成。此外，一些卫生巡访团配置了药房以改善获得药物的机会，特别是在那些没有私营药房的地区，并已作出努力以减少基本药品供应短缺的现象。</w:t>
      </w:r>
    </w:p>
    <w:p w:rsidR="004821CF"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89637D">
        <w:rPr>
          <w:rFonts w:hint="eastAsia"/>
        </w:rPr>
        <w:t>婚姻和家庭关系</w:t>
      </w:r>
    </w:p>
    <w:p w:rsidR="004821CF" w:rsidRPr="0089637D" w:rsidRDefault="004821CF" w:rsidP="004741DA">
      <w:pPr>
        <w:pStyle w:val="SingleTxt"/>
        <w:spacing w:after="0" w:line="120" w:lineRule="exact"/>
        <w:rPr>
          <w:rFonts w:hint="eastAsia"/>
          <w:sz w:val="10"/>
        </w:rPr>
      </w:pPr>
      <w:r>
        <w:rPr>
          <w:rFonts w:hint="eastAsia"/>
        </w:rPr>
        <w:tab/>
      </w:r>
    </w:p>
    <w:p w:rsidR="004821CF" w:rsidRPr="0089637D" w:rsidRDefault="004821CF" w:rsidP="004821CF">
      <w:pPr>
        <w:pStyle w:val="SingleTxt"/>
        <w:spacing w:line="306" w:lineRule="exact"/>
        <w:rPr>
          <w:rFonts w:ascii="SimHei" w:eastAsia="SimHei" w:hint="eastAsia"/>
        </w:rPr>
      </w:pPr>
      <w:r>
        <w:rPr>
          <w:rFonts w:hint="eastAsia"/>
        </w:rPr>
        <w:tab/>
      </w:r>
      <w:r w:rsidRPr="0089637D">
        <w:rPr>
          <w:rFonts w:ascii="SimHei" w:eastAsia="SimHei" w:hint="eastAsia"/>
        </w:rPr>
        <w:t>16.</w:t>
      </w:r>
      <w:r w:rsidRPr="0089637D">
        <w:rPr>
          <w:rFonts w:ascii="SimHei" w:eastAsia="SimHei" w:hint="eastAsia"/>
        </w:rPr>
        <w:tab/>
        <w:t>委员会在以往的结论意见</w:t>
      </w:r>
      <w:r>
        <w:rPr>
          <w:rFonts w:ascii="SimHei" w:eastAsia="SimHei" w:hint="eastAsia"/>
        </w:rPr>
        <w:t>(</w:t>
      </w:r>
      <w:r w:rsidRPr="0089637D">
        <w:rPr>
          <w:rFonts w:ascii="SimHei" w:eastAsia="SimHei" w:hint="eastAsia"/>
        </w:rPr>
        <w:t>第34段</w:t>
      </w:r>
      <w:r>
        <w:rPr>
          <w:rFonts w:ascii="SimHei" w:eastAsia="SimHei" w:hint="eastAsia"/>
        </w:rPr>
        <w:t>)</w:t>
      </w:r>
      <w:r w:rsidRPr="0089637D">
        <w:rPr>
          <w:rFonts w:ascii="SimHei" w:eastAsia="SimHei" w:hint="eastAsia"/>
        </w:rPr>
        <w:t>中请缔约国采取消除一夫多妻制的措施。报告对此问题保持缄默。请提供资料，说明缔约国为解决一夫多妻制问题采取的措施。</w:t>
      </w:r>
    </w:p>
    <w:p w:rsidR="004821CF" w:rsidRDefault="004821CF" w:rsidP="004821CF">
      <w:pPr>
        <w:pStyle w:val="SingleTxt"/>
        <w:spacing w:line="306" w:lineRule="exact"/>
        <w:rPr>
          <w:rFonts w:hint="eastAsia"/>
        </w:rPr>
      </w:pPr>
      <w:r>
        <w:rPr>
          <w:rFonts w:hint="eastAsia"/>
        </w:rPr>
        <w:t>62.</w:t>
      </w:r>
      <w:r>
        <w:rPr>
          <w:rFonts w:hint="eastAsia"/>
        </w:rPr>
        <w:tab/>
        <w:t>《佛得角民法》不允许一夫多妻制，不解除以前的婚姻关系绝对是一种障碍，即使不将结婚证书在公民身份登记册进行登记(第1564条c款)。即使对于两个自愿同居的异性之间的非婚姻结合，根据类似的婚姻条件，未解除婚姻关系仍然会对承认这类结合构成障碍(《民法》第1560和第1712条第1款(c))。</w:t>
      </w:r>
    </w:p>
    <w:p w:rsidR="004821CF" w:rsidRDefault="004821CF" w:rsidP="004821CF">
      <w:pPr>
        <w:pStyle w:val="SingleTxt"/>
        <w:spacing w:line="306" w:lineRule="exact"/>
        <w:rPr>
          <w:rFonts w:hint="eastAsia"/>
        </w:rPr>
      </w:pPr>
      <w:r>
        <w:rPr>
          <w:rFonts w:hint="eastAsia"/>
        </w:rPr>
        <w:t>63.</w:t>
      </w:r>
      <w:r>
        <w:rPr>
          <w:rFonts w:hint="eastAsia"/>
        </w:rPr>
        <w:tab/>
        <w:t>但是事实上的一夫多妻现象是存在的，已开展若干活动提高社会和社区对这个问题的敏感性。这些行动，特别是在社区里开展的行动，属于防范性行动，目的是促进和鼓励采取其他行为和态度，改变大男子主义做法。</w:t>
      </w:r>
    </w:p>
    <w:p w:rsidR="004821CF" w:rsidRDefault="004821CF" w:rsidP="004821CF">
      <w:pPr>
        <w:pStyle w:val="SingleTxt"/>
        <w:spacing w:line="306" w:lineRule="exact"/>
        <w:rPr>
          <w:rFonts w:hint="eastAsia"/>
        </w:rPr>
      </w:pPr>
      <w:r>
        <w:rPr>
          <w:rFonts w:hint="eastAsia"/>
        </w:rPr>
        <w:t>64.</w:t>
      </w:r>
      <w:r>
        <w:rPr>
          <w:rFonts w:hint="eastAsia"/>
        </w:rPr>
        <w:tab/>
        <w:t>在这方面，应着重提一下白丝带网络、论坛剧场和佛得角促进佛得角与西班牙之间合作协会开展的一些活动。白丝带网络是一群具有不同教育和活动背景的男子在2009年7月10日创立的一个网络，得到佛得角性别平等和公平研究所的技术支持和联合国的资助，热心致力于促进性别平等、反对基于性别的暴力行为和促进新的男性行为，并在学校、郊区和农村社区开展活动。</w:t>
      </w:r>
    </w:p>
    <w:p w:rsidR="004821CF" w:rsidRDefault="004821CF" w:rsidP="004821CF">
      <w:pPr>
        <w:pStyle w:val="SingleTxt"/>
        <w:spacing w:line="306" w:lineRule="exact"/>
        <w:rPr>
          <w:rFonts w:hint="eastAsia"/>
        </w:rPr>
      </w:pPr>
      <w:r>
        <w:rPr>
          <w:rFonts w:hint="eastAsia"/>
        </w:rPr>
        <w:t>65.</w:t>
      </w:r>
      <w:r>
        <w:rPr>
          <w:rFonts w:hint="eastAsia"/>
        </w:rPr>
        <w:tab/>
        <w:t>论坛剧场是一个与佛得角性别平等和公平研究所和白丝带网络有关联的剧场干预举措，以活动参与者的团体和个人经验为基础开展对社区的外联活动，特别是针对男孩和男青年开展外联活动；他们对娱乐中的不平等现象和暴力侵害妇女行为采取干预措施，并促进对行为和态度的反思，提倡不同的生活和行为方式。佛得角促进佛得角与西班牙之间合作协会则开展针对渔业和农村地区的女“巴图克歌手”的活动，以加强她们的地位和消除“巴图克”歌曲歌词中有关一夫多妻制的陈规定型说法。</w:t>
      </w:r>
    </w:p>
    <w:p w:rsidR="004821CF" w:rsidRPr="0089637D" w:rsidRDefault="004821CF" w:rsidP="004821CF">
      <w:pPr>
        <w:pStyle w:val="SingleTxt"/>
        <w:spacing w:line="306" w:lineRule="exact"/>
        <w:rPr>
          <w:rFonts w:ascii="SimHei" w:eastAsia="SimHei" w:hint="eastAsia"/>
        </w:rPr>
      </w:pPr>
      <w:r>
        <w:rPr>
          <w:rFonts w:hint="eastAsia"/>
        </w:rPr>
        <w:tab/>
      </w:r>
      <w:r w:rsidRPr="0089637D">
        <w:rPr>
          <w:rFonts w:ascii="SimHei" w:eastAsia="SimHei" w:hint="eastAsia"/>
        </w:rPr>
        <w:t>17.</w:t>
      </w:r>
      <w:r w:rsidRPr="0089637D">
        <w:rPr>
          <w:rFonts w:ascii="SimHei" w:eastAsia="SimHei" w:hint="eastAsia"/>
        </w:rPr>
        <w:tab/>
        <w:t>报告</w:t>
      </w:r>
      <w:r>
        <w:rPr>
          <w:rFonts w:ascii="SimHei" w:eastAsia="SimHei" w:hint="eastAsia"/>
        </w:rPr>
        <w:t>(</w:t>
      </w:r>
      <w:r w:rsidRPr="0089637D">
        <w:rPr>
          <w:rFonts w:ascii="SimHei" w:eastAsia="SimHei" w:hint="eastAsia"/>
        </w:rPr>
        <w:t>第334段</w:t>
      </w:r>
      <w:r>
        <w:rPr>
          <w:rFonts w:ascii="SimHei" w:eastAsia="SimHei" w:hint="eastAsia"/>
        </w:rPr>
        <w:t>)</w:t>
      </w:r>
      <w:r w:rsidRPr="0089637D">
        <w:rPr>
          <w:rFonts w:ascii="SimHei" w:eastAsia="SimHei" w:hint="eastAsia"/>
        </w:rPr>
        <w:t>表示，在编写报告之时，缔约国正在起草一项国家家庭计划，并正在对佛得角家庭的状况开展研究，以拟订将落实的目标和措施。请提供资料，说明该国家计划的现状、计划的内容以及执行状况。</w:t>
      </w:r>
    </w:p>
    <w:p w:rsidR="004821CF" w:rsidRDefault="004821CF" w:rsidP="004821CF">
      <w:pPr>
        <w:pStyle w:val="SingleTxt"/>
        <w:spacing w:line="306" w:lineRule="exact"/>
        <w:rPr>
          <w:rFonts w:hint="eastAsia"/>
        </w:rPr>
      </w:pPr>
      <w:r>
        <w:rPr>
          <w:rFonts w:hint="eastAsia"/>
        </w:rPr>
        <w:t>66.</w:t>
      </w:r>
      <w:r>
        <w:rPr>
          <w:rFonts w:hint="eastAsia"/>
        </w:rPr>
        <w:tab/>
        <w:t>根据对佛得角家庭状况的分析，2012年3月15日第14/2012号决议批准并公布了《2012-2015年促进佛得角家庭发展行动计划》。《行动计划》的总目标是促进创造能确保使佛得角家庭在经济、社会、政治和文化方面享有康乐的条件。具体目标是：㈠ 促进创造有利于家庭关系的条件；㈡ 提高家庭的教育和培训水平；㈢ 通过提高就业机会改善佛得角家庭的经济状况；㈣ 减少面临贫困风险和社会脆弱性的家庭数；以及</w:t>
      </w:r>
      <w:r>
        <w:rPr>
          <w:rFonts w:hAnsi="SimSun" w:hint="eastAsia"/>
        </w:rPr>
        <w:t>㈤</w:t>
      </w:r>
      <w:r>
        <w:rPr>
          <w:rFonts w:hint="eastAsia"/>
        </w:rPr>
        <w:t xml:space="preserve"> 改善佛得角家庭的健康和福利。</w:t>
      </w:r>
    </w:p>
    <w:p w:rsidR="004821CF" w:rsidRDefault="004821CF" w:rsidP="004821CF">
      <w:pPr>
        <w:pStyle w:val="SingleTxt"/>
        <w:spacing w:line="306" w:lineRule="exact"/>
        <w:rPr>
          <w:rFonts w:hint="eastAsia"/>
        </w:rPr>
      </w:pPr>
      <w:r>
        <w:rPr>
          <w:rFonts w:hint="eastAsia"/>
        </w:rPr>
        <w:t>67.</w:t>
      </w:r>
      <w:r>
        <w:rPr>
          <w:rFonts w:hint="eastAsia"/>
        </w:rPr>
        <w:tab/>
        <w:t>《行动计划》附有实施计划的指导文件——《实施2012-2015年促进佛得角家庭发展国家行动计划的业务计划》，这是一个用于指导各部门(公共部门和私营部门、民间社会、非政府组织和参与这一领域工作的佛得角社会的发展伙伴)协调，对一整套综合举措进行战略规划的工具。</w:t>
      </w:r>
    </w:p>
    <w:p w:rsidR="004821CF" w:rsidRDefault="004821CF" w:rsidP="004821CF">
      <w:pPr>
        <w:pStyle w:val="SingleTxt"/>
        <w:spacing w:line="306" w:lineRule="exact"/>
        <w:rPr>
          <w:rFonts w:hint="eastAsia"/>
        </w:rPr>
      </w:pPr>
      <w:r>
        <w:rPr>
          <w:rFonts w:hint="eastAsia"/>
        </w:rPr>
        <w:t>68.</w:t>
      </w:r>
      <w:r>
        <w:rPr>
          <w:rFonts w:hint="eastAsia"/>
        </w:rPr>
        <w:tab/>
        <w:t>战略计划的支柱是：㈠ 通过加强法律机制创造有利的社会、法律和体制环境，保护家庭和促进在家庭事务方面的社会问责制；㈡ 加强机构支助家庭的能力，加强机构对家庭问题作出反应的能力，提高国家及区域家庭方案和项目的管理、规划和实施能力，以及加深对佛得角家庭问题的了解；㈢ 提高家庭教育和培训的平均水平，促进增加家庭获得知识、教育和能力的机会，以及促进增加最弱势家庭获得社会的教育和培训福利的机会；㈣ 通过加强职业方案、拟订社会就业政策、加强减贫干预措施、改善粮食安全和巩固社会保护改革进程，加强家庭的经济能力；</w:t>
      </w:r>
      <w:r>
        <w:rPr>
          <w:rFonts w:hAnsi="SimSun" w:hint="eastAsia"/>
        </w:rPr>
        <w:t xml:space="preserve">㈤ </w:t>
      </w:r>
      <w:r>
        <w:rPr>
          <w:rFonts w:hint="eastAsia"/>
        </w:rPr>
        <w:t>通过增加获得保健服务的机会和提高保健服务质量，促进和改善生殖健康及促进健康和预防疾病，促进家庭健康和福利；</w:t>
      </w:r>
      <w:r>
        <w:rPr>
          <w:rFonts w:hAnsi="SimSun" w:hint="eastAsia"/>
        </w:rPr>
        <w:t>㈥</w:t>
      </w:r>
      <w:r>
        <w:rPr>
          <w:rFonts w:hint="eastAsia"/>
        </w:rPr>
        <w:t xml:space="preserve"> 通过增加家庭获得基本社会服务和住房的机会，提高家庭的舒适度和福利水平；</w:t>
      </w:r>
      <w:r>
        <w:rPr>
          <w:rFonts w:hAnsi="SimSun" w:hint="eastAsia"/>
        </w:rPr>
        <w:t>㈦</w:t>
      </w:r>
      <w:r>
        <w:rPr>
          <w:rFonts w:hint="eastAsia"/>
        </w:rPr>
        <w:t xml:space="preserve"> 通过采取保护和社会融合措施及预防危险状况，促进社会包容性和融合；以及</w:t>
      </w:r>
      <w:r>
        <w:rPr>
          <w:rFonts w:hAnsi="SimSun" w:hint="eastAsia"/>
        </w:rPr>
        <w:t>㈧</w:t>
      </w:r>
      <w:r>
        <w:rPr>
          <w:rFonts w:hint="eastAsia"/>
        </w:rPr>
        <w:t xml:space="preserve"> 通过扩大和加强全国公共部门和私营部门伙伴关系及加强国际合作，就家庭问题建立战略联盟和伙伴关系。</w:t>
      </w:r>
    </w:p>
    <w:p w:rsidR="004821CF" w:rsidRDefault="004821CF" w:rsidP="004821CF">
      <w:pPr>
        <w:pStyle w:val="SingleTxt"/>
        <w:spacing w:line="306" w:lineRule="exact"/>
        <w:rPr>
          <w:rFonts w:hint="eastAsia"/>
        </w:rPr>
      </w:pPr>
      <w:r>
        <w:rPr>
          <w:rFonts w:hint="eastAsia"/>
        </w:rPr>
        <w:t>69.</w:t>
      </w:r>
      <w:r>
        <w:rPr>
          <w:rFonts w:hint="eastAsia"/>
        </w:rPr>
        <w:tab/>
        <w:t>《行动计划》目前正在实施过程中，并已开展了下列活动：㈠ 拟订和批准《2012年年度行动计划》；㈡ 举行全国委员会成员会议；㈢ 在9个岛屿的2个岛屿(圣维森特岛和圣安唐岛)及向社会伙伴提出并传播《国家计划》和《业务计划》；㈣ 与佛得角大学合作举办为期一天的反思研讨会“家庭、暴力和性别平等”；</w:t>
      </w:r>
      <w:r>
        <w:rPr>
          <w:rFonts w:hAnsi="SimSun" w:hint="eastAsia"/>
        </w:rPr>
        <w:t>㈤</w:t>
      </w:r>
      <w:r>
        <w:rPr>
          <w:rFonts w:hint="eastAsia"/>
        </w:rPr>
        <w:t xml:space="preserve"> 通过在不同频道举办电视辩论传播和宣传家庭问题；</w:t>
      </w:r>
      <w:r>
        <w:rPr>
          <w:rFonts w:hAnsi="SimSun" w:hint="eastAsia"/>
        </w:rPr>
        <w:t>㈥</w:t>
      </w:r>
      <w:r>
        <w:rPr>
          <w:rFonts w:hint="eastAsia"/>
        </w:rPr>
        <w:t xml:space="preserve"> 佛得角参加第七届世界家庭研讨会(意大利米兰)；</w:t>
      </w:r>
      <w:r>
        <w:rPr>
          <w:rFonts w:hAnsi="SimSun" w:hint="eastAsia"/>
        </w:rPr>
        <w:t>㈦</w:t>
      </w:r>
      <w:r>
        <w:rPr>
          <w:rFonts w:hint="eastAsia"/>
        </w:rPr>
        <w:t xml:space="preserve"> 建立专题小组；</w:t>
      </w:r>
      <w:r>
        <w:rPr>
          <w:rFonts w:hAnsi="SimSun" w:hint="eastAsia"/>
        </w:rPr>
        <w:t>㈧</w:t>
      </w:r>
      <w:r>
        <w:rPr>
          <w:rFonts w:hint="eastAsia"/>
        </w:rPr>
        <w:t xml:space="preserve"> 建立监测和评价核心小组；以及</w:t>
      </w:r>
      <w:r>
        <w:rPr>
          <w:rFonts w:hAnsi="SimSun" w:hint="eastAsia"/>
        </w:rPr>
        <w:t>㈨</w:t>
      </w:r>
      <w:r>
        <w:rPr>
          <w:rFonts w:hint="eastAsia"/>
        </w:rPr>
        <w:t xml:space="preserve"> 提出关于建立市家庭委员会的提案。</w:t>
      </w:r>
    </w:p>
    <w:p w:rsidR="004821CF" w:rsidRPr="004821CF" w:rsidRDefault="004821CF" w:rsidP="004821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306" w:lineRule="exact"/>
        <w:ind w:left="1267" w:right="1260" w:hanging="1267"/>
        <w:rPr>
          <w:rFonts w:ascii="Times New Roman"/>
        </w:rPr>
      </w:pPr>
      <w:r>
        <w:rPr>
          <w:rFonts w:hint="eastAsia"/>
        </w:rPr>
        <w:tab/>
      </w:r>
      <w:r>
        <w:rPr>
          <w:rFonts w:hint="eastAsia"/>
        </w:rPr>
        <w:tab/>
      </w:r>
      <w:r w:rsidRPr="00510C64">
        <w:rPr>
          <w:rFonts w:hint="eastAsia"/>
        </w:rPr>
        <w:t>《公约》第二十条第1款的修正</w:t>
      </w:r>
    </w:p>
    <w:p w:rsidR="004821CF" w:rsidRPr="004821CF" w:rsidRDefault="004821CF" w:rsidP="004821CF">
      <w:pPr>
        <w:pStyle w:val="SingleTxt"/>
        <w:spacing w:after="0" w:line="120" w:lineRule="exact"/>
        <w:rPr>
          <w:rFonts w:ascii="SimHei" w:eastAsia="SimHei" w:hint="eastAsia"/>
          <w:sz w:val="10"/>
        </w:rPr>
      </w:pPr>
    </w:p>
    <w:p w:rsidR="004821CF" w:rsidRPr="00510C64" w:rsidRDefault="004821CF" w:rsidP="004821CF">
      <w:pPr>
        <w:pStyle w:val="SingleTxt"/>
        <w:spacing w:line="306" w:lineRule="exact"/>
        <w:rPr>
          <w:rFonts w:ascii="SimHei" w:eastAsia="SimHei" w:hint="eastAsia"/>
        </w:rPr>
      </w:pPr>
      <w:r w:rsidRPr="00510C64">
        <w:rPr>
          <w:rFonts w:ascii="SimHei" w:eastAsia="SimHei" w:hint="eastAsia"/>
        </w:rPr>
        <w:tab/>
        <w:t>18.</w:t>
      </w:r>
      <w:r w:rsidRPr="00510C64">
        <w:rPr>
          <w:rFonts w:ascii="SimHei" w:eastAsia="SimHei" w:hint="eastAsia"/>
        </w:rPr>
        <w:tab/>
        <w:t>请说明在接受对《公约》第二十条第1款关于委员会开会时间的修正方面所取得的任何进展。</w:t>
      </w:r>
    </w:p>
    <w:p w:rsidR="004821CF" w:rsidRDefault="004821CF" w:rsidP="004821CF">
      <w:pPr>
        <w:pStyle w:val="SingleTxt"/>
        <w:spacing w:line="306" w:lineRule="exact"/>
        <w:rPr>
          <w:rFonts w:hint="eastAsia"/>
        </w:rPr>
      </w:pPr>
      <w:r>
        <w:rPr>
          <w:rFonts w:hint="eastAsia"/>
        </w:rPr>
        <w:t>70.</w:t>
      </w:r>
      <w:r>
        <w:rPr>
          <w:rFonts w:hint="eastAsia"/>
        </w:rPr>
        <w:tab/>
        <w:t>考虑到由于《公约》缔约国越来越多导致委员会的工作量增加，而委员会的年度届会时间与根据人权条约设立的其他机构的所有年度届会相比又是最短的，因此提议修改第二十条第1款的措辞，将现行案文：“委员会一般应每年召开为期不超过两星期的会议以审议按照本公约第十八条规定提出的报告”改为“委员会一般应每年召开会议以审议按照本公约第十八条规定向其提出的报告。委员会会议的持续时间应由本公约缔约国召开会议确定并须得到大会核准。”</w:t>
      </w:r>
    </w:p>
    <w:p w:rsidR="004821CF" w:rsidRDefault="004821CF" w:rsidP="004821CF">
      <w:pPr>
        <w:pStyle w:val="SingleTxt"/>
        <w:spacing w:line="306" w:lineRule="exact"/>
        <w:rPr>
          <w:rFonts w:hint="eastAsia"/>
        </w:rPr>
      </w:pPr>
      <w:r>
        <w:rPr>
          <w:rFonts w:hint="eastAsia"/>
        </w:rPr>
        <w:t>71.</w:t>
      </w:r>
      <w:r>
        <w:rPr>
          <w:rFonts w:hint="eastAsia"/>
        </w:rPr>
        <w:tab/>
        <w:t>为使这项修改生效，须得到大会的审议和接受及有多达三分之二的大多数缔约国通知作为《公约》保存人的秘书长。</w:t>
      </w:r>
    </w:p>
    <w:p w:rsidR="004821CF" w:rsidRDefault="004821CF" w:rsidP="004821CF">
      <w:pPr>
        <w:pStyle w:val="SingleTxt"/>
        <w:spacing w:line="306" w:lineRule="exact"/>
      </w:pPr>
      <w:r>
        <w:rPr>
          <w:rFonts w:hint="eastAsia"/>
        </w:rPr>
        <w:t>72.</w:t>
      </w:r>
      <w:r>
        <w:rPr>
          <w:rFonts w:hint="eastAsia"/>
        </w:rPr>
        <w:tab/>
        <w:t>佛得角对第二十条的修改及提议的修正案表示赞成。</w:t>
      </w:r>
    </w:p>
    <w:p w:rsidR="004821CF" w:rsidRPr="000A476A" w:rsidRDefault="004821CF" w:rsidP="004821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sidRPr="000A476A">
        <w:rPr>
          <w:rFonts w:hint="eastAsia"/>
        </w:rPr>
        <w:t>附件</w:t>
      </w:r>
    </w:p>
    <w:p w:rsidR="004821CF" w:rsidRPr="005019C6" w:rsidRDefault="004821CF" w:rsidP="004741DA">
      <w:pPr>
        <w:pStyle w:val="SingleTxt"/>
        <w:rPr>
          <w:rFonts w:ascii="SimHei" w:eastAsia="SimHei" w:hint="eastAsia"/>
        </w:rPr>
      </w:pPr>
      <w:r w:rsidRPr="009933D2">
        <w:rPr>
          <w:rFonts w:hint="eastAsia"/>
        </w:rPr>
        <w:t>表1</w:t>
      </w:r>
      <w:r w:rsidRPr="005019C6">
        <w:rPr>
          <w:rFonts w:ascii="SimHei" w:eastAsia="SimHei"/>
        </w:rPr>
        <w:br/>
      </w:r>
      <w:r w:rsidRPr="005019C6">
        <w:rPr>
          <w:rFonts w:ascii="SimHei" w:eastAsia="SimHei" w:hint="eastAsia"/>
        </w:rPr>
        <w:t>2011年按市县分列的立案并结案的基于性别的暴力案件</w:t>
      </w:r>
    </w:p>
    <w:tbl>
      <w:tblPr>
        <w:tblW w:w="0" w:type="auto"/>
        <w:tblInd w:w="1260" w:type="dxa"/>
        <w:tblLayout w:type="fixed"/>
        <w:tblCellMar>
          <w:left w:w="0" w:type="dxa"/>
          <w:right w:w="0" w:type="dxa"/>
        </w:tblCellMar>
        <w:tblLook w:val="0000" w:firstRow="0" w:lastRow="0" w:firstColumn="0" w:lastColumn="0" w:noHBand="0" w:noVBand="0"/>
      </w:tblPr>
      <w:tblGrid>
        <w:gridCol w:w="1218"/>
        <w:gridCol w:w="980"/>
        <w:gridCol w:w="714"/>
        <w:gridCol w:w="715"/>
        <w:gridCol w:w="715"/>
        <w:gridCol w:w="782"/>
        <w:gridCol w:w="731"/>
        <w:gridCol w:w="731"/>
        <w:gridCol w:w="731"/>
      </w:tblGrid>
      <w:tr w:rsidR="004821CF" w:rsidRPr="00AC51D4" w:rsidTr="004741DA">
        <w:tblPrEx>
          <w:tblCellMar>
            <w:top w:w="0" w:type="dxa"/>
            <w:bottom w:w="0" w:type="dxa"/>
          </w:tblCellMar>
        </w:tblPrEx>
        <w:trPr>
          <w:tblHeader/>
        </w:trPr>
        <w:tc>
          <w:tcPr>
            <w:tcW w:w="1218"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rPr>
                <w:rFonts w:ascii="KaiTi_GB2312" w:eastAsia="KaiTi_GB2312"/>
                <w:sz w:val="15"/>
                <w:szCs w:val="17"/>
              </w:rPr>
            </w:pPr>
            <w:r w:rsidRPr="00AC51D4">
              <w:rPr>
                <w:rFonts w:ascii="KaiTi_GB2312" w:eastAsia="KaiTi_GB2312" w:hint="eastAsia"/>
                <w:sz w:val="15"/>
                <w:szCs w:val="17"/>
              </w:rPr>
              <w:t>县</w:t>
            </w:r>
          </w:p>
        </w:tc>
        <w:tc>
          <w:tcPr>
            <w:tcW w:w="980"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szCs w:val="17"/>
              </w:rPr>
            </w:pPr>
            <w:r w:rsidRPr="00AC51D4">
              <w:rPr>
                <w:rFonts w:ascii="KaiTi_GB2312" w:eastAsia="KaiTi_GB2312" w:hint="eastAsia"/>
                <w:sz w:val="15"/>
                <w:szCs w:val="17"/>
              </w:rPr>
              <w:t>在法庭上</w:t>
            </w:r>
            <w:r>
              <w:rPr>
                <w:rFonts w:ascii="KaiTi_GB2312" w:eastAsia="KaiTi_GB2312"/>
                <w:sz w:val="15"/>
                <w:szCs w:val="17"/>
              </w:rPr>
              <w:br/>
            </w:r>
            <w:r w:rsidRPr="00AC51D4">
              <w:rPr>
                <w:rFonts w:ascii="KaiTi_GB2312" w:eastAsia="KaiTi_GB2312" w:hint="eastAsia"/>
                <w:sz w:val="15"/>
                <w:szCs w:val="17"/>
              </w:rPr>
              <w:t>提起的诉讼</w:t>
            </w:r>
          </w:p>
        </w:tc>
        <w:tc>
          <w:tcPr>
            <w:tcW w:w="714"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hint="eastAsia"/>
                <w:sz w:val="15"/>
                <w:szCs w:val="17"/>
              </w:rPr>
            </w:pPr>
            <w:r w:rsidRPr="00AC51D4">
              <w:rPr>
                <w:rFonts w:ascii="KaiTi_GB2312" w:eastAsia="KaiTi_GB2312" w:hint="eastAsia"/>
                <w:sz w:val="15"/>
                <w:szCs w:val="17"/>
              </w:rPr>
              <w:t>被控</w:t>
            </w:r>
          </w:p>
        </w:tc>
        <w:tc>
          <w:tcPr>
            <w:tcW w:w="715"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hint="eastAsia"/>
                <w:sz w:val="15"/>
                <w:szCs w:val="17"/>
              </w:rPr>
            </w:pPr>
            <w:r w:rsidRPr="00AC51D4">
              <w:rPr>
                <w:rFonts w:ascii="KaiTi_GB2312" w:eastAsia="KaiTi_GB2312" w:hint="eastAsia"/>
                <w:sz w:val="15"/>
                <w:szCs w:val="17"/>
              </w:rPr>
              <w:t>存档</w:t>
            </w:r>
          </w:p>
        </w:tc>
        <w:tc>
          <w:tcPr>
            <w:tcW w:w="715"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hint="eastAsia"/>
                <w:sz w:val="15"/>
                <w:szCs w:val="17"/>
              </w:rPr>
            </w:pPr>
            <w:r w:rsidRPr="00AC51D4">
              <w:rPr>
                <w:rFonts w:ascii="KaiTi_GB2312" w:eastAsia="KaiTi_GB2312" w:hint="eastAsia"/>
                <w:sz w:val="15"/>
                <w:szCs w:val="17"/>
              </w:rPr>
              <w:t>转交</w:t>
            </w:r>
          </w:p>
        </w:tc>
        <w:tc>
          <w:tcPr>
            <w:tcW w:w="782"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szCs w:val="17"/>
              </w:rPr>
            </w:pPr>
            <w:r w:rsidRPr="00AC51D4">
              <w:rPr>
                <w:rFonts w:ascii="KaiTi_GB2312" w:eastAsia="KaiTi_GB2312" w:hint="eastAsia"/>
                <w:sz w:val="15"/>
                <w:szCs w:val="17"/>
              </w:rPr>
              <w:t>临时被</w:t>
            </w:r>
            <w:r>
              <w:rPr>
                <w:rFonts w:ascii="KaiTi_GB2312" w:eastAsia="KaiTi_GB2312"/>
                <w:sz w:val="15"/>
                <w:szCs w:val="17"/>
              </w:rPr>
              <w:br/>
            </w:r>
            <w:r w:rsidRPr="00AC51D4">
              <w:rPr>
                <w:rFonts w:ascii="KaiTi_GB2312" w:eastAsia="KaiTi_GB2312" w:hint="eastAsia"/>
                <w:sz w:val="15"/>
                <w:szCs w:val="17"/>
              </w:rPr>
              <w:t>判缓刑</w:t>
            </w:r>
          </w:p>
        </w:tc>
        <w:tc>
          <w:tcPr>
            <w:tcW w:w="731"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szCs w:val="17"/>
              </w:rPr>
            </w:pPr>
            <w:r w:rsidRPr="00AC51D4">
              <w:rPr>
                <w:rFonts w:ascii="KaiTi_GB2312" w:eastAsia="KaiTi_GB2312" w:hint="eastAsia"/>
                <w:sz w:val="15"/>
                <w:szCs w:val="17"/>
              </w:rPr>
              <w:t>共计</w:t>
            </w:r>
            <w:r>
              <w:rPr>
                <w:rFonts w:ascii="KaiTi_GB2312" w:eastAsia="KaiTi_GB2312"/>
                <w:sz w:val="15"/>
                <w:szCs w:val="17"/>
              </w:rPr>
              <w:br/>
            </w:r>
            <w:r w:rsidRPr="00AC51D4">
              <w:rPr>
                <w:rFonts w:ascii="KaiTi_GB2312" w:eastAsia="KaiTi_GB2312" w:hint="eastAsia"/>
                <w:sz w:val="15"/>
                <w:szCs w:val="17"/>
              </w:rPr>
              <w:t>结案</w:t>
            </w:r>
          </w:p>
        </w:tc>
        <w:tc>
          <w:tcPr>
            <w:tcW w:w="731"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szCs w:val="17"/>
              </w:rPr>
            </w:pPr>
            <w:r w:rsidRPr="00AC51D4">
              <w:rPr>
                <w:rFonts w:ascii="KaiTi_GB2312" w:eastAsia="KaiTi_GB2312" w:hint="eastAsia"/>
                <w:sz w:val="15"/>
                <w:szCs w:val="17"/>
              </w:rPr>
              <w:t>结案所占</w:t>
            </w:r>
            <w:r>
              <w:rPr>
                <w:rFonts w:ascii="KaiTi_GB2312" w:eastAsia="KaiTi_GB2312"/>
                <w:sz w:val="15"/>
                <w:szCs w:val="17"/>
              </w:rPr>
              <w:br/>
            </w:r>
            <w:r w:rsidRPr="00AC51D4">
              <w:rPr>
                <w:rFonts w:ascii="KaiTi_GB2312" w:eastAsia="KaiTi_GB2312" w:hint="eastAsia"/>
                <w:sz w:val="15"/>
                <w:szCs w:val="17"/>
              </w:rPr>
              <w:t>百分比</w:t>
            </w:r>
          </w:p>
        </w:tc>
        <w:tc>
          <w:tcPr>
            <w:tcW w:w="731" w:type="dxa"/>
            <w:tcBorders>
              <w:top w:val="single" w:sz="4" w:space="0" w:color="auto"/>
              <w:bottom w:val="single" w:sz="12" w:space="0" w:color="auto"/>
            </w:tcBorders>
            <w:shd w:val="clear" w:color="auto" w:fill="auto"/>
            <w:vAlign w:val="bottom"/>
          </w:tcPr>
          <w:p w:rsidR="004821CF" w:rsidRPr="00AC51D4"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szCs w:val="17"/>
              </w:rPr>
            </w:pPr>
            <w:r w:rsidRPr="00AC51D4">
              <w:rPr>
                <w:rFonts w:ascii="KaiTi_GB2312" w:eastAsia="KaiTi_GB2312" w:hint="eastAsia"/>
                <w:sz w:val="15"/>
                <w:szCs w:val="17"/>
              </w:rPr>
              <w:t>待决</w:t>
            </w:r>
            <w:r>
              <w:rPr>
                <w:rFonts w:ascii="KaiTi_GB2312" w:eastAsia="KaiTi_GB2312"/>
                <w:sz w:val="15"/>
                <w:szCs w:val="17"/>
              </w:rPr>
              <w:br/>
            </w:r>
            <w:r w:rsidRPr="00AC51D4">
              <w:rPr>
                <w:rFonts w:ascii="KaiTi_GB2312" w:eastAsia="KaiTi_GB2312" w:hint="eastAsia"/>
                <w:sz w:val="15"/>
                <w:szCs w:val="17"/>
              </w:rPr>
              <w:t>诉讼</w:t>
            </w:r>
          </w:p>
        </w:tc>
      </w:tr>
      <w:tr w:rsidR="004821CF" w:rsidRPr="00AC51D4" w:rsidTr="004741DA">
        <w:tblPrEx>
          <w:tblCellMar>
            <w:top w:w="0" w:type="dxa"/>
            <w:bottom w:w="0" w:type="dxa"/>
          </w:tblCellMar>
        </w:tblPrEx>
        <w:trPr>
          <w:trHeight w:hRule="exact" w:val="115"/>
          <w:tblHeader/>
        </w:trPr>
        <w:tc>
          <w:tcPr>
            <w:tcW w:w="1218"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rPr>
                <w:rFonts w:hint="eastAsia"/>
                <w:kern w:val="0"/>
                <w:sz w:val="17"/>
                <w:szCs w:val="17"/>
              </w:rPr>
            </w:pPr>
          </w:p>
        </w:tc>
        <w:tc>
          <w:tcPr>
            <w:tcW w:w="980"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14"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15"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15"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82"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31"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31"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c>
          <w:tcPr>
            <w:tcW w:w="731" w:type="dxa"/>
            <w:tcBorders>
              <w:top w:val="single" w:sz="12" w:space="0" w:color="auto"/>
            </w:tcBorders>
            <w:shd w:val="clear" w:color="auto" w:fill="auto"/>
            <w:vAlign w:val="bottom"/>
          </w:tcPr>
          <w:p w:rsidR="004821CF" w:rsidRPr="00AC51D4"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rFonts w:hAnsi="SimSun"/>
                <w:sz w:val="17"/>
                <w:szCs w:val="17"/>
              </w:rPr>
            </w:pP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大里贝拉</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111</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41</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41</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36.9</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70</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波多诺伏</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71</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12</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12</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16.9</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59</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rFonts w:hint="eastAsia"/>
                <w:sz w:val="17"/>
                <w:szCs w:val="17"/>
              </w:rPr>
            </w:pPr>
            <w:r w:rsidRPr="00AC51D4">
              <w:rPr>
                <w:rFonts w:hint="eastAsia"/>
                <w:kern w:val="0"/>
                <w:sz w:val="17"/>
                <w:szCs w:val="17"/>
              </w:rPr>
              <w:t>保尔</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74</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55</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19</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74</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100.0</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0</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sz w:val="17"/>
                <w:szCs w:val="17"/>
              </w:rPr>
              <w:t>圣</w:t>
            </w:r>
            <w:r w:rsidRPr="00AC51D4">
              <w:rPr>
                <w:rFonts w:hint="eastAsia"/>
                <w:sz w:val="17"/>
                <w:szCs w:val="17"/>
              </w:rPr>
              <w:t>维</w:t>
            </w:r>
            <w:r w:rsidRPr="00AC51D4">
              <w:rPr>
                <w:sz w:val="17"/>
                <w:szCs w:val="17"/>
              </w:rPr>
              <w:t>森特</w:t>
            </w:r>
            <w:r w:rsidRPr="00AC51D4">
              <w:rPr>
                <w:rFonts w:hAnsi="SimSun" w:cs="SimSun" w:hint="eastAsia"/>
                <w:sz w:val="17"/>
                <w:szCs w:val="17"/>
              </w:rPr>
              <w:t>岛</w:t>
            </w:r>
          </w:p>
        </w:tc>
        <w:tc>
          <w:tcPr>
            <w:tcW w:w="980"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104</w:t>
            </w:r>
          </w:p>
        </w:tc>
        <w:tc>
          <w:tcPr>
            <w:tcW w:w="714"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22</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22</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44</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42.3</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60</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圣</w:t>
            </w:r>
            <w:r w:rsidRPr="00AC51D4">
              <w:rPr>
                <w:sz w:val="17"/>
                <w:szCs w:val="17"/>
              </w:rPr>
              <w:t>尼</w:t>
            </w:r>
            <w:r w:rsidRPr="00AC51D4">
              <w:rPr>
                <w:rFonts w:hint="eastAsia"/>
                <w:sz w:val="17"/>
                <w:szCs w:val="17"/>
              </w:rPr>
              <w:t>古拉</w:t>
            </w:r>
            <w:r w:rsidRPr="00AC51D4">
              <w:rPr>
                <w:rFonts w:hAnsi="SimSun" w:cs="SimSun" w:hint="eastAsia"/>
                <w:sz w:val="17"/>
                <w:szCs w:val="17"/>
              </w:rPr>
              <w:t>岛</w:t>
            </w:r>
          </w:p>
        </w:tc>
        <w:tc>
          <w:tcPr>
            <w:tcW w:w="980"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44</w:t>
            </w:r>
          </w:p>
        </w:tc>
        <w:tc>
          <w:tcPr>
            <w:tcW w:w="714"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7</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15.9</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37</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萨尔岛</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386</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98</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98</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25.4</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288</w:t>
            </w:r>
          </w:p>
        </w:tc>
      </w:tr>
      <w:tr w:rsidR="004821CF" w:rsidRPr="00AC51D4" w:rsidTr="004741DA">
        <w:tblPrEx>
          <w:tblCellMar>
            <w:top w:w="0" w:type="dxa"/>
            <w:bottom w:w="0" w:type="dxa"/>
          </w:tblCellMar>
        </w:tblPrEx>
        <w:tc>
          <w:tcPr>
            <w:tcW w:w="1218" w:type="dxa"/>
            <w:shd w:val="clear" w:color="auto" w:fill="auto"/>
            <w:vAlign w:val="bottom"/>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kern w:val="0"/>
                <w:sz w:val="17"/>
                <w:szCs w:val="17"/>
              </w:rPr>
            </w:pPr>
            <w:r w:rsidRPr="00AC51D4">
              <w:rPr>
                <w:rFonts w:hint="eastAsia"/>
                <w:kern w:val="0"/>
                <w:sz w:val="17"/>
                <w:szCs w:val="17"/>
              </w:rPr>
              <w:t>博阿维斯塔岛</w:t>
            </w:r>
          </w:p>
        </w:tc>
        <w:tc>
          <w:tcPr>
            <w:tcW w:w="980"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54</w:t>
            </w:r>
          </w:p>
        </w:tc>
        <w:tc>
          <w:tcPr>
            <w:tcW w:w="714"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12</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17</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29</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53.7</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25</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马尤岛</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22</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13.6</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19</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普拉亚</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980</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258</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103</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w:t>
            </w: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364</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37.1</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616</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圣多明戈</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34</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11</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25</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73.5</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9</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rFonts w:hint="eastAsia"/>
                <w:sz w:val="17"/>
                <w:szCs w:val="17"/>
              </w:rPr>
            </w:pPr>
            <w:r w:rsidRPr="00AC51D4">
              <w:rPr>
                <w:rFonts w:hint="eastAsia"/>
                <w:kern w:val="0"/>
                <w:sz w:val="17"/>
                <w:szCs w:val="17"/>
              </w:rPr>
              <w:t>圣克鲁斯</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105</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60</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60</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57.1</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45</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rFonts w:hint="eastAsia"/>
                <w:sz w:val="17"/>
                <w:szCs w:val="17"/>
              </w:rPr>
            </w:pPr>
            <w:r w:rsidRPr="00AC51D4">
              <w:rPr>
                <w:rFonts w:hint="eastAsia"/>
                <w:kern w:val="0"/>
                <w:sz w:val="17"/>
                <w:szCs w:val="17"/>
              </w:rPr>
              <w:t>圣卡塔琳娜</w:t>
            </w:r>
          </w:p>
        </w:tc>
        <w:tc>
          <w:tcPr>
            <w:tcW w:w="980"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156</w:t>
            </w:r>
          </w:p>
        </w:tc>
        <w:tc>
          <w:tcPr>
            <w:tcW w:w="714"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18</w:t>
            </w:r>
          </w:p>
        </w:tc>
        <w:tc>
          <w:tcPr>
            <w:tcW w:w="715"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28</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17.9</w:t>
            </w:r>
          </w:p>
        </w:tc>
        <w:tc>
          <w:tcPr>
            <w:tcW w:w="731" w:type="dxa"/>
            <w:shd w:val="clear" w:color="auto" w:fill="auto"/>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128</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rFonts w:hint="eastAsia"/>
                <w:sz w:val="17"/>
                <w:szCs w:val="17"/>
              </w:rPr>
            </w:pPr>
            <w:r w:rsidRPr="00AC51D4">
              <w:rPr>
                <w:rFonts w:hint="eastAsia"/>
                <w:kern w:val="0"/>
                <w:sz w:val="17"/>
                <w:szCs w:val="17"/>
              </w:rPr>
              <w:t>塔拉法尔</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56</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34</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34</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60.7</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22</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rFonts w:hint="eastAsia"/>
                <w:sz w:val="17"/>
                <w:szCs w:val="17"/>
              </w:rPr>
            </w:pPr>
            <w:r w:rsidRPr="00AC51D4">
              <w:rPr>
                <w:rFonts w:hint="eastAsia"/>
                <w:kern w:val="0"/>
                <w:sz w:val="17"/>
                <w:szCs w:val="17"/>
              </w:rPr>
              <w:t>圣菲利普</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337</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179</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48</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w:t>
            </w: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230</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68.2</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107</w:t>
            </w:r>
          </w:p>
        </w:tc>
      </w:tr>
      <w:tr w:rsidR="004821CF" w:rsidRPr="00AC51D4" w:rsidTr="004741DA">
        <w:tblPrEx>
          <w:tblCellMar>
            <w:top w:w="0" w:type="dxa"/>
            <w:bottom w:w="0" w:type="dxa"/>
          </w:tblCellMar>
        </w:tblPrEx>
        <w:tc>
          <w:tcPr>
            <w:tcW w:w="1218"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rFonts w:hint="eastAsia"/>
                <w:sz w:val="17"/>
                <w:szCs w:val="17"/>
              </w:rPr>
            </w:pPr>
            <w:r w:rsidRPr="00AC51D4">
              <w:rPr>
                <w:rFonts w:hint="eastAsia"/>
                <w:kern w:val="0"/>
                <w:sz w:val="17"/>
                <w:szCs w:val="17"/>
              </w:rPr>
              <w:t>莫斯特罗</w:t>
            </w:r>
          </w:p>
        </w:tc>
        <w:tc>
          <w:tcPr>
            <w:tcW w:w="980"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51</w:t>
            </w:r>
          </w:p>
        </w:tc>
        <w:tc>
          <w:tcPr>
            <w:tcW w:w="714"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25</w:t>
            </w: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15"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25</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49.0</w:t>
            </w:r>
          </w:p>
        </w:tc>
        <w:tc>
          <w:tcPr>
            <w:tcW w:w="731" w:type="dxa"/>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26</w:t>
            </w:r>
          </w:p>
        </w:tc>
      </w:tr>
      <w:tr w:rsidR="004821CF" w:rsidRPr="00AC51D4" w:rsidTr="004741DA">
        <w:tblPrEx>
          <w:tblCellMar>
            <w:top w:w="0" w:type="dxa"/>
            <w:bottom w:w="0" w:type="dxa"/>
          </w:tblCellMar>
        </w:tblPrEx>
        <w:tc>
          <w:tcPr>
            <w:tcW w:w="1218"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rPr>
                <w:sz w:val="17"/>
                <w:szCs w:val="17"/>
              </w:rPr>
            </w:pPr>
            <w:r w:rsidRPr="00AC51D4">
              <w:rPr>
                <w:rFonts w:hint="eastAsia"/>
                <w:kern w:val="0"/>
                <w:sz w:val="17"/>
                <w:szCs w:val="17"/>
              </w:rPr>
              <w:t>布拉瓦岛</w:t>
            </w:r>
          </w:p>
        </w:tc>
        <w:tc>
          <w:tcPr>
            <w:tcW w:w="980"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22</w:t>
            </w:r>
          </w:p>
        </w:tc>
        <w:tc>
          <w:tcPr>
            <w:tcW w:w="714"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17</w:t>
            </w:r>
          </w:p>
        </w:tc>
        <w:tc>
          <w:tcPr>
            <w:tcW w:w="715"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w:t>
            </w:r>
          </w:p>
        </w:tc>
        <w:tc>
          <w:tcPr>
            <w:tcW w:w="715"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p>
        </w:tc>
        <w:tc>
          <w:tcPr>
            <w:tcW w:w="782"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3</w:t>
            </w:r>
          </w:p>
        </w:tc>
        <w:tc>
          <w:tcPr>
            <w:tcW w:w="731"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22</w:t>
            </w:r>
          </w:p>
        </w:tc>
        <w:tc>
          <w:tcPr>
            <w:tcW w:w="731"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100.0</w:t>
            </w:r>
          </w:p>
        </w:tc>
        <w:tc>
          <w:tcPr>
            <w:tcW w:w="731" w:type="dxa"/>
            <w:tcBorders>
              <w:bottom w:val="single" w:sz="4" w:space="0" w:color="auto"/>
            </w:tcBorders>
            <w:shd w:val="clear" w:color="auto" w:fill="auto"/>
            <w:vAlign w:val="bottom"/>
          </w:tcPr>
          <w:p w:rsidR="004821CF" w:rsidRPr="00AC51D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60" w:lineRule="exact"/>
              <w:ind w:left="0" w:right="57"/>
              <w:jc w:val="right"/>
              <w:rPr>
                <w:rFonts w:hAnsi="SimSun"/>
                <w:sz w:val="17"/>
                <w:szCs w:val="17"/>
              </w:rPr>
            </w:pPr>
            <w:r w:rsidRPr="00AC51D4">
              <w:rPr>
                <w:rFonts w:hAnsi="SimSun"/>
                <w:sz w:val="17"/>
                <w:szCs w:val="17"/>
              </w:rPr>
              <w:t>0</w:t>
            </w:r>
          </w:p>
        </w:tc>
      </w:tr>
      <w:tr w:rsidR="004821CF" w:rsidRPr="005A47E4" w:rsidTr="004741DA">
        <w:tblPrEx>
          <w:tblCellMar>
            <w:top w:w="0" w:type="dxa"/>
            <w:bottom w:w="0" w:type="dxa"/>
          </w:tblCellMar>
        </w:tblPrEx>
        <w:tc>
          <w:tcPr>
            <w:tcW w:w="1218" w:type="dxa"/>
            <w:tcBorders>
              <w:top w:val="single" w:sz="4" w:space="0" w:color="auto"/>
              <w:bottom w:val="single" w:sz="4" w:space="0" w:color="auto"/>
            </w:tcBorders>
            <w:shd w:val="clear" w:color="auto" w:fill="auto"/>
          </w:tcPr>
          <w:p w:rsidR="004821CF" w:rsidRPr="00666050"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hanging="288"/>
              <w:rPr>
                <w:rFonts w:ascii="SimHei" w:eastAsia="SimHei"/>
                <w:b/>
                <w:spacing w:val="-4"/>
                <w:sz w:val="17"/>
                <w:szCs w:val="17"/>
              </w:rPr>
            </w:pPr>
            <w:r w:rsidRPr="005A47E4">
              <w:rPr>
                <w:rFonts w:ascii="SimHei" w:eastAsia="SimHei"/>
                <w:b/>
                <w:kern w:val="0"/>
                <w:sz w:val="17"/>
                <w:szCs w:val="17"/>
              </w:rPr>
              <w:tab/>
            </w:r>
            <w:r w:rsidRPr="00666050">
              <w:rPr>
                <w:rFonts w:ascii="SimHei" w:eastAsia="SimHei" w:hint="eastAsia"/>
                <w:b/>
                <w:spacing w:val="-4"/>
                <w:kern w:val="0"/>
                <w:sz w:val="17"/>
                <w:szCs w:val="17"/>
              </w:rPr>
              <w:tab/>
            </w:r>
            <w:r w:rsidR="00666050" w:rsidRPr="00666050">
              <w:rPr>
                <w:rFonts w:ascii="SimHei" w:eastAsia="SimHei" w:hint="eastAsia"/>
                <w:b/>
                <w:spacing w:val="-4"/>
                <w:kern w:val="0"/>
                <w:sz w:val="17"/>
                <w:szCs w:val="17"/>
              </w:rPr>
              <w:t>佛得角</w:t>
            </w:r>
            <w:r w:rsidRPr="00666050">
              <w:rPr>
                <w:rFonts w:ascii="SimHei" w:eastAsia="SimHei" w:hint="eastAsia"/>
                <w:b/>
                <w:spacing w:val="-4"/>
                <w:kern w:val="0"/>
                <w:sz w:val="17"/>
                <w:szCs w:val="17"/>
              </w:rPr>
              <w:t>共计</w:t>
            </w:r>
          </w:p>
        </w:tc>
        <w:tc>
          <w:tcPr>
            <w:tcW w:w="980"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2 607</w:t>
            </w:r>
          </w:p>
        </w:tc>
        <w:tc>
          <w:tcPr>
            <w:tcW w:w="714"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838</w:t>
            </w:r>
          </w:p>
        </w:tc>
        <w:tc>
          <w:tcPr>
            <w:tcW w:w="715"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245</w:t>
            </w:r>
          </w:p>
        </w:tc>
        <w:tc>
          <w:tcPr>
            <w:tcW w:w="715"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6</w:t>
            </w:r>
          </w:p>
        </w:tc>
        <w:tc>
          <w:tcPr>
            <w:tcW w:w="782"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7</w:t>
            </w:r>
          </w:p>
        </w:tc>
        <w:tc>
          <w:tcPr>
            <w:tcW w:w="731"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1 096</w:t>
            </w:r>
          </w:p>
        </w:tc>
        <w:tc>
          <w:tcPr>
            <w:tcW w:w="731"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42.0</w:t>
            </w:r>
          </w:p>
        </w:tc>
        <w:tc>
          <w:tcPr>
            <w:tcW w:w="731" w:type="dxa"/>
            <w:tcBorders>
              <w:top w:val="single" w:sz="4" w:space="0" w:color="auto"/>
              <w:bottom w:val="single" w:sz="4" w:space="0" w:color="auto"/>
            </w:tcBorders>
            <w:shd w:val="clear" w:color="auto" w:fill="auto"/>
          </w:tcPr>
          <w:p w:rsidR="004821CF" w:rsidRPr="005A47E4" w:rsidRDefault="004821CF" w:rsidP="004821C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60" w:lineRule="exact"/>
              <w:ind w:left="0" w:right="57"/>
              <w:jc w:val="right"/>
              <w:rPr>
                <w:rFonts w:ascii="SimHei" w:eastAsia="SimHei" w:hAnsi="SimSun"/>
                <w:b/>
                <w:sz w:val="17"/>
                <w:szCs w:val="17"/>
              </w:rPr>
            </w:pPr>
            <w:r w:rsidRPr="005A47E4">
              <w:rPr>
                <w:rFonts w:ascii="SimHei" w:eastAsia="SimHei" w:hAnsi="SimSun"/>
                <w:b/>
                <w:sz w:val="17"/>
                <w:szCs w:val="17"/>
              </w:rPr>
              <w:t>1 511</w:t>
            </w:r>
          </w:p>
        </w:tc>
      </w:tr>
      <w:tr w:rsidR="004821CF" w:rsidRPr="005A47E4" w:rsidTr="004741DA">
        <w:tblPrEx>
          <w:tblCellMar>
            <w:top w:w="0" w:type="dxa"/>
            <w:bottom w:w="0" w:type="dxa"/>
          </w:tblCellMar>
        </w:tblPrEx>
        <w:tc>
          <w:tcPr>
            <w:tcW w:w="1218"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rPr>
                <w:rFonts w:ascii="SimHei" w:eastAsia="SimHei" w:hint="eastAsia"/>
                <w:b/>
                <w:sz w:val="17"/>
                <w:szCs w:val="17"/>
              </w:rPr>
            </w:pPr>
            <w:r>
              <w:rPr>
                <w:rFonts w:ascii="SimHei" w:eastAsia="SimHei"/>
                <w:b/>
                <w:kern w:val="0"/>
                <w:sz w:val="17"/>
                <w:szCs w:val="17"/>
              </w:rPr>
              <w:tab/>
            </w:r>
            <w:r w:rsidRPr="005A47E4">
              <w:rPr>
                <w:rFonts w:ascii="SimHei" w:eastAsia="SimHei" w:hint="eastAsia"/>
                <w:b/>
                <w:kern w:val="0"/>
                <w:sz w:val="17"/>
                <w:szCs w:val="17"/>
              </w:rPr>
              <w:t>百分比</w:t>
            </w:r>
          </w:p>
        </w:tc>
        <w:tc>
          <w:tcPr>
            <w:tcW w:w="980"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r w:rsidRPr="005A47E4">
              <w:rPr>
                <w:rFonts w:ascii="SimHei" w:eastAsia="SimHei" w:hAnsi="SimSun"/>
                <w:b/>
                <w:sz w:val="17"/>
                <w:szCs w:val="17"/>
              </w:rPr>
              <w:t>100.0</w:t>
            </w:r>
          </w:p>
        </w:tc>
        <w:tc>
          <w:tcPr>
            <w:tcW w:w="714"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r w:rsidRPr="005A47E4">
              <w:rPr>
                <w:rFonts w:ascii="SimHei" w:eastAsia="SimHei" w:hAnsi="SimSun"/>
                <w:b/>
                <w:sz w:val="17"/>
                <w:szCs w:val="17"/>
              </w:rPr>
              <w:t>32.1</w:t>
            </w:r>
          </w:p>
        </w:tc>
        <w:tc>
          <w:tcPr>
            <w:tcW w:w="715"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r w:rsidRPr="005A47E4">
              <w:rPr>
                <w:rFonts w:ascii="SimHei" w:eastAsia="SimHei" w:hAnsi="SimSun"/>
                <w:b/>
                <w:sz w:val="17"/>
                <w:szCs w:val="17"/>
              </w:rPr>
              <w:t>9.4</w:t>
            </w:r>
          </w:p>
        </w:tc>
        <w:tc>
          <w:tcPr>
            <w:tcW w:w="715"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r w:rsidRPr="005A47E4">
              <w:rPr>
                <w:rFonts w:ascii="SimHei" w:eastAsia="SimHei" w:hAnsi="SimSun"/>
                <w:b/>
                <w:sz w:val="17"/>
                <w:szCs w:val="17"/>
              </w:rPr>
              <w:t>0.2</w:t>
            </w:r>
          </w:p>
        </w:tc>
        <w:tc>
          <w:tcPr>
            <w:tcW w:w="782"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r w:rsidRPr="005A47E4">
              <w:rPr>
                <w:rFonts w:ascii="SimHei" w:eastAsia="SimHei" w:hAnsi="SimSun"/>
                <w:b/>
                <w:sz w:val="17"/>
                <w:szCs w:val="17"/>
              </w:rPr>
              <w:t>0.3</w:t>
            </w:r>
          </w:p>
        </w:tc>
        <w:tc>
          <w:tcPr>
            <w:tcW w:w="731"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p>
        </w:tc>
        <w:tc>
          <w:tcPr>
            <w:tcW w:w="731"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p>
        </w:tc>
        <w:tc>
          <w:tcPr>
            <w:tcW w:w="731" w:type="dxa"/>
            <w:tcBorders>
              <w:top w:val="single" w:sz="4" w:space="0" w:color="auto"/>
              <w:bottom w:val="single" w:sz="12" w:space="0" w:color="auto"/>
            </w:tcBorders>
            <w:shd w:val="clear" w:color="auto" w:fill="auto"/>
            <w:vAlign w:val="bottom"/>
          </w:tcPr>
          <w:p w:rsidR="004821CF" w:rsidRPr="005A47E4"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hAnsi="SimSun"/>
                <w:b/>
                <w:sz w:val="17"/>
                <w:szCs w:val="17"/>
              </w:rPr>
            </w:pPr>
            <w:r w:rsidRPr="005A47E4">
              <w:rPr>
                <w:rFonts w:ascii="SimHei" w:eastAsia="SimHei" w:hAnsi="SimSun"/>
                <w:b/>
                <w:sz w:val="17"/>
                <w:szCs w:val="17"/>
              </w:rPr>
              <w:t>58.0</w:t>
            </w:r>
          </w:p>
        </w:tc>
      </w:tr>
    </w:tbl>
    <w:p w:rsidR="004821CF" w:rsidRPr="00524FFA" w:rsidRDefault="004821CF" w:rsidP="004741DA">
      <w:pPr>
        <w:pStyle w:val="SingleTxt"/>
        <w:spacing w:after="0" w:line="120" w:lineRule="exact"/>
        <w:rPr>
          <w:rFonts w:hint="eastAsia"/>
          <w:sz w:val="10"/>
        </w:rPr>
      </w:pPr>
    </w:p>
    <w:p w:rsidR="004821CF" w:rsidRDefault="004821CF" w:rsidP="004741DA">
      <w:pPr>
        <w:pStyle w:val="FootnoteText"/>
        <w:tabs>
          <w:tab w:val="clear" w:pos="418"/>
          <w:tab w:val="right" w:pos="1476"/>
          <w:tab w:val="left" w:pos="1548"/>
          <w:tab w:val="right" w:pos="1836"/>
          <w:tab w:val="left" w:pos="1908"/>
        </w:tabs>
        <w:ind w:left="1548" w:right="1267" w:hanging="288"/>
        <w:rPr>
          <w:rFonts w:hint="eastAsia"/>
        </w:rPr>
      </w:pPr>
      <w:r w:rsidRPr="005A47E4">
        <w:rPr>
          <w:rFonts w:ascii="KaiTi_GB2312" w:eastAsia="KaiTi_GB2312" w:hint="eastAsia"/>
        </w:rPr>
        <w:t>资料来源</w:t>
      </w:r>
      <w:r w:rsidRPr="00524FFA">
        <w:rPr>
          <w:rFonts w:hint="eastAsia"/>
        </w:rPr>
        <w:t>：总检察长办公室的报告(2011年)。</w:t>
      </w:r>
    </w:p>
    <w:p w:rsidR="00666050" w:rsidRPr="00666050" w:rsidRDefault="00666050" w:rsidP="00666050">
      <w:pPr>
        <w:pStyle w:val="SingleTxt"/>
        <w:spacing w:after="0" w:line="120" w:lineRule="exact"/>
        <w:rPr>
          <w:rFonts w:hint="eastAsia"/>
          <w:sz w:val="10"/>
        </w:rPr>
      </w:pPr>
    </w:p>
    <w:p w:rsidR="004821CF" w:rsidRPr="00B31117" w:rsidRDefault="004821CF" w:rsidP="004741DA">
      <w:pPr>
        <w:pStyle w:val="SingleTxt"/>
        <w:rPr>
          <w:rFonts w:ascii="SimHei" w:eastAsia="SimHei" w:hint="eastAsia"/>
        </w:rPr>
      </w:pPr>
      <w:r w:rsidRPr="009933D2">
        <w:rPr>
          <w:rFonts w:hint="eastAsia"/>
        </w:rPr>
        <w:t>表2</w:t>
      </w:r>
      <w:r w:rsidRPr="005019C6">
        <w:rPr>
          <w:rFonts w:ascii="SimHei" w:eastAsia="SimHei"/>
        </w:rPr>
        <w:br/>
      </w:r>
      <w:r w:rsidRPr="00B31117">
        <w:rPr>
          <w:rFonts w:ascii="SimHei" w:eastAsia="SimHei" w:hint="eastAsia"/>
        </w:rPr>
        <w:t>2012年外交部行政数据</w:t>
      </w:r>
    </w:p>
    <w:tbl>
      <w:tblPr>
        <w:tblW w:w="7320" w:type="dxa"/>
        <w:tblInd w:w="1260" w:type="dxa"/>
        <w:tblLayout w:type="fixed"/>
        <w:tblCellMar>
          <w:left w:w="0" w:type="dxa"/>
          <w:right w:w="0" w:type="dxa"/>
        </w:tblCellMar>
        <w:tblLook w:val="0000" w:firstRow="0" w:lastRow="0" w:firstColumn="0" w:lastColumn="0" w:noHBand="0" w:noVBand="0"/>
      </w:tblPr>
      <w:tblGrid>
        <w:gridCol w:w="2730"/>
        <w:gridCol w:w="930"/>
        <w:gridCol w:w="1830"/>
        <w:gridCol w:w="1830"/>
      </w:tblGrid>
      <w:tr w:rsidR="004821CF" w:rsidRPr="004F20E7" w:rsidTr="004741DA">
        <w:tblPrEx>
          <w:tblCellMar>
            <w:top w:w="0" w:type="dxa"/>
            <w:bottom w:w="0" w:type="dxa"/>
          </w:tblCellMar>
        </w:tblPrEx>
        <w:trPr>
          <w:tblHeader/>
        </w:trPr>
        <w:tc>
          <w:tcPr>
            <w:tcW w:w="2730" w:type="dxa"/>
            <w:tcBorders>
              <w:top w:val="single" w:sz="4" w:space="0" w:color="auto"/>
              <w:bottom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before="60" w:after="60" w:line="200" w:lineRule="exact"/>
              <w:ind w:left="0" w:right="57"/>
              <w:jc w:val="left"/>
              <w:rPr>
                <w:rFonts w:ascii="KaiTi_GB2312" w:eastAsia="KaiTi_GB2312" w:hint="eastAsia"/>
                <w:sz w:val="15"/>
              </w:rPr>
            </w:pPr>
            <w:r w:rsidRPr="004F20E7">
              <w:rPr>
                <w:rFonts w:ascii="KaiTi_GB2312" w:eastAsia="KaiTi_GB2312" w:hint="eastAsia"/>
                <w:sz w:val="15"/>
              </w:rPr>
              <w:t>变量</w:t>
            </w:r>
          </w:p>
        </w:tc>
        <w:tc>
          <w:tcPr>
            <w:tcW w:w="930" w:type="dxa"/>
            <w:tcBorders>
              <w:top w:val="single" w:sz="4" w:space="0" w:color="auto"/>
              <w:bottom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hint="eastAsia"/>
                <w:sz w:val="15"/>
              </w:rPr>
            </w:pPr>
            <w:r w:rsidRPr="004F20E7">
              <w:rPr>
                <w:rFonts w:ascii="KaiTi_GB2312" w:eastAsia="KaiTi_GB2312" w:hint="eastAsia"/>
                <w:sz w:val="15"/>
              </w:rPr>
              <w:t>共计</w:t>
            </w:r>
          </w:p>
        </w:tc>
        <w:tc>
          <w:tcPr>
            <w:tcW w:w="1830" w:type="dxa"/>
            <w:tcBorders>
              <w:top w:val="single" w:sz="4" w:space="0" w:color="auto"/>
              <w:bottom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hint="eastAsia"/>
                <w:sz w:val="15"/>
              </w:rPr>
            </w:pPr>
            <w:r w:rsidRPr="004F20E7">
              <w:rPr>
                <w:rFonts w:ascii="KaiTi_GB2312" w:eastAsia="KaiTi_GB2312" w:hint="eastAsia"/>
                <w:sz w:val="15"/>
              </w:rPr>
              <w:t>女性</w:t>
            </w:r>
          </w:p>
        </w:tc>
        <w:tc>
          <w:tcPr>
            <w:tcW w:w="1830" w:type="dxa"/>
            <w:tcBorders>
              <w:top w:val="single" w:sz="4" w:space="0" w:color="auto"/>
              <w:bottom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hint="eastAsia"/>
                <w:sz w:val="15"/>
              </w:rPr>
            </w:pPr>
            <w:r w:rsidRPr="004F20E7">
              <w:rPr>
                <w:rFonts w:ascii="KaiTi_GB2312" w:eastAsia="KaiTi_GB2312" w:hint="eastAsia"/>
                <w:sz w:val="15"/>
              </w:rPr>
              <w:t>男性</w:t>
            </w:r>
          </w:p>
        </w:tc>
      </w:tr>
      <w:tr w:rsidR="004821CF" w:rsidRPr="004F20E7" w:rsidTr="004741DA">
        <w:tblPrEx>
          <w:tblCellMar>
            <w:top w:w="0" w:type="dxa"/>
            <w:bottom w:w="0" w:type="dxa"/>
          </w:tblCellMar>
        </w:tblPrEx>
        <w:trPr>
          <w:trHeight w:hRule="exact" w:val="115"/>
          <w:tblHeader/>
        </w:trPr>
        <w:tc>
          <w:tcPr>
            <w:tcW w:w="2730" w:type="dxa"/>
            <w:tcBorders>
              <w:top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after="60" w:line="280" w:lineRule="exact"/>
              <w:ind w:left="0" w:right="57"/>
              <w:jc w:val="left"/>
              <w:rPr>
                <w:kern w:val="0"/>
                <w:sz w:val="17"/>
              </w:rPr>
            </w:pPr>
          </w:p>
        </w:tc>
        <w:tc>
          <w:tcPr>
            <w:tcW w:w="930" w:type="dxa"/>
            <w:tcBorders>
              <w:top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after="60" w:line="280" w:lineRule="exact"/>
              <w:ind w:left="0" w:right="57"/>
              <w:jc w:val="right"/>
              <w:rPr>
                <w:sz w:val="17"/>
              </w:rPr>
            </w:pPr>
          </w:p>
        </w:tc>
        <w:tc>
          <w:tcPr>
            <w:tcW w:w="1830" w:type="dxa"/>
            <w:tcBorders>
              <w:top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after="60" w:line="280" w:lineRule="exact"/>
              <w:ind w:left="0" w:right="57"/>
              <w:jc w:val="right"/>
              <w:rPr>
                <w:sz w:val="17"/>
              </w:rPr>
            </w:pPr>
          </w:p>
        </w:tc>
        <w:tc>
          <w:tcPr>
            <w:tcW w:w="1830" w:type="dxa"/>
            <w:tcBorders>
              <w:top w:val="single" w:sz="12" w:space="0" w:color="auto"/>
            </w:tcBorders>
            <w:shd w:val="clear" w:color="auto" w:fill="auto"/>
            <w:vAlign w:val="bottom"/>
          </w:tcPr>
          <w:p w:rsidR="004821CF" w:rsidRPr="004F20E7" w:rsidRDefault="004821CF" w:rsidP="004741DA">
            <w:pPr>
              <w:pStyle w:val="SingleTxt"/>
              <w:tabs>
                <w:tab w:val="clear" w:pos="1264"/>
                <w:tab w:val="clear" w:pos="5574"/>
              </w:tabs>
              <w:suppressAutoHyphens/>
              <w:spacing w:after="60" w:line="280" w:lineRule="exact"/>
              <w:ind w:left="0" w:right="57"/>
              <w:jc w:val="right"/>
              <w:rPr>
                <w:sz w:val="17"/>
              </w:rPr>
            </w:pPr>
          </w:p>
        </w:tc>
      </w:tr>
      <w:tr w:rsidR="004821CF" w:rsidRPr="004F20E7" w:rsidTr="004741DA">
        <w:tblPrEx>
          <w:tblCellMar>
            <w:top w:w="0" w:type="dxa"/>
            <w:bottom w:w="0" w:type="dxa"/>
          </w:tblCellMar>
        </w:tblPrEx>
        <w:tc>
          <w:tcPr>
            <w:tcW w:w="27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rPr>
                <w:rFonts w:hint="eastAsia"/>
                <w:sz w:val="17"/>
              </w:rPr>
            </w:pPr>
            <w:r w:rsidRPr="004F20E7">
              <w:rPr>
                <w:rFonts w:hint="eastAsia"/>
                <w:kern w:val="0"/>
                <w:sz w:val="17"/>
              </w:rPr>
              <w:t>外交使团</w:t>
            </w:r>
          </w:p>
        </w:tc>
        <w:tc>
          <w:tcPr>
            <w:tcW w:w="9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94</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37</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57</w:t>
            </w:r>
          </w:p>
        </w:tc>
      </w:tr>
      <w:tr w:rsidR="004821CF" w:rsidRPr="004F20E7" w:rsidTr="004741DA">
        <w:tblPrEx>
          <w:tblCellMar>
            <w:top w:w="0" w:type="dxa"/>
            <w:bottom w:w="0" w:type="dxa"/>
          </w:tblCellMar>
        </w:tblPrEx>
        <w:tc>
          <w:tcPr>
            <w:tcW w:w="27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rPr>
                <w:rFonts w:hint="eastAsia"/>
                <w:sz w:val="17"/>
              </w:rPr>
            </w:pPr>
            <w:r w:rsidRPr="004F20E7">
              <w:rPr>
                <w:rFonts w:hint="eastAsia"/>
                <w:kern w:val="0"/>
                <w:sz w:val="17"/>
              </w:rPr>
              <w:t>大使馆</w:t>
            </w:r>
          </w:p>
        </w:tc>
        <w:tc>
          <w:tcPr>
            <w:tcW w:w="9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15</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5</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10</w:t>
            </w:r>
          </w:p>
        </w:tc>
      </w:tr>
      <w:tr w:rsidR="004821CF" w:rsidRPr="004F20E7" w:rsidTr="004741DA">
        <w:tblPrEx>
          <w:tblCellMar>
            <w:top w:w="0" w:type="dxa"/>
            <w:bottom w:w="0" w:type="dxa"/>
          </w:tblCellMar>
        </w:tblPrEx>
        <w:tc>
          <w:tcPr>
            <w:tcW w:w="27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rPr>
                <w:sz w:val="17"/>
              </w:rPr>
            </w:pPr>
            <w:r w:rsidRPr="004F20E7">
              <w:rPr>
                <w:rFonts w:hint="eastAsia"/>
                <w:kern w:val="0"/>
                <w:sz w:val="17"/>
              </w:rPr>
              <w:t>领事馆</w:t>
            </w:r>
            <w:r w:rsidRPr="004F20E7">
              <w:rPr>
                <w:kern w:val="0"/>
                <w:sz w:val="17"/>
              </w:rPr>
              <w:t xml:space="preserve"> (</w:t>
            </w:r>
            <w:r w:rsidRPr="004F20E7">
              <w:rPr>
                <w:rFonts w:hint="eastAsia"/>
                <w:kern w:val="0"/>
                <w:sz w:val="17"/>
              </w:rPr>
              <w:t>代办</w:t>
            </w:r>
            <w:r w:rsidRPr="004F20E7">
              <w:rPr>
                <w:kern w:val="0"/>
                <w:sz w:val="17"/>
              </w:rPr>
              <w:t>)</w:t>
            </w:r>
          </w:p>
        </w:tc>
        <w:tc>
          <w:tcPr>
            <w:tcW w:w="9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3</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0</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3</w:t>
            </w:r>
          </w:p>
        </w:tc>
      </w:tr>
      <w:tr w:rsidR="004821CF" w:rsidRPr="004F20E7" w:rsidTr="004741DA">
        <w:tblPrEx>
          <w:tblCellMar>
            <w:top w:w="0" w:type="dxa"/>
            <w:bottom w:w="0" w:type="dxa"/>
          </w:tblCellMar>
        </w:tblPrEx>
        <w:tc>
          <w:tcPr>
            <w:tcW w:w="27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rPr>
                <w:sz w:val="17"/>
              </w:rPr>
            </w:pPr>
            <w:r w:rsidRPr="004F20E7">
              <w:rPr>
                <w:rFonts w:hint="eastAsia"/>
                <w:kern w:val="0"/>
                <w:sz w:val="17"/>
              </w:rPr>
              <w:t>司长</w:t>
            </w:r>
          </w:p>
        </w:tc>
        <w:tc>
          <w:tcPr>
            <w:tcW w:w="9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6</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2</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4</w:t>
            </w:r>
          </w:p>
        </w:tc>
      </w:tr>
      <w:tr w:rsidR="004821CF" w:rsidRPr="004F20E7" w:rsidTr="004741DA">
        <w:tblPrEx>
          <w:tblCellMar>
            <w:top w:w="0" w:type="dxa"/>
            <w:bottom w:w="0" w:type="dxa"/>
          </w:tblCellMar>
        </w:tblPrEx>
        <w:tc>
          <w:tcPr>
            <w:tcW w:w="27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rPr>
                <w:rFonts w:hint="eastAsia"/>
                <w:sz w:val="17"/>
              </w:rPr>
            </w:pPr>
            <w:r w:rsidRPr="004F20E7">
              <w:rPr>
                <w:kern w:val="0"/>
                <w:sz w:val="17"/>
              </w:rPr>
              <w:t>2011</w:t>
            </w:r>
            <w:r w:rsidRPr="004F20E7">
              <w:rPr>
                <w:rFonts w:hint="eastAsia"/>
                <w:kern w:val="0"/>
                <w:sz w:val="17"/>
              </w:rPr>
              <w:t>年被招聘人员</w:t>
            </w:r>
          </w:p>
        </w:tc>
        <w:tc>
          <w:tcPr>
            <w:tcW w:w="9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15</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10</w:t>
            </w:r>
          </w:p>
        </w:tc>
        <w:tc>
          <w:tcPr>
            <w:tcW w:w="1830" w:type="dxa"/>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70" w:lineRule="exact"/>
              <w:ind w:left="0" w:right="57"/>
              <w:jc w:val="right"/>
              <w:rPr>
                <w:sz w:val="17"/>
              </w:rPr>
            </w:pPr>
            <w:r w:rsidRPr="004F20E7">
              <w:rPr>
                <w:sz w:val="17"/>
              </w:rPr>
              <w:t>5</w:t>
            </w:r>
          </w:p>
        </w:tc>
      </w:tr>
      <w:tr w:rsidR="004821CF" w:rsidRPr="004F20E7" w:rsidTr="004741DA">
        <w:tblPrEx>
          <w:tblCellMar>
            <w:top w:w="0" w:type="dxa"/>
            <w:bottom w:w="0" w:type="dxa"/>
          </w:tblCellMar>
        </w:tblPrEx>
        <w:tc>
          <w:tcPr>
            <w:tcW w:w="2730" w:type="dxa"/>
            <w:tcBorders>
              <w:bottom w:val="single" w:sz="12" w:space="0" w:color="auto"/>
            </w:tcBorders>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kern w:val="0"/>
                <w:sz w:val="17"/>
              </w:rPr>
            </w:pPr>
            <w:r w:rsidRPr="004F20E7">
              <w:rPr>
                <w:rFonts w:hint="eastAsia"/>
                <w:kern w:val="0"/>
                <w:sz w:val="17"/>
              </w:rPr>
              <w:t>参加培训人员</w:t>
            </w:r>
            <w:r w:rsidRPr="004F20E7">
              <w:rPr>
                <w:kern w:val="0"/>
                <w:sz w:val="17"/>
              </w:rPr>
              <w:t>(2011/2012</w:t>
            </w:r>
            <w:r w:rsidRPr="004F20E7">
              <w:rPr>
                <w:rFonts w:hint="eastAsia"/>
                <w:kern w:val="0"/>
                <w:sz w:val="17"/>
              </w:rPr>
              <w:t>年</w:t>
            </w:r>
            <w:r w:rsidRPr="004F20E7">
              <w:rPr>
                <w:kern w:val="0"/>
                <w:sz w:val="17"/>
              </w:rPr>
              <w:t>)</w:t>
            </w:r>
          </w:p>
        </w:tc>
        <w:tc>
          <w:tcPr>
            <w:tcW w:w="930" w:type="dxa"/>
            <w:tcBorders>
              <w:bottom w:val="single" w:sz="12" w:space="0" w:color="auto"/>
            </w:tcBorders>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4F20E7">
              <w:rPr>
                <w:sz w:val="17"/>
              </w:rPr>
              <w:t>20</w:t>
            </w:r>
          </w:p>
        </w:tc>
        <w:tc>
          <w:tcPr>
            <w:tcW w:w="1830" w:type="dxa"/>
            <w:tcBorders>
              <w:bottom w:val="single" w:sz="12" w:space="0" w:color="auto"/>
            </w:tcBorders>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4F20E7">
              <w:rPr>
                <w:sz w:val="17"/>
              </w:rPr>
              <w:t>12</w:t>
            </w:r>
          </w:p>
        </w:tc>
        <w:tc>
          <w:tcPr>
            <w:tcW w:w="1830" w:type="dxa"/>
            <w:tcBorders>
              <w:bottom w:val="single" w:sz="12" w:space="0" w:color="auto"/>
            </w:tcBorders>
            <w:shd w:val="clear" w:color="auto" w:fill="auto"/>
            <w:vAlign w:val="bottom"/>
          </w:tcPr>
          <w:p w:rsidR="004821CF" w:rsidRPr="004F20E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4F20E7">
              <w:rPr>
                <w:sz w:val="17"/>
              </w:rPr>
              <w:t>8</w:t>
            </w:r>
          </w:p>
        </w:tc>
      </w:tr>
    </w:tbl>
    <w:p w:rsidR="004821CF" w:rsidRPr="004F20E7" w:rsidRDefault="004821CF" w:rsidP="004741DA">
      <w:pPr>
        <w:pStyle w:val="FootnoteText"/>
        <w:tabs>
          <w:tab w:val="right" w:pos="1476"/>
          <w:tab w:val="left" w:pos="1548"/>
          <w:tab w:val="right" w:pos="1836"/>
          <w:tab w:val="left" w:pos="1908"/>
        </w:tabs>
        <w:spacing w:after="0" w:line="120" w:lineRule="exact"/>
        <w:ind w:left="1548" w:right="1267" w:hanging="288"/>
        <w:rPr>
          <w:rFonts w:ascii="SimHei" w:eastAsia="SimHei" w:hint="eastAsia"/>
          <w:sz w:val="10"/>
        </w:rPr>
      </w:pPr>
    </w:p>
    <w:p w:rsidR="004821CF" w:rsidRDefault="004821CF" w:rsidP="004741DA">
      <w:pPr>
        <w:pStyle w:val="FootnoteText"/>
        <w:tabs>
          <w:tab w:val="clear" w:pos="418"/>
          <w:tab w:val="right" w:pos="1476"/>
          <w:tab w:val="left" w:pos="1548"/>
          <w:tab w:val="right" w:pos="1836"/>
          <w:tab w:val="left" w:pos="1908"/>
        </w:tabs>
        <w:ind w:left="1548" w:right="1267" w:hanging="288"/>
        <w:rPr>
          <w:rFonts w:hint="eastAsia"/>
        </w:rPr>
      </w:pPr>
      <w:r w:rsidRPr="007D521D">
        <w:rPr>
          <w:rFonts w:ascii="KaiTi_GB2312" w:eastAsia="KaiTi_GB2312" w:hint="eastAsia"/>
        </w:rPr>
        <w:t>资料来源</w:t>
      </w:r>
      <w:r w:rsidRPr="004F20E7">
        <w:rPr>
          <w:rFonts w:hint="eastAsia"/>
        </w:rPr>
        <w:t>：2012年DEGEPG</w:t>
      </w:r>
      <w:r>
        <w:rPr>
          <w:rFonts w:hint="eastAsia"/>
        </w:rPr>
        <w:t>——</w:t>
      </w:r>
      <w:r w:rsidRPr="004F20E7">
        <w:rPr>
          <w:rFonts w:hint="eastAsia"/>
        </w:rPr>
        <w:t>MIREX</w:t>
      </w:r>
      <w:r>
        <w:rPr>
          <w:rFonts w:hint="eastAsia"/>
        </w:rPr>
        <w:t>。</w:t>
      </w:r>
    </w:p>
    <w:p w:rsidR="004821CF" w:rsidRPr="00623F47" w:rsidRDefault="004821CF" w:rsidP="004741DA">
      <w:pPr>
        <w:pStyle w:val="SingleTxt"/>
        <w:rPr>
          <w:rFonts w:ascii="SimHei" w:eastAsia="SimHei" w:hint="eastAsia"/>
        </w:rPr>
      </w:pPr>
      <w:r>
        <w:br w:type="page"/>
      </w:r>
      <w:r>
        <w:rPr>
          <w:rFonts w:hint="eastAsia"/>
        </w:rPr>
        <w:t>表3</w:t>
      </w:r>
      <w:r>
        <w:rPr>
          <w:rFonts w:hint="eastAsia"/>
        </w:rPr>
        <w:br/>
      </w:r>
      <w:r w:rsidRPr="00623F47">
        <w:rPr>
          <w:rFonts w:ascii="SimHei" w:eastAsia="SimHei" w:hint="eastAsia"/>
        </w:rPr>
        <w:t>按年龄组和居住地分列的识字率</w:t>
      </w:r>
    </w:p>
    <w:tbl>
      <w:tblPr>
        <w:tblW w:w="0" w:type="auto"/>
        <w:tblInd w:w="1260" w:type="dxa"/>
        <w:tblLayout w:type="fixed"/>
        <w:tblCellMar>
          <w:left w:w="0" w:type="dxa"/>
          <w:right w:w="0" w:type="dxa"/>
        </w:tblCellMar>
        <w:tblLook w:val="0000" w:firstRow="0" w:lastRow="0" w:firstColumn="0" w:lastColumn="0" w:noHBand="0" w:noVBand="0"/>
      </w:tblPr>
      <w:tblGrid>
        <w:gridCol w:w="1830"/>
        <w:gridCol w:w="610"/>
        <w:gridCol w:w="610"/>
        <w:gridCol w:w="610"/>
        <w:gridCol w:w="67"/>
        <w:gridCol w:w="543"/>
        <w:gridCol w:w="610"/>
        <w:gridCol w:w="610"/>
        <w:gridCol w:w="67"/>
        <w:gridCol w:w="543"/>
        <w:gridCol w:w="610"/>
        <w:gridCol w:w="610"/>
      </w:tblGrid>
      <w:tr w:rsidR="004821CF" w:rsidRPr="00B31117" w:rsidTr="004741DA">
        <w:tblPrEx>
          <w:tblCellMar>
            <w:top w:w="0" w:type="dxa"/>
            <w:bottom w:w="0" w:type="dxa"/>
          </w:tblCellMar>
        </w:tblPrEx>
        <w:trPr>
          <w:trHeight w:val="320"/>
          <w:tblHeader/>
        </w:trPr>
        <w:tc>
          <w:tcPr>
            <w:tcW w:w="1830" w:type="dxa"/>
            <w:tcBorders>
              <w:top w:val="single" w:sz="4" w:space="0" w:color="auto"/>
            </w:tcBorders>
            <w:shd w:val="clear" w:color="auto" w:fill="auto"/>
            <w:vAlign w:val="bottom"/>
          </w:tcPr>
          <w:p w:rsidR="004821CF" w:rsidRPr="00B31117" w:rsidRDefault="004821CF" w:rsidP="004741DA">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830" w:type="dxa"/>
            <w:gridSpan w:val="3"/>
            <w:tcBorders>
              <w:top w:val="single" w:sz="4" w:space="0" w:color="auto"/>
              <w:bottom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hint="eastAsia"/>
                <w:sz w:val="15"/>
              </w:rPr>
            </w:pPr>
            <w:r w:rsidRPr="00B31117">
              <w:rPr>
                <w:rFonts w:ascii="KaiTi_GB2312" w:eastAsia="KaiTi_GB2312" w:hint="eastAsia"/>
                <w:sz w:val="15"/>
              </w:rPr>
              <w:t>佛得角</w:t>
            </w:r>
          </w:p>
        </w:tc>
        <w:tc>
          <w:tcPr>
            <w:tcW w:w="67" w:type="dxa"/>
            <w:tcBorders>
              <w:top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sz w:val="15"/>
              </w:rPr>
            </w:pPr>
          </w:p>
        </w:tc>
        <w:tc>
          <w:tcPr>
            <w:tcW w:w="1763" w:type="dxa"/>
            <w:gridSpan w:val="3"/>
            <w:tcBorders>
              <w:top w:val="single" w:sz="4" w:space="0" w:color="auto"/>
              <w:bottom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sz w:val="15"/>
              </w:rPr>
            </w:pPr>
            <w:r w:rsidRPr="00B31117">
              <w:rPr>
                <w:rFonts w:ascii="KaiTi_GB2312" w:eastAsia="KaiTi_GB2312" w:hint="eastAsia"/>
                <w:sz w:val="15"/>
              </w:rPr>
              <w:t>佛得角城市地区</w:t>
            </w:r>
          </w:p>
        </w:tc>
        <w:tc>
          <w:tcPr>
            <w:tcW w:w="67" w:type="dxa"/>
            <w:tcBorders>
              <w:top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sz w:val="15"/>
              </w:rPr>
            </w:pPr>
          </w:p>
        </w:tc>
        <w:tc>
          <w:tcPr>
            <w:tcW w:w="1763" w:type="dxa"/>
            <w:gridSpan w:val="3"/>
            <w:tcBorders>
              <w:top w:val="single" w:sz="4" w:space="0" w:color="auto"/>
              <w:bottom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sz w:val="15"/>
              </w:rPr>
            </w:pPr>
            <w:r w:rsidRPr="00B31117">
              <w:rPr>
                <w:rFonts w:ascii="KaiTi_GB2312" w:eastAsia="KaiTi_GB2312" w:hint="eastAsia"/>
                <w:sz w:val="15"/>
              </w:rPr>
              <w:t>佛得角农村地区</w:t>
            </w:r>
          </w:p>
        </w:tc>
      </w:tr>
      <w:tr w:rsidR="004821CF" w:rsidRPr="00B31117" w:rsidTr="004741DA">
        <w:tblPrEx>
          <w:tblCellMar>
            <w:top w:w="0" w:type="dxa"/>
            <w:bottom w:w="0" w:type="dxa"/>
          </w:tblCellMar>
        </w:tblPrEx>
        <w:trPr>
          <w:trHeight w:val="320"/>
          <w:tblHeader/>
        </w:trPr>
        <w:tc>
          <w:tcPr>
            <w:tcW w:w="1830" w:type="dxa"/>
            <w:tcBorders>
              <w:bottom w:val="single" w:sz="12" w:space="0" w:color="auto"/>
            </w:tcBorders>
            <w:shd w:val="clear" w:color="auto" w:fill="auto"/>
            <w:vAlign w:val="bottom"/>
          </w:tcPr>
          <w:p w:rsidR="004821CF" w:rsidRPr="00B31117" w:rsidRDefault="004821CF" w:rsidP="004741DA">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B31117">
              <w:rPr>
                <w:rFonts w:ascii="KaiTi_GB2312" w:eastAsia="KaiTi_GB2312" w:hint="eastAsia"/>
                <w:sz w:val="15"/>
              </w:rPr>
              <w:t>年龄组</w:t>
            </w:r>
          </w:p>
        </w:tc>
        <w:tc>
          <w:tcPr>
            <w:tcW w:w="610"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共计</w:t>
            </w:r>
          </w:p>
        </w:tc>
        <w:tc>
          <w:tcPr>
            <w:tcW w:w="610"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男性</w:t>
            </w:r>
          </w:p>
        </w:tc>
        <w:tc>
          <w:tcPr>
            <w:tcW w:w="610"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女性</w:t>
            </w:r>
          </w:p>
        </w:tc>
        <w:tc>
          <w:tcPr>
            <w:tcW w:w="610" w:type="dxa"/>
            <w:gridSpan w:val="2"/>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共计</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男性</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女性</w:t>
            </w:r>
          </w:p>
        </w:tc>
        <w:tc>
          <w:tcPr>
            <w:tcW w:w="610" w:type="dxa"/>
            <w:gridSpan w:val="2"/>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共计</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男性</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女性</w:t>
            </w:r>
          </w:p>
        </w:tc>
      </w:tr>
      <w:tr w:rsidR="004821CF" w:rsidRPr="00B31117" w:rsidTr="004741DA">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gridSpan w:val="2"/>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gridSpan w:val="2"/>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610"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15-19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98.0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98.0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97.6</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98.3</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96.5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97.6</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20-24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96.4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96.4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97.7</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95.6</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25-29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95.6</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96.2</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96.2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97.1</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94.2</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30-34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94.3</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93.9</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94.8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95.4</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91.6</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92.8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90.2</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35-39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90.1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92.0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88.1</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92.3</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93.5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91.0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85.4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88.7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81.9</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40-44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84.3</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88.9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79.9</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88.0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91.5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84.4</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77.6</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83.7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72.2</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45-49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77.1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85.5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69.2</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82.4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89.8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75.0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67.3</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76.9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59.4</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50-54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61.2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76.8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48.4</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71.1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84.3</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58.9</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45.0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62.2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33.5</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55-59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52.9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73.2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39.0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65.7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82.2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52.3</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34.4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56.2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22.8</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60-64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51.4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72.8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35.8</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64.2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81.9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49.5</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33.0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56.9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18.7</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65-69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41.7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62.0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28.0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54.6</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74.5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40.6</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25.9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45.9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13.2</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70-74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29.4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47.5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17.6</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39.8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61.0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26.3</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19.5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34.9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9.1</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75-79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26.1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41.5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15.8</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35.7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53.8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24.4</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17.1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30.9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7.1</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80-84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24.9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40.0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15.0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33.9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53.8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22.8</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16.9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29.7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7.3</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85-89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29.8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46.9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19.4</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37.1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55.8</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28.6</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23.0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41.0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8.9</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90-94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27.9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42.4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20.0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36.0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50.9</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28.7</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20.2</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35.4</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11.2</w:t>
            </w:r>
          </w:p>
        </w:tc>
      </w:tr>
      <w:tr w:rsidR="004821CF" w:rsidRPr="00B31117" w:rsidTr="004741DA">
        <w:tblPrEx>
          <w:tblCellMar>
            <w:top w:w="0" w:type="dxa"/>
            <w:bottom w:w="0" w:type="dxa"/>
          </w:tblCellMar>
        </w:tblPrEx>
        <w:trPr>
          <w:trHeight w:val="320"/>
        </w:trPr>
        <w:tc>
          <w:tcPr>
            <w:tcW w:w="183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sz w:val="17"/>
              </w:rPr>
              <w:t>95+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23.7</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34.3</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18.2</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33.1</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44.6</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29.0</w:t>
            </w:r>
          </w:p>
        </w:tc>
        <w:tc>
          <w:tcPr>
            <w:tcW w:w="610"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14.5</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28.0</w:t>
            </w:r>
          </w:p>
        </w:tc>
        <w:tc>
          <w:tcPr>
            <w:tcW w:w="610"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4.2</w:t>
            </w:r>
          </w:p>
        </w:tc>
      </w:tr>
      <w:tr w:rsidR="004821CF" w:rsidRPr="00B31117" w:rsidTr="004741DA">
        <w:tblPrEx>
          <w:tblCellMar>
            <w:top w:w="0" w:type="dxa"/>
            <w:bottom w:w="0" w:type="dxa"/>
          </w:tblCellMar>
        </w:tblPrEx>
        <w:trPr>
          <w:trHeight w:val="320"/>
        </w:trPr>
        <w:tc>
          <w:tcPr>
            <w:tcW w:w="183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rFonts w:hint="eastAsia"/>
                <w:sz w:val="17"/>
              </w:rPr>
              <w:t>佛得角</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83.0</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88.6</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77.5</w:t>
            </w:r>
          </w:p>
        </w:tc>
        <w:tc>
          <w:tcPr>
            <w:tcW w:w="610" w:type="dxa"/>
            <w:gridSpan w:val="2"/>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87.6</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91.9</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83.4</w:t>
            </w:r>
          </w:p>
        </w:tc>
        <w:tc>
          <w:tcPr>
            <w:tcW w:w="610" w:type="dxa"/>
            <w:gridSpan w:val="2"/>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75.3</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82.9</w:t>
            </w:r>
          </w:p>
        </w:tc>
        <w:tc>
          <w:tcPr>
            <w:tcW w:w="610"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68.1</w:t>
            </w:r>
          </w:p>
        </w:tc>
      </w:tr>
    </w:tbl>
    <w:p w:rsidR="004821CF" w:rsidRPr="00B31117" w:rsidRDefault="004821CF" w:rsidP="004741DA">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4821CF" w:rsidRPr="00B31117" w:rsidRDefault="004821CF" w:rsidP="004741DA">
      <w:pPr>
        <w:pStyle w:val="FootnoteText"/>
        <w:tabs>
          <w:tab w:val="clear" w:pos="418"/>
          <w:tab w:val="right" w:pos="1476"/>
          <w:tab w:val="left" w:pos="1548"/>
          <w:tab w:val="right" w:pos="1836"/>
          <w:tab w:val="left" w:pos="1908"/>
        </w:tabs>
        <w:ind w:left="1548" w:right="1267" w:hanging="288"/>
        <w:rPr>
          <w:rFonts w:hint="eastAsia"/>
        </w:rPr>
      </w:pPr>
      <w:r w:rsidRPr="00B31117">
        <w:rPr>
          <w:rFonts w:ascii="KaiTi_GB2312" w:eastAsia="KaiTi_GB2312" w:hint="eastAsia"/>
        </w:rPr>
        <w:t>资料来源</w:t>
      </w:r>
      <w:r w:rsidRPr="00B31117">
        <w:rPr>
          <w:rFonts w:hint="eastAsia"/>
        </w:rPr>
        <w:t>：国家统计研究所201</w:t>
      </w:r>
      <w:r>
        <w:rPr>
          <w:rFonts w:hint="eastAsia"/>
        </w:rPr>
        <w:t>0</w:t>
      </w:r>
      <w:r w:rsidRPr="00B31117">
        <w:rPr>
          <w:rFonts w:hint="eastAsia"/>
        </w:rPr>
        <w:t>年人口普查。</w:t>
      </w:r>
    </w:p>
    <w:p w:rsidR="004741DA" w:rsidRPr="004741DA" w:rsidRDefault="004741DA" w:rsidP="004741DA">
      <w:pPr>
        <w:pStyle w:val="SingleTxt"/>
        <w:spacing w:after="0" w:line="120" w:lineRule="exact"/>
        <w:rPr>
          <w:rFonts w:ascii="SimHei" w:eastAsia="SimHei"/>
          <w:sz w:val="10"/>
        </w:rPr>
      </w:pPr>
    </w:p>
    <w:p w:rsidR="004821CF" w:rsidRPr="00623F47" w:rsidRDefault="004821CF" w:rsidP="004741DA">
      <w:pPr>
        <w:pStyle w:val="SingleTxt"/>
        <w:rPr>
          <w:rFonts w:hint="eastAsia"/>
        </w:rPr>
      </w:pPr>
      <w:r w:rsidRPr="00623F47">
        <w:rPr>
          <w:rFonts w:hint="eastAsia"/>
        </w:rPr>
        <w:t>表4</w:t>
      </w:r>
      <w:r w:rsidRPr="00623F47">
        <w:br/>
      </w:r>
      <w:r w:rsidRPr="00623F47">
        <w:rPr>
          <w:rFonts w:ascii="SimHei" w:eastAsia="SimHei" w:hint="eastAsia"/>
        </w:rPr>
        <w:t>2010/2011学年普通中学和技术中学招生情况</w:t>
      </w:r>
    </w:p>
    <w:tbl>
      <w:tblPr>
        <w:tblW w:w="0" w:type="auto"/>
        <w:tblInd w:w="1260" w:type="dxa"/>
        <w:tblLayout w:type="fixed"/>
        <w:tblCellMar>
          <w:left w:w="0" w:type="dxa"/>
          <w:right w:w="0" w:type="dxa"/>
        </w:tblCellMar>
        <w:tblLook w:val="0000" w:firstRow="0" w:lastRow="0" w:firstColumn="0" w:lastColumn="0" w:noHBand="0" w:noVBand="0"/>
      </w:tblPr>
      <w:tblGrid>
        <w:gridCol w:w="1045"/>
        <w:gridCol w:w="1046"/>
        <w:gridCol w:w="1046"/>
        <w:gridCol w:w="116"/>
        <w:gridCol w:w="929"/>
        <w:gridCol w:w="1046"/>
        <w:gridCol w:w="116"/>
        <w:gridCol w:w="930"/>
        <w:gridCol w:w="1046"/>
      </w:tblGrid>
      <w:tr w:rsidR="004821CF" w:rsidRPr="00B31117" w:rsidTr="004741DA">
        <w:tblPrEx>
          <w:tblCellMar>
            <w:top w:w="0" w:type="dxa"/>
            <w:bottom w:w="0" w:type="dxa"/>
          </w:tblCellMar>
        </w:tblPrEx>
        <w:trPr>
          <w:trHeight w:val="320"/>
          <w:tblHeader/>
        </w:trPr>
        <w:tc>
          <w:tcPr>
            <w:tcW w:w="1045" w:type="dxa"/>
            <w:tcBorders>
              <w:top w:val="single" w:sz="4" w:space="0" w:color="auto"/>
            </w:tcBorders>
            <w:shd w:val="clear" w:color="auto" w:fill="auto"/>
            <w:vAlign w:val="bottom"/>
          </w:tcPr>
          <w:p w:rsidR="004821CF" w:rsidRPr="00B31117" w:rsidRDefault="004821CF" w:rsidP="004741DA">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2092" w:type="dxa"/>
            <w:gridSpan w:val="2"/>
            <w:tcBorders>
              <w:top w:val="single" w:sz="4" w:space="0" w:color="auto"/>
              <w:bottom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hint="eastAsia"/>
                <w:sz w:val="15"/>
              </w:rPr>
            </w:pPr>
            <w:r w:rsidRPr="00B31117">
              <w:rPr>
                <w:rFonts w:ascii="KaiTi_GB2312" w:eastAsia="KaiTi_GB2312" w:hint="eastAsia"/>
                <w:sz w:val="15"/>
              </w:rPr>
              <w:t>中等教育学生总数</w:t>
            </w:r>
          </w:p>
        </w:tc>
        <w:tc>
          <w:tcPr>
            <w:tcW w:w="116" w:type="dxa"/>
            <w:tcBorders>
              <w:top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sz w:val="15"/>
              </w:rPr>
            </w:pPr>
          </w:p>
        </w:tc>
        <w:tc>
          <w:tcPr>
            <w:tcW w:w="1975" w:type="dxa"/>
            <w:gridSpan w:val="2"/>
            <w:tcBorders>
              <w:top w:val="single" w:sz="4" w:space="0" w:color="auto"/>
              <w:bottom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hint="eastAsia"/>
                <w:sz w:val="15"/>
              </w:rPr>
            </w:pPr>
            <w:r w:rsidRPr="00B31117">
              <w:rPr>
                <w:rFonts w:ascii="KaiTi_GB2312" w:eastAsia="KaiTi_GB2312" w:hint="eastAsia"/>
                <w:sz w:val="15"/>
              </w:rPr>
              <w:t>普通中学</w:t>
            </w:r>
          </w:p>
        </w:tc>
        <w:tc>
          <w:tcPr>
            <w:tcW w:w="116" w:type="dxa"/>
            <w:tcBorders>
              <w:top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sz w:val="15"/>
              </w:rPr>
            </w:pPr>
          </w:p>
        </w:tc>
        <w:tc>
          <w:tcPr>
            <w:tcW w:w="1976" w:type="dxa"/>
            <w:gridSpan w:val="2"/>
            <w:tcBorders>
              <w:top w:val="single" w:sz="4" w:space="0" w:color="auto"/>
              <w:bottom w:val="single" w:sz="4"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hint="eastAsia"/>
                <w:sz w:val="15"/>
              </w:rPr>
            </w:pPr>
            <w:r w:rsidRPr="00B31117">
              <w:rPr>
                <w:rFonts w:ascii="KaiTi_GB2312" w:eastAsia="KaiTi_GB2312" w:hint="eastAsia"/>
                <w:sz w:val="15"/>
              </w:rPr>
              <w:t>技术中学</w:t>
            </w:r>
          </w:p>
        </w:tc>
      </w:tr>
      <w:tr w:rsidR="004821CF" w:rsidRPr="00B31117" w:rsidTr="004741DA">
        <w:tblPrEx>
          <w:tblCellMar>
            <w:top w:w="0" w:type="dxa"/>
            <w:bottom w:w="0" w:type="dxa"/>
          </w:tblCellMar>
        </w:tblPrEx>
        <w:trPr>
          <w:trHeight w:val="320"/>
          <w:tblHeader/>
        </w:trPr>
        <w:tc>
          <w:tcPr>
            <w:tcW w:w="1045" w:type="dxa"/>
            <w:tcBorders>
              <w:bottom w:val="single" w:sz="12" w:space="0" w:color="auto"/>
            </w:tcBorders>
            <w:shd w:val="clear" w:color="auto" w:fill="auto"/>
            <w:vAlign w:val="bottom"/>
          </w:tcPr>
          <w:p w:rsidR="004821CF" w:rsidRPr="00B31117" w:rsidRDefault="004821CF" w:rsidP="004741DA">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B31117">
              <w:rPr>
                <w:rFonts w:ascii="KaiTi_GB2312" w:eastAsia="KaiTi_GB2312" w:hint="eastAsia"/>
                <w:sz w:val="15"/>
              </w:rPr>
              <w:t>性别</w:t>
            </w:r>
          </w:p>
        </w:tc>
        <w:tc>
          <w:tcPr>
            <w:tcW w:w="1046"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在校生</w:t>
            </w:r>
          </w:p>
        </w:tc>
        <w:tc>
          <w:tcPr>
            <w:tcW w:w="1046"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sz w:val="15"/>
              </w:rPr>
              <w:t>%</w:t>
            </w:r>
          </w:p>
        </w:tc>
        <w:tc>
          <w:tcPr>
            <w:tcW w:w="1045" w:type="dxa"/>
            <w:gridSpan w:val="2"/>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在校生</w:t>
            </w:r>
          </w:p>
        </w:tc>
        <w:tc>
          <w:tcPr>
            <w:tcW w:w="1046"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sz w:val="15"/>
              </w:rPr>
              <w:t>%</w:t>
            </w:r>
          </w:p>
        </w:tc>
        <w:tc>
          <w:tcPr>
            <w:tcW w:w="1046" w:type="dxa"/>
            <w:gridSpan w:val="2"/>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hint="eastAsia"/>
                <w:sz w:val="15"/>
              </w:rPr>
              <w:t>在校生</w:t>
            </w:r>
          </w:p>
        </w:tc>
        <w:tc>
          <w:tcPr>
            <w:tcW w:w="1046" w:type="dxa"/>
            <w:tcBorders>
              <w:bottom w:val="single" w:sz="12" w:space="0" w:color="auto"/>
            </w:tcBorders>
            <w:shd w:val="clear" w:color="auto" w:fill="auto"/>
            <w:vAlign w:val="bottom"/>
          </w:tcPr>
          <w:p w:rsidR="004821CF" w:rsidRPr="00B31117"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B31117">
              <w:rPr>
                <w:rFonts w:ascii="KaiTi_GB2312" w:eastAsia="KaiTi_GB2312"/>
                <w:sz w:val="15"/>
              </w:rPr>
              <w:t>%</w:t>
            </w:r>
          </w:p>
        </w:tc>
      </w:tr>
      <w:tr w:rsidR="004821CF" w:rsidRPr="00B31117" w:rsidTr="004741DA">
        <w:tblPrEx>
          <w:tblCellMar>
            <w:top w:w="0" w:type="dxa"/>
            <w:bottom w:w="0" w:type="dxa"/>
          </w:tblCellMar>
        </w:tblPrEx>
        <w:trPr>
          <w:trHeight w:hRule="exact" w:val="115"/>
          <w:tblHeader/>
        </w:trPr>
        <w:tc>
          <w:tcPr>
            <w:tcW w:w="1045"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rPr>
                <w:rFonts w:hint="eastAsia"/>
                <w:sz w:val="17"/>
              </w:rPr>
            </w:pPr>
          </w:p>
        </w:tc>
        <w:tc>
          <w:tcPr>
            <w:tcW w:w="1046"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1046"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1045" w:type="dxa"/>
            <w:gridSpan w:val="2"/>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1046"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1046" w:type="dxa"/>
            <w:gridSpan w:val="2"/>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c>
          <w:tcPr>
            <w:tcW w:w="1046" w:type="dxa"/>
            <w:tcBorders>
              <w:top w:val="single" w:sz="12" w:space="0" w:color="auto"/>
            </w:tcBorders>
            <w:shd w:val="clear" w:color="auto" w:fill="auto"/>
            <w:vAlign w:val="bottom"/>
          </w:tcPr>
          <w:p w:rsidR="004821CF" w:rsidRPr="00B31117" w:rsidRDefault="004821CF" w:rsidP="004741DA">
            <w:pPr>
              <w:pStyle w:val="SingleTxt"/>
              <w:tabs>
                <w:tab w:val="clear" w:pos="1264"/>
                <w:tab w:val="clear" w:pos="5574"/>
                <w:tab w:val="left" w:pos="288"/>
                <w:tab w:val="left" w:pos="576"/>
                <w:tab w:val="left" w:pos="864"/>
                <w:tab w:val="left" w:pos="1152"/>
              </w:tabs>
              <w:suppressAutoHyphens/>
              <w:spacing w:after="60" w:line="280" w:lineRule="exact"/>
              <w:ind w:left="0" w:right="57"/>
              <w:jc w:val="right"/>
              <w:rPr>
                <w:sz w:val="17"/>
              </w:rPr>
            </w:pPr>
          </w:p>
        </w:tc>
      </w:tr>
      <w:tr w:rsidR="004821CF" w:rsidRPr="00B31117" w:rsidTr="004741DA">
        <w:tblPrEx>
          <w:tblCellMar>
            <w:top w:w="0" w:type="dxa"/>
            <w:bottom w:w="0" w:type="dxa"/>
          </w:tblCellMar>
        </w:tblPrEx>
        <w:trPr>
          <w:trHeight w:val="320"/>
        </w:trPr>
        <w:tc>
          <w:tcPr>
            <w:tcW w:w="1045"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rFonts w:hint="eastAsia"/>
                <w:sz w:val="17"/>
              </w:rPr>
              <w:t>男性</w:t>
            </w:r>
          </w:p>
        </w:tc>
        <w:tc>
          <w:tcPr>
            <w:tcW w:w="1046"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25 280</w:t>
            </w:r>
          </w:p>
        </w:tc>
        <w:tc>
          <w:tcPr>
            <w:tcW w:w="1046"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47.1</w:t>
            </w:r>
          </w:p>
        </w:tc>
        <w:tc>
          <w:tcPr>
            <w:tcW w:w="1045"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24 465</w:t>
            </w:r>
          </w:p>
        </w:tc>
        <w:tc>
          <w:tcPr>
            <w:tcW w:w="1046"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46.9</w:t>
            </w:r>
          </w:p>
        </w:tc>
        <w:tc>
          <w:tcPr>
            <w:tcW w:w="1046" w:type="dxa"/>
            <w:gridSpan w:val="2"/>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815</w:t>
            </w:r>
          </w:p>
        </w:tc>
        <w:tc>
          <w:tcPr>
            <w:tcW w:w="1046" w:type="dxa"/>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52.3</w:t>
            </w:r>
          </w:p>
        </w:tc>
      </w:tr>
      <w:tr w:rsidR="004821CF" w:rsidRPr="00B31117" w:rsidTr="004741DA">
        <w:tblPrEx>
          <w:tblCellMar>
            <w:top w:w="0" w:type="dxa"/>
            <w:bottom w:w="0" w:type="dxa"/>
          </w:tblCellMar>
        </w:tblPrEx>
        <w:trPr>
          <w:trHeight w:val="320"/>
        </w:trPr>
        <w:tc>
          <w:tcPr>
            <w:tcW w:w="1045" w:type="dxa"/>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r w:rsidRPr="00B31117">
              <w:rPr>
                <w:rFonts w:hint="eastAsia"/>
                <w:sz w:val="17"/>
              </w:rPr>
              <w:t>女性</w:t>
            </w:r>
          </w:p>
        </w:tc>
        <w:tc>
          <w:tcPr>
            <w:tcW w:w="1046" w:type="dxa"/>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28 411</w:t>
            </w:r>
          </w:p>
        </w:tc>
        <w:tc>
          <w:tcPr>
            <w:tcW w:w="1046" w:type="dxa"/>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52.9</w:t>
            </w:r>
          </w:p>
        </w:tc>
        <w:tc>
          <w:tcPr>
            <w:tcW w:w="1045" w:type="dxa"/>
            <w:gridSpan w:val="2"/>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27 668</w:t>
            </w:r>
          </w:p>
        </w:tc>
        <w:tc>
          <w:tcPr>
            <w:tcW w:w="1046" w:type="dxa"/>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53.1</w:t>
            </w:r>
          </w:p>
        </w:tc>
        <w:tc>
          <w:tcPr>
            <w:tcW w:w="1046" w:type="dxa"/>
            <w:gridSpan w:val="2"/>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743</w:t>
            </w:r>
          </w:p>
        </w:tc>
        <w:tc>
          <w:tcPr>
            <w:tcW w:w="1046" w:type="dxa"/>
            <w:tcBorders>
              <w:bottom w:val="single" w:sz="4"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B31117">
              <w:rPr>
                <w:sz w:val="17"/>
              </w:rPr>
              <w:t>47.7</w:t>
            </w:r>
          </w:p>
        </w:tc>
      </w:tr>
      <w:tr w:rsidR="004821CF" w:rsidRPr="00B31117" w:rsidTr="004741DA">
        <w:tblPrEx>
          <w:tblCellMar>
            <w:top w:w="0" w:type="dxa"/>
            <w:bottom w:w="0" w:type="dxa"/>
          </w:tblCellMar>
        </w:tblPrEx>
        <w:trPr>
          <w:trHeight w:val="320"/>
        </w:trPr>
        <w:tc>
          <w:tcPr>
            <w:tcW w:w="1045"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rPr>
                <w:rFonts w:ascii="SimHei" w:eastAsia="SimHei"/>
                <w:b/>
                <w:sz w:val="17"/>
              </w:rPr>
            </w:pPr>
            <w:r w:rsidRPr="00B31117">
              <w:rPr>
                <w:rFonts w:ascii="SimHei" w:eastAsia="SimHei"/>
                <w:b/>
                <w:sz w:val="17"/>
              </w:rPr>
              <w:tab/>
            </w:r>
            <w:r w:rsidRPr="00B31117">
              <w:rPr>
                <w:rFonts w:ascii="SimHei" w:eastAsia="SimHei" w:hint="eastAsia"/>
                <w:b/>
                <w:sz w:val="17"/>
              </w:rPr>
              <w:t>共计</w:t>
            </w:r>
          </w:p>
        </w:tc>
        <w:tc>
          <w:tcPr>
            <w:tcW w:w="1046"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b/>
                <w:sz w:val="17"/>
              </w:rPr>
            </w:pPr>
            <w:r w:rsidRPr="00B31117">
              <w:rPr>
                <w:rFonts w:ascii="SimHei" w:eastAsia="SimHei"/>
                <w:b/>
                <w:sz w:val="17"/>
              </w:rPr>
              <w:t>53 691</w:t>
            </w:r>
          </w:p>
        </w:tc>
        <w:tc>
          <w:tcPr>
            <w:tcW w:w="1046"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b/>
                <w:sz w:val="17"/>
              </w:rPr>
            </w:pPr>
            <w:r w:rsidRPr="00B31117">
              <w:rPr>
                <w:rFonts w:ascii="SimHei" w:eastAsia="SimHei"/>
                <w:b/>
                <w:sz w:val="17"/>
              </w:rPr>
              <w:t>100.0</w:t>
            </w:r>
          </w:p>
        </w:tc>
        <w:tc>
          <w:tcPr>
            <w:tcW w:w="1045" w:type="dxa"/>
            <w:gridSpan w:val="2"/>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b/>
                <w:sz w:val="17"/>
              </w:rPr>
            </w:pPr>
            <w:r w:rsidRPr="00B31117">
              <w:rPr>
                <w:rFonts w:ascii="SimHei" w:eastAsia="SimHei"/>
                <w:b/>
                <w:sz w:val="17"/>
              </w:rPr>
              <w:t>52 133</w:t>
            </w:r>
          </w:p>
        </w:tc>
        <w:tc>
          <w:tcPr>
            <w:tcW w:w="1046"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b/>
                <w:sz w:val="17"/>
              </w:rPr>
            </w:pPr>
            <w:r w:rsidRPr="00B31117">
              <w:rPr>
                <w:rFonts w:ascii="SimHei" w:eastAsia="SimHei"/>
                <w:b/>
                <w:sz w:val="17"/>
              </w:rPr>
              <w:t>97.1</w:t>
            </w:r>
          </w:p>
        </w:tc>
        <w:tc>
          <w:tcPr>
            <w:tcW w:w="1046" w:type="dxa"/>
            <w:gridSpan w:val="2"/>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b/>
                <w:sz w:val="17"/>
              </w:rPr>
            </w:pPr>
            <w:r w:rsidRPr="00B31117">
              <w:rPr>
                <w:rFonts w:ascii="SimHei" w:eastAsia="SimHei"/>
                <w:b/>
                <w:sz w:val="17"/>
              </w:rPr>
              <w:t>1 558</w:t>
            </w:r>
          </w:p>
        </w:tc>
        <w:tc>
          <w:tcPr>
            <w:tcW w:w="1046" w:type="dxa"/>
            <w:tcBorders>
              <w:top w:val="single" w:sz="4" w:space="0" w:color="auto"/>
              <w:bottom w:val="single" w:sz="12" w:space="0" w:color="auto"/>
            </w:tcBorders>
            <w:shd w:val="clear" w:color="auto" w:fill="auto"/>
            <w:vAlign w:val="bottom"/>
          </w:tcPr>
          <w:p w:rsidR="004821CF" w:rsidRPr="00B31117" w:rsidRDefault="004821CF" w:rsidP="004741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rFonts w:ascii="SimHei" w:eastAsia="SimHei"/>
                <w:b/>
                <w:sz w:val="17"/>
              </w:rPr>
            </w:pPr>
            <w:r w:rsidRPr="00B31117">
              <w:rPr>
                <w:rFonts w:ascii="SimHei" w:eastAsia="SimHei"/>
                <w:b/>
                <w:sz w:val="17"/>
              </w:rPr>
              <w:t>2.90179</w:t>
            </w:r>
          </w:p>
        </w:tc>
      </w:tr>
    </w:tbl>
    <w:p w:rsidR="004821CF" w:rsidRPr="00FA6D12" w:rsidRDefault="004821CF" w:rsidP="004741DA">
      <w:pPr>
        <w:pStyle w:val="FootnoteText"/>
        <w:tabs>
          <w:tab w:val="right" w:pos="1476"/>
          <w:tab w:val="left" w:pos="1548"/>
          <w:tab w:val="right" w:pos="1836"/>
          <w:tab w:val="left" w:pos="1908"/>
        </w:tabs>
        <w:spacing w:after="0" w:line="120" w:lineRule="exact"/>
        <w:ind w:left="1264" w:right="1264" w:firstLine="0"/>
        <w:rPr>
          <w:rFonts w:ascii="SimHei" w:eastAsia="SimHei" w:hint="eastAsia"/>
          <w:sz w:val="10"/>
        </w:rPr>
      </w:pPr>
    </w:p>
    <w:p w:rsidR="004821CF" w:rsidRPr="00FA6D12" w:rsidRDefault="004821CF" w:rsidP="004741DA">
      <w:pPr>
        <w:pStyle w:val="FootnoteText"/>
        <w:tabs>
          <w:tab w:val="clear" w:pos="418"/>
          <w:tab w:val="right" w:pos="1476"/>
          <w:tab w:val="left" w:pos="1548"/>
          <w:tab w:val="right" w:pos="1836"/>
          <w:tab w:val="left" w:pos="1908"/>
        </w:tabs>
        <w:ind w:left="1548" w:right="1267" w:hanging="288"/>
        <w:rPr>
          <w:rFonts w:hint="eastAsia"/>
        </w:rPr>
      </w:pPr>
      <w:r w:rsidRPr="00FA6D12">
        <w:rPr>
          <w:rFonts w:ascii="KaiTi_GB2312" w:eastAsia="KaiTi_GB2312" w:hint="eastAsia"/>
        </w:rPr>
        <w:t>资料来源</w:t>
      </w:r>
      <w:r w:rsidRPr="00FA6D12">
        <w:rPr>
          <w:rFonts w:hint="eastAsia"/>
        </w:rPr>
        <w:t>：2010/2011学年教育统计年鉴。</w:t>
      </w:r>
    </w:p>
    <w:p w:rsidR="004821CF" w:rsidRPr="0085491E" w:rsidRDefault="004821CF" w:rsidP="004741DA">
      <w:pPr>
        <w:pStyle w:val="SingleTxt"/>
        <w:rPr>
          <w:rFonts w:ascii="SimHei" w:eastAsia="SimHei" w:hint="eastAsia"/>
        </w:rPr>
      </w:pPr>
      <w:r>
        <w:rPr>
          <w:rFonts w:ascii="SimHei" w:eastAsia="SimHei"/>
        </w:rPr>
        <w:br w:type="page"/>
      </w:r>
      <w:r w:rsidRPr="009933D2">
        <w:rPr>
          <w:rFonts w:hint="eastAsia"/>
        </w:rPr>
        <w:t>表5</w:t>
      </w:r>
      <w:r w:rsidRPr="005019C6">
        <w:rPr>
          <w:rFonts w:ascii="SimHei" w:eastAsia="SimHei" w:hint="eastAsia"/>
        </w:rPr>
        <w:br/>
      </w:r>
      <w:r w:rsidRPr="00623F47">
        <w:rPr>
          <w:rFonts w:ascii="SimHei" w:eastAsia="SimHei" w:hint="eastAsia"/>
        </w:rPr>
        <w:t>2010年按方法和市县分列的避孕保护普及率(百分比)</w:t>
      </w:r>
    </w:p>
    <w:tbl>
      <w:tblPr>
        <w:tblW w:w="0" w:type="auto"/>
        <w:tblInd w:w="1260" w:type="dxa"/>
        <w:tblLayout w:type="fixed"/>
        <w:tblCellMar>
          <w:left w:w="0" w:type="dxa"/>
          <w:right w:w="0" w:type="dxa"/>
        </w:tblCellMar>
        <w:tblLook w:val="0000" w:firstRow="0" w:lastRow="0" w:firstColumn="0" w:lastColumn="0" w:noHBand="0" w:noVBand="0"/>
      </w:tblPr>
      <w:tblGrid>
        <w:gridCol w:w="1834"/>
        <w:gridCol w:w="623"/>
        <w:gridCol w:w="623"/>
        <w:gridCol w:w="623"/>
        <w:gridCol w:w="623"/>
        <w:gridCol w:w="623"/>
        <w:gridCol w:w="623"/>
        <w:gridCol w:w="623"/>
        <w:gridCol w:w="517"/>
        <w:gridCol w:w="610"/>
      </w:tblGrid>
      <w:tr w:rsidR="004821CF" w:rsidRPr="00873FEA" w:rsidTr="004741DA">
        <w:tblPrEx>
          <w:tblCellMar>
            <w:top w:w="0" w:type="dxa"/>
            <w:bottom w:w="0" w:type="dxa"/>
          </w:tblCellMar>
        </w:tblPrEx>
        <w:trPr>
          <w:tblHeader/>
        </w:trPr>
        <w:tc>
          <w:tcPr>
            <w:tcW w:w="1834" w:type="dxa"/>
            <w:tcBorders>
              <w:top w:val="single" w:sz="4" w:space="0" w:color="auto"/>
            </w:tcBorders>
            <w:shd w:val="clear" w:color="auto" w:fill="auto"/>
            <w:vAlign w:val="bottom"/>
          </w:tcPr>
          <w:p w:rsidR="004821CF" w:rsidRPr="00873FEA" w:rsidRDefault="004821CF" w:rsidP="004741DA">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4878" w:type="dxa"/>
            <w:gridSpan w:val="8"/>
            <w:tcBorders>
              <w:top w:val="single" w:sz="4" w:space="0" w:color="auto"/>
              <w:bottom w:val="single" w:sz="4"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hint="eastAsia"/>
                <w:sz w:val="15"/>
              </w:rPr>
            </w:pPr>
            <w:r w:rsidRPr="00873FEA">
              <w:rPr>
                <w:rFonts w:ascii="KaiTi_GB2312" w:eastAsia="KaiTi_GB2312" w:hint="eastAsia"/>
                <w:sz w:val="15"/>
              </w:rPr>
              <w:t>避孕方法</w:t>
            </w:r>
          </w:p>
        </w:tc>
        <w:tc>
          <w:tcPr>
            <w:tcW w:w="610" w:type="dxa"/>
            <w:vMerge w:val="restart"/>
            <w:tcBorders>
              <w:top w:val="single" w:sz="4"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百分比</w:t>
            </w:r>
            <w:r>
              <w:rPr>
                <w:rFonts w:ascii="KaiTi_GB2312" w:eastAsia="KaiTi_GB2312"/>
                <w:sz w:val="15"/>
              </w:rPr>
              <w:br/>
            </w:r>
            <w:r w:rsidRPr="00873FEA">
              <w:rPr>
                <w:rFonts w:ascii="KaiTi_GB2312" w:eastAsia="KaiTi_GB2312" w:hint="eastAsia"/>
                <w:sz w:val="15"/>
              </w:rPr>
              <w:t>共计</w:t>
            </w:r>
            <w:r w:rsidRPr="00873FEA">
              <w:rPr>
                <w:rFonts w:ascii="KaiTi_GB2312" w:eastAsia="KaiTi_GB2312"/>
                <w:sz w:val="15"/>
              </w:rPr>
              <w:t>(%)</w:t>
            </w:r>
          </w:p>
        </w:tc>
      </w:tr>
      <w:tr w:rsidR="004821CF" w:rsidRPr="00873FEA" w:rsidTr="004741DA">
        <w:tblPrEx>
          <w:tblCellMar>
            <w:top w:w="0" w:type="dxa"/>
            <w:bottom w:w="0" w:type="dxa"/>
          </w:tblCellMar>
        </w:tblPrEx>
        <w:trPr>
          <w:tblHeader/>
        </w:trPr>
        <w:tc>
          <w:tcPr>
            <w:tcW w:w="1834" w:type="dxa"/>
            <w:tcBorders>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center"/>
              <w:rPr>
                <w:rFonts w:ascii="KaiTi_GB2312" w:eastAsia="KaiTi_GB2312" w:hint="eastAsia"/>
                <w:sz w:val="15"/>
              </w:rPr>
            </w:pP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避孕药</w:t>
            </w: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避孕针</w:t>
            </w: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节育环</w:t>
            </w:r>
            <w:r w:rsidRPr="00873FEA">
              <w:rPr>
                <w:rFonts w:ascii="KaiTi_GB2312" w:eastAsia="KaiTi_GB2312"/>
                <w:sz w:val="15"/>
              </w:rPr>
              <w:t>(</w:t>
            </w:r>
            <w:r w:rsidRPr="00873FEA">
              <w:rPr>
                <w:rFonts w:ascii="KaiTi_GB2312" w:eastAsia="KaiTi_GB2312" w:hint="eastAsia"/>
                <w:sz w:val="15"/>
              </w:rPr>
              <w:t>宫内节育装置</w:t>
            </w:r>
            <w:r w:rsidRPr="00873FEA">
              <w:rPr>
                <w:rFonts w:ascii="KaiTi_GB2312" w:eastAsia="KaiTi_GB2312"/>
                <w:sz w:val="15"/>
              </w:rPr>
              <w:t>)</w:t>
            </w: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杀精剂</w:t>
            </w: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男用</w:t>
            </w:r>
            <w:r>
              <w:rPr>
                <w:rFonts w:ascii="KaiTi_GB2312" w:eastAsia="KaiTi_GB2312"/>
                <w:sz w:val="15"/>
              </w:rPr>
              <w:br/>
            </w:r>
            <w:r w:rsidRPr="00873FEA">
              <w:rPr>
                <w:rFonts w:ascii="KaiTi_GB2312" w:eastAsia="KaiTi_GB2312" w:hint="eastAsia"/>
                <w:sz w:val="15"/>
              </w:rPr>
              <w:t>避孕套</w:t>
            </w: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女用</w:t>
            </w:r>
            <w:r>
              <w:rPr>
                <w:rFonts w:ascii="KaiTi_GB2312" w:eastAsia="KaiTi_GB2312"/>
                <w:sz w:val="15"/>
              </w:rPr>
              <w:br/>
            </w:r>
            <w:r w:rsidRPr="00873FEA">
              <w:rPr>
                <w:rFonts w:ascii="KaiTi_GB2312" w:eastAsia="KaiTi_GB2312" w:hint="eastAsia"/>
                <w:sz w:val="15"/>
              </w:rPr>
              <w:t>避孕套</w:t>
            </w:r>
          </w:p>
        </w:tc>
        <w:tc>
          <w:tcPr>
            <w:tcW w:w="623"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女性</w:t>
            </w:r>
            <w:r>
              <w:rPr>
                <w:rFonts w:ascii="KaiTi_GB2312" w:eastAsia="KaiTi_GB2312"/>
                <w:sz w:val="15"/>
              </w:rPr>
              <w:br/>
            </w:r>
            <w:r w:rsidRPr="00873FEA">
              <w:rPr>
                <w:rFonts w:ascii="KaiTi_GB2312" w:eastAsia="KaiTi_GB2312" w:hint="eastAsia"/>
                <w:sz w:val="15"/>
              </w:rPr>
              <w:t>绝育</w:t>
            </w:r>
          </w:p>
        </w:tc>
        <w:tc>
          <w:tcPr>
            <w:tcW w:w="517" w:type="dxa"/>
            <w:tcBorders>
              <w:top w:val="single" w:sz="4" w:space="0" w:color="auto"/>
              <w:bottom w:val="single" w:sz="12" w:space="0" w:color="auto"/>
            </w:tcBorders>
            <w:shd w:val="clear" w:color="auto" w:fill="auto"/>
            <w:vAlign w:val="bottom"/>
          </w:tcPr>
          <w:p w:rsidR="004821CF" w:rsidRPr="00873FEA"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873FEA">
              <w:rPr>
                <w:rFonts w:ascii="KaiTi_GB2312" w:eastAsia="KaiTi_GB2312" w:hint="eastAsia"/>
                <w:sz w:val="15"/>
              </w:rPr>
              <w:t>植入</w:t>
            </w:r>
          </w:p>
        </w:tc>
        <w:tc>
          <w:tcPr>
            <w:tcW w:w="610" w:type="dxa"/>
            <w:vMerge/>
            <w:tcBorders>
              <w:bottom w:val="single" w:sz="12" w:space="0" w:color="auto"/>
            </w:tcBorders>
            <w:shd w:val="clear" w:color="auto" w:fill="auto"/>
            <w:vAlign w:val="bottom"/>
          </w:tcPr>
          <w:p w:rsidR="004821CF" w:rsidRPr="00873FEA" w:rsidRDefault="004821CF" w:rsidP="004741DA">
            <w:pPr>
              <w:tabs>
                <w:tab w:val="left" w:pos="360"/>
                <w:tab w:val="left" w:pos="720"/>
                <w:tab w:val="left" w:pos="1080"/>
                <w:tab w:val="left" w:pos="1440"/>
              </w:tabs>
              <w:suppressAutoHyphens/>
              <w:spacing w:after="60" w:line="200" w:lineRule="exact"/>
              <w:ind w:right="57"/>
              <w:jc w:val="right"/>
              <w:rPr>
                <w:rFonts w:ascii="KaiTi_GB2312" w:eastAsia="KaiTi_GB2312" w:hint="eastAsia"/>
                <w:sz w:val="15"/>
              </w:rPr>
            </w:pPr>
          </w:p>
        </w:tc>
      </w:tr>
      <w:tr w:rsidR="004821CF" w:rsidRPr="00873FEA" w:rsidTr="004741DA">
        <w:tblPrEx>
          <w:tblCellMar>
            <w:top w:w="0" w:type="dxa"/>
            <w:bottom w:w="0" w:type="dxa"/>
          </w:tblCellMar>
        </w:tblPrEx>
        <w:trPr>
          <w:trHeight w:hRule="exact" w:val="115"/>
          <w:tblHeader/>
        </w:trPr>
        <w:tc>
          <w:tcPr>
            <w:tcW w:w="1834"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rPr>
                <w:rFonts w:hint="eastAsia"/>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23"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517"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c>
          <w:tcPr>
            <w:tcW w:w="610" w:type="dxa"/>
            <w:tcBorders>
              <w:top w:val="single" w:sz="12" w:space="0" w:color="auto"/>
            </w:tcBorders>
            <w:shd w:val="clear" w:color="auto" w:fill="auto"/>
            <w:vAlign w:val="bottom"/>
          </w:tcPr>
          <w:p w:rsidR="004821CF" w:rsidRPr="00873FEA" w:rsidRDefault="004821CF" w:rsidP="004741DA">
            <w:pPr>
              <w:tabs>
                <w:tab w:val="left" w:pos="288"/>
                <w:tab w:val="left" w:pos="576"/>
                <w:tab w:val="left" w:pos="864"/>
                <w:tab w:val="left" w:pos="1152"/>
              </w:tabs>
              <w:suppressAutoHyphens/>
              <w:spacing w:after="60" w:line="280" w:lineRule="exact"/>
              <w:ind w:right="57"/>
              <w:jc w:val="right"/>
              <w:rPr>
                <w:sz w:val="17"/>
              </w:rPr>
            </w:pP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rFonts w:hint="eastAsia"/>
                <w:sz w:val="17"/>
              </w:rPr>
            </w:pPr>
            <w:r w:rsidRPr="00873FEA">
              <w:rPr>
                <w:rFonts w:hint="eastAsia"/>
                <w:sz w:val="17"/>
              </w:rPr>
              <w:t>大里贝拉</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15.8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12.3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35.9</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保尔</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10.7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9.2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30.4</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波多诺伏</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14.0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7.6</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12.0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34.6</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圣维森特岛</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20.7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18.6</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4.6</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8.5</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60.2</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里贝拉布拉瓦</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17.5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12.2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38.9</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圣尼古拉岛的塔拉法尔</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13.0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11.9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32.7</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萨尔岛</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14.5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2.4</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33.2</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博阿维斯塔岛</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19.9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15.1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44.1</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马尤岛</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12.5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14.5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9.9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36.9</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塔拉法尔</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11.0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19.8</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圣米格尔</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0.4</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18.9</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圣卡特琳娜</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7.6</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0.7</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20.8</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圣萨尔瓦多多蒙多</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2.6</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13.3</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圣克鲁斯</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25.0</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圣劳伦斯</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23.4</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圣多明戈</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2.9</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8.2</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16.5</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普拉亚</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9.4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6.1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7.6</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0.1</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31.5</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圣多明戈的大里贝拉</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8.2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3.8</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15.2</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莫斯特罗</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13.5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7.7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26.0</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圣菲利普</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23.2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5.4</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0.7</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5.3</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0.1</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34.8</w:t>
            </w:r>
          </w:p>
        </w:tc>
      </w:tr>
      <w:tr w:rsidR="004821CF" w:rsidRPr="00873FEA" w:rsidTr="004741DA">
        <w:tblPrEx>
          <w:tblCellMar>
            <w:top w:w="0" w:type="dxa"/>
            <w:bottom w:w="0" w:type="dxa"/>
          </w:tblCellMar>
        </w:tblPrEx>
        <w:tc>
          <w:tcPr>
            <w:tcW w:w="1834" w:type="dxa"/>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圣卡特琳娜多佛戈</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9.2</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1.5</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10" w:type="dxa"/>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14.7</w:t>
            </w:r>
          </w:p>
        </w:tc>
      </w:tr>
      <w:tr w:rsidR="004821CF" w:rsidRPr="00873FEA" w:rsidTr="004741DA">
        <w:tblPrEx>
          <w:tblCellMar>
            <w:top w:w="0" w:type="dxa"/>
            <w:bottom w:w="0" w:type="dxa"/>
          </w:tblCellMar>
        </w:tblPrEx>
        <w:tc>
          <w:tcPr>
            <w:tcW w:w="1834" w:type="dxa"/>
            <w:tcBorders>
              <w:bottom w:val="single" w:sz="4" w:space="0" w:color="auto"/>
            </w:tcBorders>
            <w:shd w:val="clear" w:color="auto" w:fill="auto"/>
            <w:vAlign w:val="bottom"/>
          </w:tcPr>
          <w:p w:rsidR="004821CF" w:rsidRPr="00873FEA" w:rsidRDefault="004821CF" w:rsidP="004741DA">
            <w:pPr>
              <w:tabs>
                <w:tab w:val="left" w:pos="334"/>
                <w:tab w:val="left" w:pos="669"/>
                <w:tab w:val="left" w:pos="1003"/>
                <w:tab w:val="left" w:pos="1338"/>
              </w:tabs>
              <w:suppressAutoHyphens/>
              <w:spacing w:after="60" w:line="280" w:lineRule="exact"/>
              <w:ind w:right="57"/>
              <w:rPr>
                <w:sz w:val="17"/>
              </w:rPr>
            </w:pPr>
            <w:r w:rsidRPr="00873FEA">
              <w:rPr>
                <w:rFonts w:hint="eastAsia"/>
                <w:sz w:val="17"/>
              </w:rPr>
              <w:t>布拉瓦</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13.9</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17.9</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0.2</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10.1</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623"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0.0</w:t>
            </w:r>
          </w:p>
        </w:tc>
        <w:tc>
          <w:tcPr>
            <w:tcW w:w="517"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17.5</w:t>
            </w:r>
          </w:p>
        </w:tc>
        <w:tc>
          <w:tcPr>
            <w:tcW w:w="610" w:type="dxa"/>
            <w:tcBorders>
              <w:bottom w:val="single" w:sz="4" w:space="0" w:color="auto"/>
            </w:tcBorders>
            <w:shd w:val="clear" w:color="auto" w:fill="auto"/>
          </w:tcPr>
          <w:p w:rsidR="004821CF" w:rsidRPr="00873FEA" w:rsidRDefault="004821CF" w:rsidP="004741DA">
            <w:pPr>
              <w:tabs>
                <w:tab w:val="left" w:pos="334"/>
                <w:tab w:val="left" w:pos="669"/>
                <w:tab w:val="left" w:pos="1003"/>
                <w:tab w:val="left" w:pos="1338"/>
              </w:tabs>
              <w:suppressAutoHyphens/>
              <w:spacing w:after="60" w:line="280" w:lineRule="exact"/>
              <w:ind w:right="57"/>
              <w:jc w:val="right"/>
              <w:rPr>
                <w:sz w:val="17"/>
              </w:rPr>
            </w:pPr>
            <w:r w:rsidRPr="00873FEA">
              <w:rPr>
                <w:sz w:val="17"/>
              </w:rPr>
              <w:t>42.1</w:t>
            </w:r>
          </w:p>
        </w:tc>
      </w:tr>
      <w:tr w:rsidR="004821CF" w:rsidRPr="00D42D63" w:rsidTr="004741DA">
        <w:tblPrEx>
          <w:tblCellMar>
            <w:top w:w="0" w:type="dxa"/>
            <w:bottom w:w="0" w:type="dxa"/>
          </w:tblCellMar>
        </w:tblPrEx>
        <w:tc>
          <w:tcPr>
            <w:tcW w:w="1834" w:type="dxa"/>
            <w:tcBorders>
              <w:top w:val="single" w:sz="4" w:space="0" w:color="auto"/>
              <w:bottom w:val="single" w:sz="12" w:space="0" w:color="auto"/>
            </w:tcBorders>
            <w:shd w:val="clear" w:color="auto" w:fill="auto"/>
            <w:vAlign w:val="bottom"/>
          </w:tcPr>
          <w:p w:rsidR="004821CF" w:rsidRPr="00D42D63" w:rsidRDefault="004821CF" w:rsidP="004741DA">
            <w:pPr>
              <w:tabs>
                <w:tab w:val="left" w:pos="334"/>
                <w:tab w:val="left" w:pos="669"/>
                <w:tab w:val="left" w:pos="1003"/>
                <w:tab w:val="left" w:pos="1338"/>
              </w:tabs>
              <w:suppressAutoHyphens/>
              <w:spacing w:before="80" w:after="80" w:line="280" w:lineRule="exact"/>
              <w:ind w:right="57"/>
              <w:rPr>
                <w:rFonts w:ascii="SimHei" w:eastAsia="SimHei"/>
                <w:b/>
                <w:sz w:val="17"/>
              </w:rPr>
            </w:pPr>
            <w:r>
              <w:rPr>
                <w:rFonts w:ascii="SimHei" w:eastAsia="SimHei"/>
                <w:b/>
                <w:sz w:val="17"/>
              </w:rPr>
              <w:tab/>
            </w:r>
            <w:r w:rsidRPr="00D42D63">
              <w:rPr>
                <w:rFonts w:ascii="SimHei" w:eastAsia="SimHei" w:hint="eastAsia"/>
                <w:b/>
                <w:sz w:val="17"/>
              </w:rPr>
              <w:t>佛得角共计</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12.5</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6.7</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1.2</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0.0</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8.8</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0.0</w:t>
            </w:r>
          </w:p>
        </w:tc>
        <w:tc>
          <w:tcPr>
            <w:tcW w:w="623"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2.9</w:t>
            </w:r>
          </w:p>
        </w:tc>
        <w:tc>
          <w:tcPr>
            <w:tcW w:w="517"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1.9</w:t>
            </w:r>
          </w:p>
        </w:tc>
        <w:tc>
          <w:tcPr>
            <w:tcW w:w="610" w:type="dxa"/>
            <w:tcBorders>
              <w:top w:val="single" w:sz="4" w:space="0" w:color="auto"/>
              <w:bottom w:val="single" w:sz="12" w:space="0" w:color="auto"/>
            </w:tcBorders>
            <w:shd w:val="clear" w:color="auto" w:fill="auto"/>
          </w:tcPr>
          <w:p w:rsidR="004821CF" w:rsidRPr="00D42D63" w:rsidRDefault="004821CF" w:rsidP="004741DA">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D42D63">
              <w:rPr>
                <w:rFonts w:ascii="SimHei" w:eastAsia="SimHei"/>
                <w:b/>
                <w:sz w:val="17"/>
              </w:rPr>
              <w:t>34.0</w:t>
            </w:r>
          </w:p>
        </w:tc>
      </w:tr>
    </w:tbl>
    <w:p w:rsidR="004821CF" w:rsidRPr="00FA6D12" w:rsidRDefault="004821CF" w:rsidP="004741DA">
      <w:pPr>
        <w:pStyle w:val="FootnoteText"/>
        <w:tabs>
          <w:tab w:val="clear" w:pos="418"/>
          <w:tab w:val="right" w:pos="1476"/>
          <w:tab w:val="left" w:pos="1548"/>
          <w:tab w:val="right" w:pos="1836"/>
          <w:tab w:val="left" w:pos="1908"/>
        </w:tabs>
        <w:spacing w:after="0" w:line="120" w:lineRule="exact"/>
        <w:ind w:left="1548" w:right="1267" w:hanging="288"/>
        <w:rPr>
          <w:rFonts w:hint="eastAsia"/>
          <w:sz w:val="10"/>
          <w:szCs w:val="17"/>
        </w:rPr>
      </w:pPr>
    </w:p>
    <w:p w:rsidR="004821CF" w:rsidRDefault="004821CF" w:rsidP="004741DA">
      <w:pPr>
        <w:pStyle w:val="FootnoteText"/>
        <w:tabs>
          <w:tab w:val="clear" w:pos="418"/>
          <w:tab w:val="right" w:pos="1476"/>
          <w:tab w:val="left" w:pos="1548"/>
          <w:tab w:val="right" w:pos="1836"/>
          <w:tab w:val="left" w:pos="1908"/>
        </w:tabs>
        <w:ind w:left="1548" w:right="1267" w:hanging="288"/>
      </w:pPr>
      <w:r w:rsidRPr="00FA6D12">
        <w:rPr>
          <w:rFonts w:ascii="KaiTi_GB2312" w:eastAsia="KaiTi_GB2312" w:hint="eastAsia"/>
        </w:rPr>
        <w:t>资料来源</w:t>
      </w:r>
      <w:r>
        <w:rPr>
          <w:rFonts w:ascii="KaiTi_GB2312" w:eastAsia="KaiTi_GB2312" w:hint="eastAsia"/>
        </w:rPr>
        <w:t>：</w:t>
      </w:r>
      <w:r w:rsidRPr="00FA6D12">
        <w:rPr>
          <w:rFonts w:hint="eastAsia"/>
        </w:rPr>
        <w:t>2010年佛得角卫生部统计报告</w:t>
      </w:r>
      <w:r>
        <w:rPr>
          <w:rFonts w:hint="eastAsia"/>
        </w:rPr>
        <w:t>。</w:t>
      </w:r>
    </w:p>
    <w:p w:rsidR="004821CF" w:rsidRDefault="004821CF" w:rsidP="004741DA">
      <w:pPr>
        <w:pStyle w:val="SingleTxt"/>
        <w:rPr>
          <w:rFonts w:ascii="Times New Roman" w:eastAsia="SimHei"/>
        </w:rPr>
      </w:pPr>
      <w:r>
        <w:br w:type="page"/>
      </w:r>
      <w:r w:rsidRPr="00F07038">
        <w:rPr>
          <w:rFonts w:hint="eastAsia"/>
        </w:rPr>
        <w:t>表6</w:t>
      </w:r>
      <w:r w:rsidRPr="005019C6">
        <w:rPr>
          <w:rFonts w:ascii="SimHei" w:eastAsia="SimHei" w:hint="eastAsia"/>
        </w:rPr>
        <w:br/>
      </w:r>
      <w:r w:rsidRPr="00AF0409">
        <w:rPr>
          <w:rFonts w:ascii="SimHei" w:eastAsia="SimHei" w:hint="eastAsia"/>
        </w:rPr>
        <w:t>按性别分列的艾滋病毒/艾滋病死亡率</w:t>
      </w: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821CF" w:rsidRPr="00A94226" w:rsidTr="004741DA">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821CF" w:rsidRPr="00A94226" w:rsidRDefault="004821CF" w:rsidP="004741DA">
            <w:pPr>
              <w:pStyle w:val="SingleTxt"/>
              <w:tabs>
                <w:tab w:val="clear" w:pos="1264"/>
                <w:tab w:val="clear" w:pos="5574"/>
              </w:tabs>
              <w:suppressAutoHyphens/>
              <w:spacing w:before="60" w:after="60" w:line="200" w:lineRule="exact"/>
              <w:ind w:left="0" w:right="57"/>
              <w:jc w:val="left"/>
              <w:rPr>
                <w:rFonts w:ascii="KaiTi_GB2312" w:eastAsia="KaiTi_GB2312"/>
                <w:sz w:val="15"/>
              </w:rPr>
            </w:pPr>
            <w:r w:rsidRPr="00A94226">
              <w:rPr>
                <w:rFonts w:ascii="KaiTi_GB2312" w:eastAsia="KaiTi_GB2312" w:hint="eastAsia"/>
                <w:sz w:val="15"/>
              </w:rPr>
              <w:t>年份</w:t>
            </w:r>
          </w:p>
        </w:tc>
        <w:tc>
          <w:tcPr>
            <w:tcW w:w="1830" w:type="dxa"/>
            <w:tcBorders>
              <w:top w:val="single" w:sz="4" w:space="0" w:color="auto"/>
              <w:bottom w:val="single" w:sz="12" w:space="0" w:color="auto"/>
            </w:tcBorders>
            <w:shd w:val="clear" w:color="auto" w:fill="auto"/>
            <w:vAlign w:val="bottom"/>
          </w:tcPr>
          <w:p w:rsidR="004821CF" w:rsidRPr="00A94226"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A94226">
              <w:rPr>
                <w:rFonts w:ascii="KaiTi_GB2312" w:eastAsia="KaiTi_GB2312" w:hint="eastAsia"/>
                <w:sz w:val="15"/>
              </w:rPr>
              <w:t>男性</w:t>
            </w:r>
          </w:p>
        </w:tc>
        <w:tc>
          <w:tcPr>
            <w:tcW w:w="1830" w:type="dxa"/>
            <w:tcBorders>
              <w:top w:val="single" w:sz="4" w:space="0" w:color="auto"/>
              <w:bottom w:val="single" w:sz="12" w:space="0" w:color="auto"/>
            </w:tcBorders>
            <w:shd w:val="clear" w:color="auto" w:fill="auto"/>
            <w:vAlign w:val="bottom"/>
          </w:tcPr>
          <w:p w:rsidR="004821CF" w:rsidRPr="00A94226"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A94226">
              <w:rPr>
                <w:rFonts w:ascii="KaiTi_GB2312" w:eastAsia="KaiTi_GB2312" w:hint="eastAsia"/>
                <w:sz w:val="15"/>
              </w:rPr>
              <w:t>女性</w:t>
            </w:r>
          </w:p>
        </w:tc>
        <w:tc>
          <w:tcPr>
            <w:tcW w:w="1830" w:type="dxa"/>
            <w:tcBorders>
              <w:top w:val="single" w:sz="4" w:space="0" w:color="auto"/>
              <w:bottom w:val="single" w:sz="12" w:space="0" w:color="auto"/>
            </w:tcBorders>
            <w:shd w:val="clear" w:color="auto" w:fill="auto"/>
            <w:vAlign w:val="bottom"/>
          </w:tcPr>
          <w:p w:rsidR="004821CF" w:rsidRPr="00A94226" w:rsidRDefault="004821CF" w:rsidP="004741DA">
            <w:pPr>
              <w:pStyle w:val="SingleTxt"/>
              <w:tabs>
                <w:tab w:val="clear" w:pos="1264"/>
                <w:tab w:val="clear" w:pos="5574"/>
              </w:tabs>
              <w:suppressAutoHyphens/>
              <w:spacing w:before="60" w:after="60" w:line="200" w:lineRule="exact"/>
              <w:ind w:left="0" w:right="57"/>
              <w:jc w:val="right"/>
              <w:rPr>
                <w:rFonts w:ascii="KaiTi_GB2312" w:eastAsia="KaiTi_GB2312"/>
                <w:sz w:val="15"/>
              </w:rPr>
            </w:pPr>
            <w:r w:rsidRPr="00A94226">
              <w:rPr>
                <w:rFonts w:ascii="KaiTi_GB2312" w:eastAsia="KaiTi_GB2312" w:hint="eastAsia"/>
                <w:sz w:val="15"/>
              </w:rPr>
              <w:t>共计</w:t>
            </w:r>
          </w:p>
        </w:tc>
      </w:tr>
      <w:tr w:rsidR="004821CF" w:rsidRPr="00A94226" w:rsidTr="004741DA">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p>
        </w:tc>
        <w:tc>
          <w:tcPr>
            <w:tcW w:w="1830" w:type="dxa"/>
            <w:tcBorders>
              <w:top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2001</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23</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14</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37</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2002</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40</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14</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54</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2003</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30</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35</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65</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2004</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37</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27</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64</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2005</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36</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31</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67</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2006</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25</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21</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46</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2007</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31</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22</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53</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2008</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39</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22</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61</w:t>
            </w:r>
          </w:p>
        </w:tc>
      </w:tr>
      <w:tr w:rsidR="004821CF" w:rsidRPr="00A94226" w:rsidTr="004741DA">
        <w:tblPrEx>
          <w:tblCellMar>
            <w:top w:w="0" w:type="dxa"/>
            <w:bottom w:w="0" w:type="dxa"/>
          </w:tblCellMar>
        </w:tblPrEx>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2009</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44</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30</w:t>
            </w:r>
          </w:p>
        </w:tc>
        <w:tc>
          <w:tcPr>
            <w:tcW w:w="1830" w:type="dxa"/>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74</w:t>
            </w:r>
          </w:p>
        </w:tc>
      </w:tr>
      <w:tr w:rsidR="004821CF" w:rsidRPr="00A94226" w:rsidTr="004741DA">
        <w:tblPrEx>
          <w:tblCellMar>
            <w:top w:w="0" w:type="dxa"/>
            <w:bottom w:w="0" w:type="dxa"/>
          </w:tblCellMar>
        </w:tblPrEx>
        <w:tc>
          <w:tcPr>
            <w:tcW w:w="1830" w:type="dxa"/>
            <w:tcBorders>
              <w:bottom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rPr>
                <w:sz w:val="17"/>
              </w:rPr>
            </w:pPr>
            <w:r w:rsidRPr="00A94226">
              <w:rPr>
                <w:sz w:val="17"/>
              </w:rPr>
              <w:t>2010</w:t>
            </w:r>
          </w:p>
        </w:tc>
        <w:tc>
          <w:tcPr>
            <w:tcW w:w="1830" w:type="dxa"/>
            <w:tcBorders>
              <w:bottom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38</w:t>
            </w:r>
          </w:p>
        </w:tc>
        <w:tc>
          <w:tcPr>
            <w:tcW w:w="1830" w:type="dxa"/>
            <w:tcBorders>
              <w:bottom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27</w:t>
            </w:r>
          </w:p>
        </w:tc>
        <w:tc>
          <w:tcPr>
            <w:tcW w:w="1830" w:type="dxa"/>
            <w:tcBorders>
              <w:bottom w:val="single" w:sz="12" w:space="0" w:color="auto"/>
            </w:tcBorders>
            <w:shd w:val="clear" w:color="auto" w:fill="auto"/>
            <w:vAlign w:val="bottom"/>
          </w:tcPr>
          <w:p w:rsidR="004821CF" w:rsidRPr="00A94226" w:rsidRDefault="004821CF" w:rsidP="004741DA">
            <w:pPr>
              <w:tabs>
                <w:tab w:val="left" w:pos="334"/>
                <w:tab w:val="left" w:pos="669"/>
                <w:tab w:val="left" w:pos="1003"/>
                <w:tab w:val="left" w:pos="1338"/>
              </w:tabs>
              <w:suppressAutoHyphens/>
              <w:spacing w:after="60" w:line="280" w:lineRule="exact"/>
              <w:ind w:right="57"/>
              <w:jc w:val="right"/>
              <w:rPr>
                <w:sz w:val="17"/>
              </w:rPr>
            </w:pPr>
            <w:r w:rsidRPr="00A94226">
              <w:rPr>
                <w:sz w:val="17"/>
              </w:rPr>
              <w:t>65</w:t>
            </w:r>
          </w:p>
        </w:tc>
      </w:tr>
    </w:tbl>
    <w:p w:rsidR="004821CF" w:rsidRPr="002A76B9" w:rsidRDefault="004821CF" w:rsidP="004741DA">
      <w:pPr>
        <w:pStyle w:val="FootnoteText"/>
        <w:tabs>
          <w:tab w:val="right" w:pos="1476"/>
          <w:tab w:val="left" w:pos="1548"/>
          <w:tab w:val="right" w:pos="1836"/>
          <w:tab w:val="left" w:pos="1908"/>
        </w:tabs>
        <w:spacing w:after="0" w:line="120" w:lineRule="exact"/>
        <w:ind w:left="1259" w:right="1264" w:firstLine="0"/>
        <w:rPr>
          <w:rFonts w:hint="eastAsia"/>
          <w:noProof w:val="0"/>
          <w:sz w:val="10"/>
        </w:rPr>
      </w:pPr>
    </w:p>
    <w:p w:rsidR="004821CF" w:rsidRDefault="004821CF" w:rsidP="004741DA">
      <w:pPr>
        <w:pStyle w:val="FootnoteText"/>
        <w:tabs>
          <w:tab w:val="clear" w:pos="418"/>
          <w:tab w:val="right" w:pos="1476"/>
          <w:tab w:val="left" w:pos="1548"/>
          <w:tab w:val="right" w:pos="1836"/>
          <w:tab w:val="left" w:pos="1908"/>
        </w:tabs>
        <w:ind w:left="1548" w:right="1267" w:hanging="288"/>
        <w:rPr>
          <w:rFonts w:hint="eastAsia"/>
        </w:rPr>
      </w:pPr>
      <w:r>
        <w:rPr>
          <w:rFonts w:ascii="Times New Roman" w:eastAsia="KaiTi_GB2312"/>
        </w:rPr>
        <w:tab/>
      </w:r>
      <w:r w:rsidRPr="002A76B9">
        <w:rPr>
          <w:rFonts w:ascii="KaiTi_GB2312" w:eastAsia="KaiTi_GB2312" w:hint="eastAsia"/>
        </w:rPr>
        <w:t>资料来源</w:t>
      </w:r>
      <w:r w:rsidRPr="002A76B9">
        <w:rPr>
          <w:rFonts w:hint="eastAsia"/>
        </w:rPr>
        <w:t>：2010年佛得角卫生部统计报告</w:t>
      </w:r>
      <w:r>
        <w:rPr>
          <w:rFonts w:hint="eastAsia"/>
        </w:rPr>
        <w:t>。</w:t>
      </w:r>
    </w:p>
    <w:p w:rsidR="004821CF" w:rsidRPr="00E722B2" w:rsidRDefault="004821CF" w:rsidP="004741DA">
      <w:pPr>
        <w:pStyle w:val="FootnoteText"/>
        <w:tabs>
          <w:tab w:val="clear" w:pos="418"/>
          <w:tab w:val="right" w:pos="1476"/>
          <w:tab w:val="left" w:pos="1548"/>
          <w:tab w:val="right" w:pos="1836"/>
          <w:tab w:val="left" w:pos="1908"/>
        </w:tabs>
        <w:ind w:left="1548" w:right="1267" w:hanging="288"/>
        <w:rPr>
          <w:sz w:val="20"/>
          <w:szCs w:val="17"/>
        </w:rPr>
      </w:pPr>
      <w:r>
        <w:rPr>
          <w:rFonts w:hint="eastAsia"/>
          <w:sz w:val="20"/>
          <w:szCs w:val="17"/>
        </w:rPr>
        <w:pict>
          <v:line id="_x0000_s1028" style="position:absolute;left:0;text-align:left;z-index:3;mso-position-horizontal:center" from="0,30pt" to="1in,30pt" strokeweight=".25pt"/>
        </w:pict>
      </w:r>
    </w:p>
    <w:p w:rsidR="004821CF" w:rsidRPr="008236B7" w:rsidRDefault="004821CF" w:rsidP="004741DA">
      <w:pPr>
        <w:pStyle w:val="SingleTxt"/>
      </w:pPr>
    </w:p>
    <w:p w:rsidR="00EA31C3" w:rsidRPr="004821CF" w:rsidRDefault="00EA31C3" w:rsidP="00601991">
      <w:pPr>
        <w:pStyle w:val="SingleTxt"/>
      </w:pPr>
    </w:p>
    <w:sectPr w:rsidR="00EA31C3" w:rsidRPr="004821CF" w:rsidSect="0060199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2-22T12:20:00Z" w:initials="Start">
    <w:p w:rsidR="004A3BD1" w:rsidRDefault="004A3BD1">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NO&gt;&gt;N1321326C&lt;&lt;ODS JOB NO&gt;&gt;</w:t>
      </w:r>
    </w:p>
    <w:p w:rsidR="004A3BD1" w:rsidRDefault="004A3BD1">
      <w:pPr>
        <w:pStyle w:val="CommentText"/>
      </w:pPr>
      <w:r>
        <w:t>&lt;&lt;ODS DOC SYMBOL1&gt;&gt;CEDAW/C/CPV/Q/7-8/Add.1&lt;&lt;ODS DOC SYMBOL1&gt;&gt;</w:t>
      </w:r>
    </w:p>
    <w:p w:rsidR="004A3BD1" w:rsidRDefault="004A3BD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13" w:rsidRDefault="000B7013">
      <w:r>
        <w:separator/>
      </w:r>
    </w:p>
  </w:endnote>
  <w:endnote w:type="continuationSeparator" w:id="0">
    <w:p w:rsidR="000B7013" w:rsidRDefault="000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A3BD1" w:rsidTr="00601991">
      <w:tblPrEx>
        <w:tblCellMar>
          <w:top w:w="0" w:type="dxa"/>
          <w:bottom w:w="0" w:type="dxa"/>
        </w:tblCellMar>
      </w:tblPrEx>
      <w:tc>
        <w:tcPr>
          <w:tcW w:w="5033" w:type="dxa"/>
          <w:shd w:val="clear" w:color="auto" w:fill="auto"/>
        </w:tcPr>
        <w:p w:rsidR="004A3BD1" w:rsidRPr="00601991" w:rsidRDefault="004A3BD1" w:rsidP="006019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13-21326 (C)</w:t>
          </w:r>
          <w:r>
            <w:rPr>
              <w:b w:val="0"/>
              <w:w w:val="103"/>
              <w:sz w:val="14"/>
            </w:rPr>
            <w:fldChar w:fldCharType="end"/>
          </w:r>
        </w:p>
      </w:tc>
      <w:tc>
        <w:tcPr>
          <w:tcW w:w="5033" w:type="dxa"/>
          <w:shd w:val="clear" w:color="auto" w:fill="auto"/>
        </w:tcPr>
        <w:p w:rsidR="004A3BD1" w:rsidRPr="00601991" w:rsidRDefault="004A3BD1" w:rsidP="00601991">
          <w:pPr>
            <w:pStyle w:val="Footer"/>
            <w:jc w:val="left"/>
            <w:rPr>
              <w:w w:val="103"/>
            </w:rPr>
          </w:pPr>
          <w:r>
            <w:rPr>
              <w:w w:val="103"/>
            </w:rPr>
            <w:fldChar w:fldCharType="begin"/>
          </w:r>
          <w:r>
            <w:rPr>
              <w:w w:val="103"/>
            </w:rPr>
            <w:instrText xml:space="preserve"> PAGE  \* MERGEFORMAT </w:instrText>
          </w:r>
          <w:r>
            <w:rPr>
              <w:w w:val="103"/>
            </w:rPr>
            <w:fldChar w:fldCharType="separate"/>
          </w:r>
          <w:r w:rsidR="00E06155">
            <w:rPr>
              <w:w w:val="103"/>
            </w:rPr>
            <w:t>2</w:t>
          </w:r>
          <w:r>
            <w:rPr>
              <w:w w:val="103"/>
            </w:rPr>
            <w:fldChar w:fldCharType="end"/>
          </w:r>
        </w:p>
      </w:tc>
    </w:tr>
  </w:tbl>
  <w:p w:rsidR="004A3BD1" w:rsidRPr="00601991" w:rsidRDefault="004A3BD1" w:rsidP="0060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A3BD1" w:rsidTr="00601991">
      <w:tblPrEx>
        <w:tblCellMar>
          <w:top w:w="0" w:type="dxa"/>
          <w:bottom w:w="0" w:type="dxa"/>
        </w:tblCellMar>
      </w:tblPrEx>
      <w:tc>
        <w:tcPr>
          <w:tcW w:w="5033" w:type="dxa"/>
          <w:shd w:val="clear" w:color="auto" w:fill="auto"/>
        </w:tcPr>
        <w:p w:rsidR="004A3BD1" w:rsidRPr="00601991" w:rsidRDefault="004A3BD1" w:rsidP="00601991">
          <w:pPr>
            <w:pStyle w:val="Footer"/>
            <w:jc w:val="right"/>
          </w:pPr>
          <w:r>
            <w:fldChar w:fldCharType="begin"/>
          </w:r>
          <w:r>
            <w:instrText xml:space="preserve"> PAGE  \* MERGEFORMAT </w:instrText>
          </w:r>
          <w:r>
            <w:fldChar w:fldCharType="separate"/>
          </w:r>
          <w:r>
            <w:t>19</w:t>
          </w:r>
          <w:r>
            <w:fldChar w:fldCharType="end"/>
          </w:r>
        </w:p>
      </w:tc>
      <w:tc>
        <w:tcPr>
          <w:tcW w:w="5033" w:type="dxa"/>
          <w:shd w:val="clear" w:color="auto" w:fill="auto"/>
        </w:tcPr>
        <w:p w:rsidR="004A3BD1" w:rsidRPr="00601991" w:rsidRDefault="004A3BD1" w:rsidP="0060199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13-21326 (C)</w:t>
          </w:r>
          <w:r>
            <w:rPr>
              <w:b w:val="0"/>
              <w:w w:val="103"/>
              <w:sz w:val="14"/>
            </w:rPr>
            <w:fldChar w:fldCharType="end"/>
          </w:r>
        </w:p>
      </w:tc>
    </w:tr>
  </w:tbl>
  <w:p w:rsidR="004A3BD1" w:rsidRPr="00601991" w:rsidRDefault="004A3BD1" w:rsidP="0060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4A3BD1" w:rsidTr="00601991">
      <w:tblPrEx>
        <w:tblCellMar>
          <w:top w:w="0" w:type="dxa"/>
          <w:bottom w:w="0" w:type="dxa"/>
        </w:tblCellMar>
      </w:tblPrEx>
      <w:tc>
        <w:tcPr>
          <w:tcW w:w="5033" w:type="dxa"/>
        </w:tcPr>
        <w:p w:rsidR="004A3BD1" w:rsidRDefault="004A3BD1" w:rsidP="00601991">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13-21326 (C)</w:t>
          </w:r>
          <w:r>
            <w:rPr>
              <w:b w:val="0"/>
              <w:sz w:val="21"/>
            </w:rPr>
            <w:fldChar w:fldCharType="end"/>
          </w:r>
          <w:r>
            <w:rPr>
              <w:b w:val="0"/>
              <w:sz w:val="21"/>
            </w:rPr>
            <w:t xml:space="preserve">    2</w:t>
          </w:r>
          <w:r>
            <w:rPr>
              <w:rFonts w:hint="eastAsia"/>
              <w:b w:val="0"/>
              <w:sz w:val="21"/>
            </w:rPr>
            <w:t>0</w:t>
          </w:r>
          <w:r>
            <w:rPr>
              <w:b w:val="0"/>
              <w:sz w:val="21"/>
            </w:rPr>
            <w:t>0213    270213</w:t>
          </w:r>
        </w:p>
        <w:p w:rsidR="004A3BD1" w:rsidRPr="00601991" w:rsidRDefault="004A3BD1" w:rsidP="00601991">
          <w:pPr>
            <w:spacing w:before="80" w:line="210" w:lineRule="exact"/>
            <w:rPr>
              <w:rFonts w:ascii="Barcode 3 of 9 by request" w:hAnsi="Barcode 3 of 9 by request"/>
              <w:sz w:val="24"/>
            </w:rPr>
          </w:pPr>
          <w:r>
            <w:rPr>
              <w:rFonts w:ascii="Barcode 3 of 9 by request" w:hAnsi="Barcode 3 of 9 by request" w:hint="eastAsia"/>
              <w:sz w:val="24"/>
            </w:rPr>
            <w:t>*1321326C*</w:t>
          </w:r>
        </w:p>
      </w:tc>
      <w:tc>
        <w:tcPr>
          <w:tcW w:w="3686" w:type="dxa"/>
        </w:tcPr>
        <w:p w:rsidR="004A3BD1" w:rsidRDefault="004A3BD1" w:rsidP="00601991">
          <w:pPr>
            <w:pStyle w:val="Footer"/>
            <w:jc w:val="right"/>
            <w:rPr>
              <w:b w:val="0"/>
              <w:sz w:val="21"/>
            </w:rPr>
          </w:pPr>
          <w:r w:rsidRPr="00601991">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4A3BD1" w:rsidRPr="00601991" w:rsidRDefault="004A3BD1" w:rsidP="00601991">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13" w:rsidRDefault="000B7013">
      <w:r>
        <w:separator/>
      </w:r>
    </w:p>
  </w:footnote>
  <w:footnote w:type="continuationSeparator" w:id="0">
    <w:p w:rsidR="000B7013" w:rsidRDefault="000B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A3BD1" w:rsidTr="00601991">
      <w:tblPrEx>
        <w:tblCellMar>
          <w:top w:w="0" w:type="dxa"/>
          <w:bottom w:w="0" w:type="dxa"/>
        </w:tblCellMar>
      </w:tblPrEx>
      <w:trPr>
        <w:trHeight w:hRule="exact" w:val="864"/>
      </w:trPr>
      <w:tc>
        <w:tcPr>
          <w:tcW w:w="4838" w:type="dxa"/>
          <w:shd w:val="clear" w:color="auto" w:fill="auto"/>
          <w:vAlign w:val="bottom"/>
        </w:tcPr>
        <w:p w:rsidR="004A3BD1" w:rsidRPr="00601991" w:rsidRDefault="004A3BD1" w:rsidP="0060199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CEDAW/C/CPV/Q/7-8/Add.1</w:t>
          </w:r>
          <w:r>
            <w:rPr>
              <w:b/>
              <w:sz w:val="17"/>
            </w:rPr>
            <w:fldChar w:fldCharType="end"/>
          </w:r>
        </w:p>
      </w:tc>
      <w:tc>
        <w:tcPr>
          <w:tcW w:w="5033" w:type="dxa"/>
          <w:shd w:val="clear" w:color="auto" w:fill="auto"/>
          <w:vAlign w:val="bottom"/>
        </w:tcPr>
        <w:p w:rsidR="004A3BD1" w:rsidRDefault="004A3BD1" w:rsidP="00601991">
          <w:pPr>
            <w:pStyle w:val="Header"/>
          </w:pPr>
        </w:p>
      </w:tc>
    </w:tr>
  </w:tbl>
  <w:p w:rsidR="004A3BD1" w:rsidRPr="00601991" w:rsidRDefault="004A3BD1" w:rsidP="0060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A3BD1" w:rsidTr="00601991">
      <w:tblPrEx>
        <w:tblCellMar>
          <w:top w:w="0" w:type="dxa"/>
          <w:bottom w:w="0" w:type="dxa"/>
        </w:tblCellMar>
      </w:tblPrEx>
      <w:trPr>
        <w:trHeight w:hRule="exact" w:val="864"/>
      </w:trPr>
      <w:tc>
        <w:tcPr>
          <w:tcW w:w="4838" w:type="dxa"/>
          <w:shd w:val="clear" w:color="auto" w:fill="auto"/>
          <w:vAlign w:val="bottom"/>
        </w:tcPr>
        <w:p w:rsidR="004A3BD1" w:rsidRDefault="004A3BD1" w:rsidP="00601991">
          <w:pPr>
            <w:pStyle w:val="Header"/>
          </w:pPr>
        </w:p>
      </w:tc>
      <w:tc>
        <w:tcPr>
          <w:tcW w:w="5033" w:type="dxa"/>
          <w:shd w:val="clear" w:color="auto" w:fill="auto"/>
          <w:vAlign w:val="bottom"/>
        </w:tcPr>
        <w:p w:rsidR="004A3BD1" w:rsidRPr="00601991" w:rsidRDefault="004A3BD1" w:rsidP="0060199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CEDAW/C/CPV/Q/7-8/Add.1</w:t>
          </w:r>
          <w:r>
            <w:rPr>
              <w:b/>
              <w:sz w:val="17"/>
            </w:rPr>
            <w:fldChar w:fldCharType="end"/>
          </w:r>
        </w:p>
      </w:tc>
    </w:tr>
  </w:tbl>
  <w:p w:rsidR="004A3BD1" w:rsidRPr="00601991" w:rsidRDefault="004A3BD1" w:rsidP="00601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A3BD1" w:rsidTr="0060199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A3BD1" w:rsidRDefault="004A3BD1" w:rsidP="00601991">
          <w:pPr>
            <w:pStyle w:val="Header"/>
            <w:spacing w:after="120"/>
          </w:pPr>
        </w:p>
      </w:tc>
      <w:tc>
        <w:tcPr>
          <w:tcW w:w="1872" w:type="dxa"/>
          <w:tcBorders>
            <w:bottom w:val="single" w:sz="4" w:space="0" w:color="auto"/>
          </w:tcBorders>
          <w:shd w:val="clear" w:color="auto" w:fill="auto"/>
          <w:vAlign w:val="bottom"/>
        </w:tcPr>
        <w:p w:rsidR="004A3BD1" w:rsidRPr="00601991" w:rsidRDefault="004A3BD1" w:rsidP="0060199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A3BD1" w:rsidRDefault="004A3BD1" w:rsidP="00601991">
          <w:pPr>
            <w:pStyle w:val="Header"/>
            <w:spacing w:after="120"/>
          </w:pPr>
        </w:p>
      </w:tc>
      <w:tc>
        <w:tcPr>
          <w:tcW w:w="6523" w:type="dxa"/>
          <w:gridSpan w:val="3"/>
          <w:tcBorders>
            <w:bottom w:val="single" w:sz="4" w:space="0" w:color="auto"/>
          </w:tcBorders>
          <w:shd w:val="clear" w:color="auto" w:fill="auto"/>
          <w:vAlign w:val="bottom"/>
        </w:tcPr>
        <w:p w:rsidR="004A3BD1" w:rsidRPr="00601991" w:rsidRDefault="004A3BD1" w:rsidP="00601991">
          <w:pPr>
            <w:spacing w:after="80" w:line="240" w:lineRule="auto"/>
            <w:jc w:val="right"/>
            <w:rPr>
              <w:rFonts w:ascii="Times New Roman"/>
              <w:position w:val="-4"/>
            </w:rPr>
          </w:pPr>
          <w:r>
            <w:rPr>
              <w:rFonts w:ascii="Times New Roman"/>
              <w:position w:val="-4"/>
              <w:sz w:val="40"/>
            </w:rPr>
            <w:t>CEDAW</w:t>
          </w:r>
          <w:r>
            <w:rPr>
              <w:rFonts w:ascii="Times New Roman"/>
              <w:position w:val="-4"/>
            </w:rPr>
            <w:t>/C/CPV/Q/7-8/Add.1</w:t>
          </w:r>
        </w:p>
      </w:tc>
    </w:tr>
    <w:tr w:rsidR="004A3BD1" w:rsidRPr="00601991" w:rsidTr="0060199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A3BD1" w:rsidRDefault="004A3BD1" w:rsidP="0060199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4A3BD1" w:rsidRPr="00601991" w:rsidRDefault="004A3BD1" w:rsidP="00601991">
          <w:pPr>
            <w:pStyle w:val="Header"/>
            <w:spacing w:before="109"/>
            <w:ind w:left="-72"/>
          </w:pPr>
        </w:p>
      </w:tc>
      <w:tc>
        <w:tcPr>
          <w:tcW w:w="5227" w:type="dxa"/>
          <w:gridSpan w:val="3"/>
          <w:tcBorders>
            <w:top w:val="single" w:sz="4" w:space="0" w:color="auto"/>
            <w:bottom w:val="single" w:sz="12" w:space="0" w:color="auto"/>
          </w:tcBorders>
          <w:shd w:val="clear" w:color="auto" w:fill="auto"/>
        </w:tcPr>
        <w:p w:rsidR="004A3BD1" w:rsidRPr="00601991" w:rsidRDefault="004A3BD1" w:rsidP="0060199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A3BD1" w:rsidRPr="00601991" w:rsidRDefault="004A3BD1" w:rsidP="00601991">
          <w:pPr>
            <w:pStyle w:val="Header"/>
            <w:spacing w:before="109"/>
          </w:pPr>
        </w:p>
      </w:tc>
      <w:tc>
        <w:tcPr>
          <w:tcW w:w="3180" w:type="dxa"/>
          <w:gridSpan w:val="2"/>
          <w:tcBorders>
            <w:top w:val="single" w:sz="4" w:space="0" w:color="auto"/>
            <w:bottom w:val="single" w:sz="12" w:space="0" w:color="auto"/>
          </w:tcBorders>
          <w:shd w:val="clear" w:color="auto" w:fill="auto"/>
        </w:tcPr>
        <w:p w:rsidR="004A3BD1" w:rsidRDefault="004A3BD1" w:rsidP="00601991">
          <w:pPr>
            <w:spacing w:before="240" w:line="240" w:lineRule="exact"/>
            <w:rPr>
              <w:rFonts w:ascii="Times New Roman"/>
            </w:rPr>
          </w:pPr>
          <w:r>
            <w:rPr>
              <w:rFonts w:ascii="Times New Roman"/>
            </w:rPr>
            <w:t>Distr.: General</w:t>
          </w:r>
        </w:p>
        <w:p w:rsidR="004A3BD1" w:rsidRDefault="004A3BD1" w:rsidP="00601991">
          <w:pPr>
            <w:spacing w:line="240" w:lineRule="exact"/>
            <w:rPr>
              <w:rFonts w:ascii="Times New Roman"/>
            </w:rPr>
          </w:pPr>
          <w:r>
            <w:rPr>
              <w:rFonts w:ascii="Times New Roman"/>
            </w:rPr>
            <w:t>22 January 2013</w:t>
          </w:r>
        </w:p>
        <w:p w:rsidR="004A3BD1" w:rsidRDefault="004A3BD1" w:rsidP="00601991">
          <w:pPr>
            <w:spacing w:line="240" w:lineRule="exact"/>
            <w:rPr>
              <w:rFonts w:ascii="Times New Roman"/>
            </w:rPr>
          </w:pPr>
          <w:r>
            <w:rPr>
              <w:rFonts w:ascii="Times New Roman"/>
            </w:rPr>
            <w:t>Chinese</w:t>
          </w:r>
        </w:p>
        <w:p w:rsidR="004A3BD1" w:rsidRPr="00601991" w:rsidRDefault="004A3BD1" w:rsidP="00601991">
          <w:pPr>
            <w:spacing w:line="240" w:lineRule="exact"/>
            <w:rPr>
              <w:rFonts w:ascii="Times New Roman"/>
            </w:rPr>
          </w:pPr>
          <w:r>
            <w:rPr>
              <w:rFonts w:ascii="Times New Roman"/>
            </w:rPr>
            <w:t>Original: English</w:t>
          </w:r>
        </w:p>
      </w:tc>
    </w:tr>
  </w:tbl>
  <w:p w:rsidR="004A3BD1" w:rsidRPr="00601991" w:rsidRDefault="004A3BD1" w:rsidP="0060199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21326*"/>
    <w:docVar w:name="CreationDt" w:val="22/02/2013 12:07:26"/>
    <w:docVar w:name="DocCategory" w:val="Doc"/>
    <w:docVar w:name="DocType" w:val="Final"/>
    <w:docVar w:name="FooterJN" w:val="13-21326 (C)"/>
    <w:docVar w:name="jobn" w:val="13-21326 (C)"/>
    <w:docVar w:name="jobnDT" w:val="13-21326 (C)   220213"/>
    <w:docVar w:name="jobnDTDT" w:val="13-21326 (C)   220213   220213"/>
    <w:docVar w:name="JobNo" w:val="1321326C"/>
    <w:docVar w:name="OandT" w:val="liu"/>
    <w:docVar w:name="sss1" w:val="CEDAW/C/CPV/Q/7-8/Add.1"/>
    <w:docVar w:name="sss2" w:val="-"/>
    <w:docVar w:name="Symbol1" w:val="CEDAW/C/CPV/Q/7-8/Add.1"/>
    <w:docVar w:name="Symbol2" w:val="-"/>
  </w:docVars>
  <w:rsids>
    <w:rsidRoot w:val="00FF5A5D"/>
    <w:rsid w:val="0000347C"/>
    <w:rsid w:val="000073A2"/>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B7013"/>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B7DB4"/>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2F47D8"/>
    <w:rsid w:val="00320C99"/>
    <w:rsid w:val="003274A9"/>
    <w:rsid w:val="00331221"/>
    <w:rsid w:val="00346223"/>
    <w:rsid w:val="00363610"/>
    <w:rsid w:val="003649EE"/>
    <w:rsid w:val="00371BC6"/>
    <w:rsid w:val="00373A15"/>
    <w:rsid w:val="00383ACA"/>
    <w:rsid w:val="00384CB1"/>
    <w:rsid w:val="00394A02"/>
    <w:rsid w:val="003966E8"/>
    <w:rsid w:val="003C7B20"/>
    <w:rsid w:val="003D075F"/>
    <w:rsid w:val="003E4565"/>
    <w:rsid w:val="003E748F"/>
    <w:rsid w:val="003E7612"/>
    <w:rsid w:val="00414423"/>
    <w:rsid w:val="00433853"/>
    <w:rsid w:val="004411AD"/>
    <w:rsid w:val="004424EF"/>
    <w:rsid w:val="00453BB0"/>
    <w:rsid w:val="00454B71"/>
    <w:rsid w:val="00460162"/>
    <w:rsid w:val="004620A8"/>
    <w:rsid w:val="00466BB5"/>
    <w:rsid w:val="004700CF"/>
    <w:rsid w:val="004741DA"/>
    <w:rsid w:val="004821CF"/>
    <w:rsid w:val="00487444"/>
    <w:rsid w:val="00493C9C"/>
    <w:rsid w:val="004A06D1"/>
    <w:rsid w:val="004A11FC"/>
    <w:rsid w:val="004A3BD1"/>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35B9"/>
    <w:rsid w:val="00536CCE"/>
    <w:rsid w:val="00552CE5"/>
    <w:rsid w:val="005541E4"/>
    <w:rsid w:val="00562FE7"/>
    <w:rsid w:val="0057094A"/>
    <w:rsid w:val="00570BD4"/>
    <w:rsid w:val="0057450D"/>
    <w:rsid w:val="0058302A"/>
    <w:rsid w:val="005A175A"/>
    <w:rsid w:val="005B7338"/>
    <w:rsid w:val="005B74C7"/>
    <w:rsid w:val="005C02AB"/>
    <w:rsid w:val="005C5FC3"/>
    <w:rsid w:val="005D0F04"/>
    <w:rsid w:val="005F12F0"/>
    <w:rsid w:val="005F1AAD"/>
    <w:rsid w:val="005F3273"/>
    <w:rsid w:val="005F34A3"/>
    <w:rsid w:val="00601991"/>
    <w:rsid w:val="00610CF2"/>
    <w:rsid w:val="006328DE"/>
    <w:rsid w:val="006353DE"/>
    <w:rsid w:val="006479F1"/>
    <w:rsid w:val="00650BEE"/>
    <w:rsid w:val="006520FA"/>
    <w:rsid w:val="0065377D"/>
    <w:rsid w:val="00666050"/>
    <w:rsid w:val="00666F57"/>
    <w:rsid w:val="006740A7"/>
    <w:rsid w:val="006767D5"/>
    <w:rsid w:val="00691524"/>
    <w:rsid w:val="006926DF"/>
    <w:rsid w:val="006A654B"/>
    <w:rsid w:val="006C4BB3"/>
    <w:rsid w:val="006E2924"/>
    <w:rsid w:val="006E7A26"/>
    <w:rsid w:val="006F04EF"/>
    <w:rsid w:val="006F2B3D"/>
    <w:rsid w:val="007052CC"/>
    <w:rsid w:val="0073056F"/>
    <w:rsid w:val="007319E0"/>
    <w:rsid w:val="007345AA"/>
    <w:rsid w:val="00737B00"/>
    <w:rsid w:val="0075155C"/>
    <w:rsid w:val="00753A05"/>
    <w:rsid w:val="00757193"/>
    <w:rsid w:val="00761190"/>
    <w:rsid w:val="00776537"/>
    <w:rsid w:val="00783A25"/>
    <w:rsid w:val="007877F4"/>
    <w:rsid w:val="00793370"/>
    <w:rsid w:val="007C74B9"/>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83DB0"/>
    <w:rsid w:val="00884C8F"/>
    <w:rsid w:val="00896D38"/>
    <w:rsid w:val="008A0216"/>
    <w:rsid w:val="008C3296"/>
    <w:rsid w:val="008C3413"/>
    <w:rsid w:val="008E2D03"/>
    <w:rsid w:val="008E7BDF"/>
    <w:rsid w:val="008F2BB5"/>
    <w:rsid w:val="008F425D"/>
    <w:rsid w:val="008F5472"/>
    <w:rsid w:val="008F5D0F"/>
    <w:rsid w:val="009122E0"/>
    <w:rsid w:val="00913351"/>
    <w:rsid w:val="0096193C"/>
    <w:rsid w:val="0096608B"/>
    <w:rsid w:val="009769E1"/>
    <w:rsid w:val="00977E0D"/>
    <w:rsid w:val="00982D5C"/>
    <w:rsid w:val="00986132"/>
    <w:rsid w:val="00986C04"/>
    <w:rsid w:val="009A11E3"/>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AAE"/>
    <w:rsid w:val="00A40EA9"/>
    <w:rsid w:val="00A4532A"/>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55E1D"/>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22BB2"/>
    <w:rsid w:val="00C2725D"/>
    <w:rsid w:val="00C31E79"/>
    <w:rsid w:val="00C403C9"/>
    <w:rsid w:val="00C42033"/>
    <w:rsid w:val="00C42BD8"/>
    <w:rsid w:val="00C464DD"/>
    <w:rsid w:val="00C52423"/>
    <w:rsid w:val="00C60D8E"/>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06155"/>
    <w:rsid w:val="00E25442"/>
    <w:rsid w:val="00E25A1F"/>
    <w:rsid w:val="00E35B72"/>
    <w:rsid w:val="00E37EEB"/>
    <w:rsid w:val="00E710FB"/>
    <w:rsid w:val="00E806D9"/>
    <w:rsid w:val="00E82CA2"/>
    <w:rsid w:val="00E94E5A"/>
    <w:rsid w:val="00E950DB"/>
    <w:rsid w:val="00E95594"/>
    <w:rsid w:val="00EA31C3"/>
    <w:rsid w:val="00EB33AC"/>
    <w:rsid w:val="00EC669D"/>
    <w:rsid w:val="00EC6F21"/>
    <w:rsid w:val="00EE0913"/>
    <w:rsid w:val="00F01440"/>
    <w:rsid w:val="00F020E7"/>
    <w:rsid w:val="00F03676"/>
    <w:rsid w:val="00F04C64"/>
    <w:rsid w:val="00F13305"/>
    <w:rsid w:val="00F40463"/>
    <w:rsid w:val="00F50336"/>
    <w:rsid w:val="00F55E5B"/>
    <w:rsid w:val="00F569BC"/>
    <w:rsid w:val="00F62E3F"/>
    <w:rsid w:val="00F67F90"/>
    <w:rsid w:val="00F77B3E"/>
    <w:rsid w:val="00F82033"/>
    <w:rsid w:val="00F833CB"/>
    <w:rsid w:val="00F87754"/>
    <w:rsid w:val="00F90A4B"/>
    <w:rsid w:val="00F90C56"/>
    <w:rsid w:val="00FC1CE4"/>
    <w:rsid w:val="00FD594E"/>
    <w:rsid w:val="00FD75B9"/>
    <w:rsid w:val="00FE5FE8"/>
    <w:rsid w:val="00FF5A5D"/>
    <w:rsid w:val="00FF67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3174</Words>
  <Characters>18098</Characters>
  <Application>Microsoft Office Word</Application>
  <DocSecurity>4</DocSecurity>
  <Lines>150</Lines>
  <Paragraphs>42</Paragraphs>
  <ScaleCrop>false</ScaleCrop>
  <Company>United Nations</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LXD</dc:creator>
  <cp:keywords/>
  <dc:description/>
  <cp:lastModifiedBy>FrontDesk2</cp:lastModifiedBy>
  <cp:revision>16</cp:revision>
  <cp:lastPrinted>2013-02-22T11:37:00Z</cp:lastPrinted>
  <dcterms:created xsi:type="dcterms:W3CDTF">2013-02-22T11:06:00Z</dcterms:created>
  <dcterms:modified xsi:type="dcterms:W3CDTF">2013-02-27T11:38:00Z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1321326</vt:lpwstr>
  </property>
  <property fmtid="{D5CDD505-2E9C-101B-9397-08002B2CF9AE}" pid="3" name="Symbol1">
    <vt:lpwstr>CEDAW/C/CPV/Q/7-8/Add.1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liu</vt:lpwstr>
  </property>
</Properties>
</file>