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rPr>
        <w:t>消除对妇女歧视委员会</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rPr>
        <w:t>第三十六届会议会前工作组</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ascii="SimSun" w:eastAsia="SimSun"/>
          <w:color w:val="auto"/>
          <w:spacing w:val="0"/>
        </w:rPr>
      </w:pPr>
      <w:r>
        <w:rPr>
          <w:rFonts w:ascii="SimSun" w:eastAsia="SimSun" w:hint="eastAsia"/>
          <w:color w:val="auto"/>
          <w:spacing w:val="0"/>
        </w:rPr>
        <w:t>2006年8月7日至25日</w:t>
      </w:r>
    </w:p>
    <w:p w:rsidR="00000000" w:rsidRDefault="00000000"/>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ab/>
      </w:r>
      <w:r>
        <w:rPr>
          <w:rFonts w:hint="eastAsia"/>
        </w:rPr>
        <w:tab/>
        <w:t>答复与审议佛得角初次及第二、第三、第四、第五和第六次综合定期报告有关的议题和问题清单</w:t>
      </w:r>
    </w:p>
    <w:p w:rsidR="00000000" w:rsidRDefault="00000000"/>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第1条和第2条</w:t>
      </w:r>
    </w:p>
    <w:p w:rsidR="00000000" w:rsidRDefault="00000000">
      <w:pPr>
        <w:pStyle w:val="SingleTxt"/>
        <w:rPr>
          <w:rFonts w:hint="eastAsia"/>
        </w:rPr>
      </w:pPr>
      <w:r>
        <w:rPr>
          <w:rFonts w:hint="eastAsia"/>
        </w:rPr>
        <w:t>1.</w:t>
      </w:r>
      <w:r>
        <w:rPr>
          <w:rFonts w:hint="eastAsia"/>
        </w:rPr>
        <w:tab/>
      </w:r>
      <w:r>
        <w:rPr>
          <w:rFonts w:ascii="KaiTi_GB2312" w:eastAsia="KaiTi_GB2312" w:hint="eastAsia"/>
          <w:color w:val="0000FF"/>
        </w:rPr>
        <w:t>请说明编写报告的过程，特别是在编写过程中是否征求了非政府组织的意见，并说明该报告是否曾提交给国民议会</w:t>
      </w:r>
      <w:r>
        <w:rPr>
          <w:rFonts w:hint="eastAsia"/>
        </w:rPr>
        <w:t>。</w:t>
      </w:r>
    </w:p>
    <w:p w:rsidR="00000000" w:rsidRDefault="00000000">
      <w:pPr>
        <w:pStyle w:val="SingleTxt"/>
        <w:rPr>
          <w:rFonts w:hint="eastAsia"/>
        </w:rPr>
      </w:pPr>
      <w:r>
        <w:rPr>
          <w:rFonts w:hint="eastAsia"/>
        </w:rPr>
        <w:tab/>
        <w:t>尽管参加佛得角共和国初次报告编写进程的国家机构自1998年起即致力工作，这份报告于2005年才能提交。</w:t>
      </w:r>
    </w:p>
    <w:p w:rsidR="00000000" w:rsidRDefault="00000000">
      <w:pPr>
        <w:pStyle w:val="SingleTxt"/>
        <w:rPr>
          <w:rFonts w:hint="eastAsia"/>
        </w:rPr>
      </w:pPr>
      <w:r>
        <w:rPr>
          <w:rFonts w:hint="eastAsia"/>
        </w:rPr>
        <w:tab/>
        <w:t>1999年，消除对妇女一切形式歧视公约规定的报告初稿已经完成，但却未能提交。</w:t>
      </w:r>
    </w:p>
    <w:p w:rsidR="00000000" w:rsidRDefault="00000000">
      <w:pPr>
        <w:pStyle w:val="SingleTxt"/>
        <w:rPr>
          <w:rFonts w:hint="eastAsia"/>
        </w:rPr>
      </w:pPr>
      <w:r>
        <w:rPr>
          <w:rFonts w:hint="eastAsia"/>
        </w:rPr>
        <w:tab/>
        <w:t>其后，于2002年进行了两次咨商。2002年底，报告完成，向部长会议提出最后定稿。部长会议在分析之后，要求增加其他资料，使报告完整、详细、忠实反映国内妇女实际情况，然后才提交给消除对妇女歧视委员会。此外还要核对报告是否符合上述委员会所定的指导方针，这些方针载于一份文件，当时编写报告的顾问并不知道。</w:t>
      </w:r>
    </w:p>
    <w:p w:rsidR="00000000" w:rsidRDefault="00000000">
      <w:pPr>
        <w:pStyle w:val="SingleTxt"/>
        <w:rPr>
          <w:rFonts w:hint="eastAsia"/>
        </w:rPr>
      </w:pPr>
      <w:r>
        <w:rPr>
          <w:rFonts w:hint="eastAsia"/>
        </w:rPr>
        <w:tab/>
        <w:t>这里必须着重指出的是，除了部长会议进行的评价之外，这份初次报告也向民间社会征求意见；曾经举行两次评价工作会，提出报告，同政府机构和非政府机构进行对话。参加工作会的政府机构包括卫生、教育、劳工、司法等相关部门。此一行动让民间社会认识这个报告。</w:t>
      </w:r>
    </w:p>
    <w:p w:rsidR="00000000" w:rsidRDefault="00000000">
      <w:pPr>
        <w:pStyle w:val="SingleTxt"/>
        <w:spacing w:after="120" w:line="318" w:lineRule="exact"/>
        <w:rPr>
          <w:rFonts w:hint="eastAsia"/>
        </w:rPr>
      </w:pPr>
      <w:r>
        <w:rPr>
          <w:rFonts w:hint="eastAsia"/>
        </w:rPr>
        <w:tab/>
        <w:t>与此同时，如上文所述，尚须对报告进行若干调整，这项进程一直到2004年才能展开，把佛得角共和国最近提交的报告更新，使符合HRI/GEN/2/</w:t>
      </w:r>
      <w:r>
        <w:t>Rev.1</w:t>
      </w:r>
      <w:r>
        <w:rPr>
          <w:rFonts w:hint="eastAsia"/>
        </w:rPr>
        <w:t>号文件所载的指导方针。这项进程得力于三个机构：司法部、妇女地位研究所和全国保护人权和公民权委员会，后者是2004年设立的，负责协调关于人权的各项报告（第38/2004号法令第6.4条</w:t>
      </w:r>
      <w:r>
        <w:t>b</w:t>
      </w:r>
      <w:r>
        <w:rPr>
          <w:rFonts w:hint="eastAsia"/>
        </w:rPr>
        <w:t>款）。为此目的，聘请了一名顾问，同上述机构一直工作，特别是同妇女地位研究所的技术人员。</w:t>
      </w:r>
    </w:p>
    <w:p w:rsidR="00000000" w:rsidRDefault="00000000">
      <w:pPr>
        <w:pStyle w:val="SingleTxt"/>
        <w:spacing w:after="120" w:line="318" w:lineRule="exact"/>
        <w:rPr>
          <w:rFonts w:hint="eastAsia"/>
        </w:rPr>
      </w:pPr>
      <w:r>
        <w:rPr>
          <w:rFonts w:hint="eastAsia"/>
        </w:rPr>
        <w:tab/>
        <w:t>在更新报告的进程中，除了联系政府各有关部门外，也同所从事活动与佛得角妇女问题有关的主要非政府组织接触，同时参考卫生、小额信贷等领域非政府组织编制的数据和统计。最后定稿的报告完全符合消除对妇女歧视委员会（下称委员会）的指导方针，并即向委员会提交。</w:t>
      </w:r>
    </w:p>
    <w:p w:rsidR="00000000" w:rsidRDefault="00000000">
      <w:pPr>
        <w:pStyle w:val="SingleTxt"/>
        <w:spacing w:after="120" w:line="318" w:lineRule="exact"/>
        <w:rPr>
          <w:rFonts w:hint="eastAsia"/>
        </w:rPr>
      </w:pPr>
      <w:r>
        <w:rPr>
          <w:rFonts w:hint="eastAsia"/>
        </w:rPr>
        <w:tab/>
        <w:t>报告没有向议会提出，因为这非法律规定的必要条件。</w:t>
      </w:r>
    </w:p>
    <w:p w:rsidR="00000000" w:rsidRDefault="00000000">
      <w:pPr>
        <w:pStyle w:val="SingleTxt"/>
        <w:spacing w:after="120" w:line="318" w:lineRule="exact"/>
        <w:rPr>
          <w:rFonts w:hint="eastAsia"/>
        </w:rPr>
      </w:pPr>
      <w:r>
        <w:rPr>
          <w:rFonts w:hint="eastAsia"/>
        </w:rPr>
        <w:t>2.</w:t>
      </w:r>
      <w:r>
        <w:rPr>
          <w:rFonts w:hint="eastAsia"/>
        </w:rPr>
        <w:tab/>
      </w:r>
      <w:r>
        <w:rPr>
          <w:rFonts w:ascii="KaiTi_GB2312" w:eastAsia="KaiTi_GB2312" w:hint="eastAsia"/>
          <w:color w:val="0000FF"/>
        </w:rPr>
        <w:t>报告（第51段）说，根据宪法第25条，“所有公民，不分性别，不分社会、知识或文化等级，不分宗教信仰和哲学信念，在法律面前一律平等，享受同样的权利，履行同样的义务”。请说明在宪法或者国家立法中是否列入了符合公约第1条的关于歧视妇女的定义</w:t>
      </w:r>
      <w:r>
        <w:rPr>
          <w:rFonts w:hint="eastAsia"/>
        </w:rPr>
        <w:t>。</w:t>
      </w:r>
    </w:p>
    <w:p w:rsidR="00000000" w:rsidRDefault="00000000">
      <w:pPr>
        <w:pStyle w:val="SingleTxt"/>
        <w:spacing w:after="120" w:line="318" w:lineRule="exact"/>
        <w:rPr>
          <w:rFonts w:hint="eastAsia"/>
        </w:rPr>
      </w:pPr>
      <w:r>
        <w:rPr>
          <w:rFonts w:hint="eastAsia"/>
        </w:rPr>
        <w:tab/>
        <w:t>应说明的是，依报告第25段所述，1980年宪法（这部宪法在佛得角生效至1992年）在第51条中切实规定平等原则，特别是不分性别的平等。</w:t>
      </w:r>
    </w:p>
    <w:p w:rsidR="00000000" w:rsidRDefault="00000000">
      <w:pPr>
        <w:pStyle w:val="SingleTxt"/>
        <w:spacing w:after="120" w:line="318" w:lineRule="exact"/>
        <w:rPr>
          <w:rFonts w:hint="eastAsia"/>
        </w:rPr>
      </w:pPr>
      <w:r>
        <w:rPr>
          <w:rFonts w:hint="eastAsia"/>
        </w:rPr>
        <w:tab/>
        <w:t>1992年佛得角共和国新宪法第1.2条确认平等原则和不得根据社会出身或经济状况、种族、性别、宗教、政治或思想信仰和社会地位而作歧视的原则。</w:t>
      </w:r>
    </w:p>
    <w:p w:rsidR="00000000" w:rsidRDefault="00000000">
      <w:pPr>
        <w:pStyle w:val="SingleTxt"/>
        <w:spacing w:after="120" w:line="318" w:lineRule="exact"/>
        <w:rPr>
          <w:rFonts w:hint="eastAsia"/>
        </w:rPr>
      </w:pPr>
      <w:r>
        <w:rPr>
          <w:rFonts w:hint="eastAsia"/>
        </w:rPr>
        <w:tab/>
        <w:t>这一原则的通过，意味公约第1条所述的“基于性别而作的任何区别、排斥或限制”均正式禁止。尽管宪法没有提到歧视的定义，歧视一语必须依其最普遍的形式理解和解释，包括一切可以定性为歧视的情况。</w:t>
      </w:r>
    </w:p>
    <w:p w:rsidR="00000000" w:rsidRDefault="00000000">
      <w:pPr>
        <w:pStyle w:val="SingleTxt"/>
        <w:spacing w:after="120" w:line="318" w:lineRule="exact"/>
        <w:rPr>
          <w:rFonts w:hint="eastAsia"/>
        </w:rPr>
      </w:pPr>
      <w:r>
        <w:rPr>
          <w:rFonts w:hint="eastAsia"/>
        </w:rPr>
        <w:tab/>
        <w:t>因为佛得角共和国宪法除确认平等原则和不歧视原则之外，同时还规定，对这些规范不得狭义地解释。按照宪法第17.2条的规定，一切应按注释规则，“宪法有关权利、自由和保障的任何规范，其范围和性质在解释时不得予以克减”。</w:t>
      </w:r>
    </w:p>
    <w:p w:rsidR="00000000" w:rsidRDefault="00000000">
      <w:pPr>
        <w:pStyle w:val="SingleTxt"/>
        <w:spacing w:after="120" w:line="318" w:lineRule="exact"/>
        <w:rPr>
          <w:rFonts w:hint="eastAsia"/>
        </w:rPr>
      </w:pPr>
      <w:r>
        <w:rPr>
          <w:rFonts w:hint="eastAsia"/>
        </w:rPr>
        <w:tab/>
        <w:t>此外，根据现行法律，佛得角签署的国际条约，一旦在国际一级生效，即在国内直接执行。因此，公约各项规定、特别是第1条所载定义，均可在任何法庭予以援引并可用作任何政治行动的基础。</w:t>
      </w:r>
    </w:p>
    <w:p w:rsidR="00000000" w:rsidRDefault="00000000">
      <w:pPr>
        <w:pStyle w:val="SingleTxt"/>
        <w:spacing w:after="120" w:line="318" w:lineRule="exact"/>
        <w:rPr>
          <w:rFonts w:hint="eastAsia"/>
        </w:rPr>
      </w:pPr>
      <w:r>
        <w:rPr>
          <w:rFonts w:hint="eastAsia"/>
        </w:rPr>
        <w:tab/>
        <w:t>还有，应指出的是，共和国宪法第7条</w:t>
      </w:r>
      <w:r>
        <w:t>e</w:t>
      </w:r>
      <w:r>
        <w:rPr>
          <w:rFonts w:hint="eastAsia"/>
        </w:rPr>
        <w:t>款规定，国家主要任务之一，除对全体公民确保保障和尊重人权及充分行使这些权利和基本自由之外（第7条</w:t>
      </w:r>
      <w:r>
        <w:t>b</w:t>
      </w:r>
      <w:r>
        <w:rPr>
          <w:rFonts w:hint="eastAsia"/>
        </w:rPr>
        <w:t>款），还应“提高全体佛得角民众、特别是最贫穷民众的福利和生活品质，和逐步消除妨碍实现所有公民机会真正平等的一切经济、社会、文化和政治障碍，特别是家庭和社会内歧视妇女的因素”。第87.2条又规定，“国家有责任消除导致对妇女歧视的一切情况，并须确保保护妇女权利和儿童权利”。因此，可以肯定，这样形成的宪法秩序不但落实平等和不歧视妇女的原则，而且确定国家的一项任务是致力消除一切障碍，让妇女可以享受或行使在政治、经济、社会、文化、公民等等领域的基本权利和自由。共和国宪法落实了这些基本原则，佛得角可被视为一个认真承诺尊重公约第1条含义范围内平等和不歧视原则的国家。</w:t>
      </w:r>
    </w:p>
    <w:p w:rsidR="00000000" w:rsidRDefault="00000000">
      <w:pPr>
        <w:pStyle w:val="SingleTxt"/>
        <w:spacing w:after="120" w:line="318" w:lineRule="exact"/>
        <w:rPr>
          <w:rFonts w:hint="eastAsia"/>
        </w:rPr>
      </w:pPr>
      <w:r>
        <w:rPr>
          <w:rFonts w:hint="eastAsia"/>
        </w:rPr>
        <w:tab/>
        <w:t>同宪法的精神一样，国家的其他法律也落实男女平等的原则，一切基于性别的歧视都予禁止，否则宣布其违宪。因此，可以肯定，宪法以下的一切法律都符合宪法宣示的原则，也就是符合公约第1条。这里可举如下几项法律为例：劳工法，它采取的基本原则是，在工作地点和男女薪酬方面，不作歧视；民法，它在婚姻法和继承法方面，不容许任何区别待遇；教育法，它禁止一切形式旨在限制妇女接受教育或限制其接受教育条件的歧视；</w:t>
      </w:r>
    </w:p>
    <w:p w:rsidR="00000000" w:rsidRDefault="00000000">
      <w:pPr>
        <w:pStyle w:val="SingleTxt"/>
        <w:spacing w:after="120" w:line="318" w:lineRule="exact"/>
        <w:rPr>
          <w:rFonts w:hint="eastAsia"/>
        </w:rPr>
      </w:pPr>
      <w:r>
        <w:rPr>
          <w:rFonts w:hint="eastAsia"/>
        </w:rPr>
        <w:t>3.</w:t>
      </w:r>
      <w:r>
        <w:rPr>
          <w:rFonts w:hint="eastAsia"/>
        </w:rPr>
        <w:tab/>
      </w:r>
      <w:r>
        <w:rPr>
          <w:rFonts w:ascii="KaiTi_GB2312" w:eastAsia="KaiTi_GB2312" w:hint="eastAsia"/>
          <w:color w:val="0000FF"/>
        </w:rPr>
        <w:t>报告（第56和第81段）说，“公约被纳入佛得角国内法律，与任何一项宪法规范毫无冲突”，而且，“任何个人都可在法庭援引国际文书条款”。有无与《公约》所述基于性别的歧视有关的案件被提交法庭审理？如果有，有多少？请提供详细资料</w:t>
      </w:r>
      <w:r>
        <w:rPr>
          <w:rFonts w:hint="eastAsia"/>
        </w:rPr>
        <w:t>。</w:t>
      </w:r>
    </w:p>
    <w:p w:rsidR="00000000" w:rsidRDefault="00000000">
      <w:pPr>
        <w:pStyle w:val="SingleTxt"/>
        <w:spacing w:after="120" w:line="318" w:lineRule="exact"/>
        <w:rPr>
          <w:rFonts w:hint="eastAsia"/>
        </w:rPr>
      </w:pPr>
      <w:r>
        <w:rPr>
          <w:rFonts w:hint="eastAsia"/>
        </w:rPr>
        <w:tab/>
        <w:t>很不幸，共和国检察署和司法委员会对法院受理的关于基于性别歧视的案件没有分开报告。</w:t>
      </w:r>
    </w:p>
    <w:p w:rsidR="00000000" w:rsidRDefault="00000000">
      <w:pPr>
        <w:pStyle w:val="SingleTxt"/>
        <w:spacing w:after="120" w:line="318" w:lineRule="exact"/>
        <w:rPr>
          <w:rFonts w:hint="eastAsia"/>
        </w:rPr>
      </w:pPr>
      <w:r>
        <w:rPr>
          <w:rFonts w:hint="eastAsia"/>
        </w:rPr>
        <w:tab/>
        <w:t>这一缺陷后来被发觉，即在最近通过的全国性别平等公平计划（性别平等计划）中加以纠正，并加倍努力，务使每一单位编纂的数据，均能作为反映性别问题的指标。</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line="318" w:lineRule="exact"/>
        <w:ind w:left="1264" w:right="1264" w:hanging="1264"/>
        <w:jc w:val="both"/>
        <w:rPr>
          <w:rFonts w:hint="eastAsia"/>
        </w:rPr>
      </w:pPr>
      <w:r>
        <w:rPr>
          <w:rFonts w:hint="eastAsia"/>
        </w:rPr>
        <w:tab/>
      </w:r>
      <w:r>
        <w:rPr>
          <w:rFonts w:hint="eastAsia"/>
        </w:rPr>
        <w:tab/>
        <w:t>第3条</w:t>
      </w:r>
    </w:p>
    <w:p w:rsidR="00000000" w:rsidRDefault="00000000">
      <w:pPr>
        <w:pStyle w:val="SingleTxt"/>
        <w:spacing w:after="120" w:line="318" w:lineRule="exact"/>
        <w:rPr>
          <w:rFonts w:hint="eastAsia"/>
        </w:rPr>
      </w:pPr>
      <w:r>
        <w:rPr>
          <w:rFonts w:hint="eastAsia"/>
        </w:rPr>
        <w:t>4.</w:t>
      </w:r>
      <w:r>
        <w:rPr>
          <w:rFonts w:hint="eastAsia"/>
        </w:rPr>
        <w:tab/>
      </w:r>
      <w:r>
        <w:rPr>
          <w:rFonts w:ascii="KaiTi_GB2312" w:eastAsia="KaiTi_GB2312" w:hint="eastAsia"/>
          <w:color w:val="0000FF"/>
        </w:rPr>
        <w:t>报告第5</w:t>
      </w:r>
      <w:r>
        <w:rPr>
          <w:rFonts w:ascii="KaiTi_GB2312" w:eastAsia="KaiTi_GB2312"/>
          <w:color w:val="0000FF"/>
        </w:rPr>
        <w:t>(b)</w:t>
      </w:r>
      <w:r>
        <w:rPr>
          <w:rFonts w:ascii="KaiTi_GB2312" w:eastAsia="KaiTi_GB2312" w:hint="eastAsia"/>
          <w:color w:val="0000FF"/>
        </w:rPr>
        <w:t>段说，妇女地位研究所“……，1994年才成立，因为人员配备不齐，所以推迟到那个时候才创建，人员配备进程仍在进行中。”请提供关于这个提高妇女地位国家机制的权限级别和人力财力资源方面的进一步资料</w:t>
      </w:r>
      <w:r>
        <w:rPr>
          <w:rFonts w:hint="eastAsia"/>
        </w:rPr>
        <w:t>。</w:t>
      </w:r>
    </w:p>
    <w:p w:rsidR="00000000" w:rsidRDefault="00000000">
      <w:pPr>
        <w:pStyle w:val="SingleTxt"/>
        <w:spacing w:after="120" w:line="318" w:lineRule="exact"/>
        <w:rPr>
          <w:rFonts w:hint="eastAsia"/>
        </w:rPr>
      </w:pPr>
      <w:r>
        <w:rPr>
          <w:rFonts w:hint="eastAsia"/>
        </w:rPr>
        <w:tab/>
        <w:t>实际上，雇聘新干部方面缺乏人力财力资源的问题，不只妇女地位研究所发生而已。国家的许多机构都有人力财力资源短缺的问题，它们的运作仅靠人数缩减的工作人员进行，与原来章程的规定不符。因此，在此必须强调指出，这个问题不是妇女地位研究所所独有，而是很普遍的。</w:t>
      </w:r>
    </w:p>
    <w:p w:rsidR="00000000" w:rsidRDefault="00000000">
      <w:pPr>
        <w:pStyle w:val="SingleTxt"/>
        <w:spacing w:after="120" w:line="318" w:lineRule="exact"/>
        <w:rPr>
          <w:rFonts w:hint="eastAsia"/>
        </w:rPr>
      </w:pPr>
      <w:r>
        <w:rPr>
          <w:rFonts w:hint="eastAsia"/>
        </w:rPr>
        <w:tab/>
        <w:t>至于妇女地位研究所的法律地位，规范其活动的法律规定，研究所是一个“公共性质研究所，由公共人士组成，在行政上、财政上和财产上独立”（妇女地位研究所组织章程第1条）。这是一个由总理监督的机构。研究所的职责很广泛，其基本宗旨是促进男女平等，促进妇女有效地和显著地参与社会、经济和政治生活的一切部门，同时促进国家的发展。它的许多职责中包括：促进尊重妇女公民权，确保其行使此一权利不因其性别而受到区别；提倡促进性别平等、公平、同等的政策；发展改善妇女生活品质和改良男子和社会对妇女特殊问题态度的行动；拟订和促进落实提高妇女在社会地位的各种具体方案、计划、行动和项目；创造对话空间；研究和建议措施以期国家立法经常依性别平等概念调整等等（妇女地位研究所组织章程第3条，8月25日第5/2003号实施法令）。</w:t>
      </w:r>
    </w:p>
    <w:p w:rsidR="00000000" w:rsidRDefault="00000000">
      <w:pPr>
        <w:pStyle w:val="SingleTxt"/>
        <w:spacing w:before="240"/>
        <w:rPr>
          <w:rFonts w:hint="eastAsia"/>
        </w:rPr>
      </w:pPr>
      <w:r>
        <w:rPr>
          <w:rFonts w:hint="eastAsia"/>
        </w:rPr>
        <w:tab/>
        <w:t>关于妇女地位研究所的人力资源，按照1994年设立研究所的法令，2002年的工作人员员额表如下：</w:t>
      </w:r>
    </w:p>
    <w:tbl>
      <w:tblPr>
        <w:tblW w:w="0" w:type="auto"/>
        <w:tblInd w:w="1268" w:type="dxa"/>
        <w:tblLayout w:type="fixed"/>
        <w:tblCellMar>
          <w:left w:w="0" w:type="dxa"/>
          <w:right w:w="0" w:type="dxa"/>
        </w:tblCellMar>
        <w:tblLook w:val="0000" w:firstRow="0" w:lastRow="0" w:firstColumn="0" w:lastColumn="0" w:noHBand="0" w:noVBand="0"/>
      </w:tblPr>
      <w:tblGrid>
        <w:gridCol w:w="2440"/>
        <w:gridCol w:w="2440"/>
        <w:gridCol w:w="2441"/>
      </w:tblGrid>
      <w:tr w:rsidR="00000000">
        <w:tblPrEx>
          <w:tblCellMar>
            <w:top w:w="0" w:type="dxa"/>
            <w:bottom w:w="0" w:type="dxa"/>
          </w:tblCellMar>
        </w:tblPrEx>
        <w:trPr>
          <w:cantSplit/>
          <w:tblHeader/>
        </w:trPr>
        <w:tc>
          <w:tcPr>
            <w:tcW w:w="7321" w:type="dxa"/>
            <w:gridSpan w:val="3"/>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center"/>
              <w:rPr>
                <w:rFonts w:eastAsia="KaiTi_GB2312" w:hint="eastAsia"/>
                <w:color w:val="0000FF"/>
                <w:sz w:val="14"/>
              </w:rPr>
            </w:pPr>
            <w:r>
              <w:rPr>
                <w:rFonts w:eastAsia="KaiTi_GB2312" w:hint="eastAsia"/>
                <w:color w:val="0000FF"/>
                <w:sz w:val="14"/>
              </w:rPr>
              <w:t>研究所工作人员员额表（</w:t>
            </w:r>
            <w:r>
              <w:rPr>
                <w:rFonts w:eastAsia="KaiTi_GB2312" w:hint="eastAsia"/>
                <w:color w:val="0000FF"/>
                <w:sz w:val="14"/>
              </w:rPr>
              <w:t>2002</w:t>
            </w:r>
            <w:r>
              <w:rPr>
                <w:rFonts w:eastAsia="KaiTi_GB2312" w:hint="eastAsia"/>
                <w:color w:val="0000FF"/>
                <w:sz w:val="14"/>
              </w:rPr>
              <w:t>年）</w:t>
            </w:r>
          </w:p>
        </w:tc>
      </w:tr>
      <w:tr w:rsidR="00000000">
        <w:tblPrEx>
          <w:tblCellMar>
            <w:top w:w="0" w:type="dxa"/>
            <w:bottom w:w="0" w:type="dxa"/>
          </w:tblCellMar>
        </w:tblPrEx>
        <w:trPr>
          <w:tblHeader/>
        </w:trPr>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00" w:lineRule="exact"/>
              <w:ind w:left="0" w:right="40"/>
              <w:jc w:val="left"/>
              <w:rPr>
                <w:rFonts w:eastAsia="KaiTi_GB2312" w:hint="eastAsia"/>
                <w:color w:val="0000FF"/>
                <w:sz w:val="14"/>
              </w:rPr>
            </w:pPr>
            <w:r>
              <w:rPr>
                <w:rFonts w:eastAsia="KaiTi_GB2312" w:hint="eastAsia"/>
                <w:color w:val="0000FF"/>
                <w:sz w:val="14"/>
              </w:rPr>
              <w:t>领导和业务负责人员</w:t>
            </w:r>
          </w:p>
        </w:tc>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00" w:lineRule="exact"/>
              <w:ind w:left="0" w:right="40"/>
              <w:jc w:val="right"/>
              <w:rPr>
                <w:rFonts w:eastAsia="KaiTi_GB2312" w:hint="eastAsia"/>
                <w:color w:val="0000FF"/>
                <w:sz w:val="14"/>
              </w:rPr>
            </w:pPr>
            <w:r>
              <w:rPr>
                <w:rFonts w:eastAsia="KaiTi_GB2312" w:hint="eastAsia"/>
                <w:color w:val="0000FF"/>
                <w:sz w:val="14"/>
              </w:rPr>
              <w:t>预定员额</w:t>
            </w:r>
          </w:p>
        </w:tc>
        <w:tc>
          <w:tcPr>
            <w:tcW w:w="2441"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00" w:lineRule="exact"/>
              <w:ind w:left="0" w:right="40"/>
              <w:jc w:val="right"/>
              <w:rPr>
                <w:rFonts w:eastAsia="KaiTi_GB2312" w:hint="eastAsia"/>
                <w:color w:val="0000FF"/>
                <w:sz w:val="14"/>
              </w:rPr>
            </w:pPr>
            <w:r>
              <w:rPr>
                <w:rFonts w:eastAsia="KaiTi_GB2312" w:hint="eastAsia"/>
                <w:color w:val="0000FF"/>
                <w:sz w:val="14"/>
              </w:rPr>
              <w:t>现有员额</w:t>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244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rPr>
                <w:rFonts w:hint="eastAsia"/>
                <w:sz w:val="17"/>
              </w:rPr>
            </w:pPr>
            <w:r>
              <w:rPr>
                <w:rFonts w:hint="eastAsia"/>
                <w:sz w:val="17"/>
              </w:rPr>
              <w:t>所长</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rPr>
                <w:rFonts w:hint="eastAsia"/>
                <w:sz w:val="17"/>
              </w:rPr>
            </w:pPr>
            <w:r>
              <w:rPr>
                <w:rFonts w:hint="eastAsia"/>
                <w:sz w:val="17"/>
              </w:rPr>
              <w:t>处长</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4</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w:t>
            </w:r>
          </w:p>
        </w:tc>
      </w:tr>
      <w:tr w:rsidR="00000000">
        <w:tblPrEx>
          <w:tblCellMar>
            <w:top w:w="0" w:type="dxa"/>
            <w:bottom w:w="0" w:type="dxa"/>
          </w:tblCellMar>
        </w:tblPrEx>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rPr>
                <w:rFonts w:hint="eastAsia"/>
                <w:sz w:val="17"/>
              </w:rPr>
            </w:pPr>
            <w:r>
              <w:rPr>
                <w:rFonts w:hint="eastAsia"/>
                <w:sz w:val="17"/>
              </w:rPr>
              <w:t>科长</w:t>
            </w:r>
          </w:p>
        </w:tc>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c>
          <w:tcPr>
            <w:tcW w:w="2441"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w:t>
            </w:r>
          </w:p>
        </w:tc>
      </w:tr>
      <w:tr w:rsidR="00000000">
        <w:tblPrEx>
          <w:tblCellMar>
            <w:top w:w="0" w:type="dxa"/>
            <w:bottom w:w="0" w:type="dxa"/>
          </w:tblCellMar>
        </w:tblPrEx>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20" w:after="40" w:line="226" w:lineRule="exact"/>
              <w:ind w:left="0" w:right="40"/>
              <w:jc w:val="left"/>
              <w:rPr>
                <w:rFonts w:eastAsia="KaiTi_GB2312" w:hint="eastAsia"/>
                <w:color w:val="0000FF"/>
                <w:sz w:val="14"/>
              </w:rPr>
            </w:pPr>
            <w:r>
              <w:rPr>
                <w:rFonts w:eastAsia="KaiTi_GB2312" w:hint="eastAsia"/>
                <w:color w:val="0000FF"/>
                <w:sz w:val="14"/>
              </w:rPr>
              <w:t>技术工作人员</w:t>
            </w:r>
          </w:p>
        </w:tc>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20" w:after="40" w:line="226" w:lineRule="exact"/>
              <w:ind w:left="0" w:right="40"/>
              <w:jc w:val="right"/>
              <w:rPr>
                <w:rFonts w:eastAsia="KaiTi_GB2312" w:hint="eastAsia"/>
                <w:color w:val="0000FF"/>
                <w:sz w:val="14"/>
              </w:rPr>
            </w:pPr>
            <w:r>
              <w:rPr>
                <w:rFonts w:eastAsia="KaiTi_GB2312" w:hint="eastAsia"/>
                <w:color w:val="0000FF"/>
                <w:sz w:val="14"/>
              </w:rPr>
              <w:t>预定员额</w:t>
            </w:r>
          </w:p>
        </w:tc>
        <w:tc>
          <w:tcPr>
            <w:tcW w:w="2441"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20" w:after="40" w:line="226" w:lineRule="exact"/>
              <w:ind w:left="0" w:right="40"/>
              <w:jc w:val="right"/>
              <w:rPr>
                <w:rFonts w:eastAsia="KaiTi_GB2312" w:hint="eastAsia"/>
                <w:color w:val="0000FF"/>
                <w:sz w:val="14"/>
              </w:rPr>
            </w:pPr>
            <w:r>
              <w:rPr>
                <w:rFonts w:eastAsia="KaiTi_GB2312" w:hint="eastAsia"/>
                <w:color w:val="0000FF"/>
                <w:sz w:val="14"/>
              </w:rPr>
              <w:t>现有员额</w:t>
            </w:r>
          </w:p>
        </w:tc>
      </w:tr>
      <w:tr w:rsidR="00000000">
        <w:tblPrEx>
          <w:tblCellMar>
            <w:top w:w="0" w:type="dxa"/>
            <w:bottom w:w="0" w:type="dxa"/>
          </w:tblCellMar>
        </w:tblPrEx>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rPr>
                <w:rFonts w:hint="eastAsia"/>
                <w:sz w:val="17"/>
              </w:rPr>
            </w:pPr>
            <w:r>
              <w:rPr>
                <w:rFonts w:hint="eastAsia"/>
                <w:sz w:val="17"/>
              </w:rPr>
              <w:t>技术人员</w:t>
            </w:r>
          </w:p>
        </w:tc>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2</w:t>
            </w:r>
          </w:p>
        </w:tc>
        <w:tc>
          <w:tcPr>
            <w:tcW w:w="244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2</w:t>
            </w:r>
          </w:p>
        </w:tc>
      </w:tr>
      <w:tr w:rsidR="00000000">
        <w:tblPrEx>
          <w:tblCellMar>
            <w:top w:w="0" w:type="dxa"/>
            <w:bottom w:w="0" w:type="dxa"/>
          </w:tblCellMar>
        </w:tblPrEx>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rPr>
                <w:rFonts w:hint="eastAsia"/>
                <w:sz w:val="17"/>
              </w:rPr>
            </w:pPr>
            <w:r>
              <w:rPr>
                <w:rFonts w:hint="eastAsia"/>
                <w:sz w:val="17"/>
              </w:rPr>
              <w:t>专业技术人员</w:t>
            </w:r>
          </w:p>
        </w:tc>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2</w:t>
            </w:r>
          </w:p>
        </w:tc>
        <w:tc>
          <w:tcPr>
            <w:tcW w:w="2441"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2</w:t>
            </w:r>
          </w:p>
        </w:tc>
      </w:tr>
      <w:tr w:rsidR="00000000">
        <w:tblPrEx>
          <w:tblCellMar>
            <w:top w:w="0" w:type="dxa"/>
            <w:bottom w:w="0" w:type="dxa"/>
          </w:tblCellMar>
        </w:tblPrEx>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20" w:after="40" w:line="226" w:lineRule="exact"/>
              <w:ind w:left="0" w:right="40"/>
              <w:jc w:val="left"/>
              <w:rPr>
                <w:rFonts w:eastAsia="KaiTi_GB2312" w:hint="eastAsia"/>
                <w:color w:val="0000FF"/>
                <w:sz w:val="14"/>
              </w:rPr>
            </w:pPr>
            <w:r>
              <w:rPr>
                <w:rFonts w:eastAsia="KaiTi_GB2312" w:hint="eastAsia"/>
                <w:color w:val="0000FF"/>
                <w:sz w:val="14"/>
              </w:rPr>
              <w:t>行政工作人员</w:t>
            </w:r>
          </w:p>
        </w:tc>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20" w:after="40" w:line="226" w:lineRule="exact"/>
              <w:ind w:left="0" w:right="40"/>
              <w:jc w:val="right"/>
              <w:rPr>
                <w:rFonts w:eastAsia="KaiTi_GB2312" w:hint="eastAsia"/>
                <w:color w:val="0000FF"/>
                <w:sz w:val="14"/>
              </w:rPr>
            </w:pPr>
            <w:r>
              <w:rPr>
                <w:rFonts w:eastAsia="KaiTi_GB2312" w:hint="eastAsia"/>
                <w:color w:val="0000FF"/>
                <w:sz w:val="14"/>
              </w:rPr>
              <w:t>预定员额</w:t>
            </w:r>
          </w:p>
        </w:tc>
        <w:tc>
          <w:tcPr>
            <w:tcW w:w="2441"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20" w:after="40" w:line="226" w:lineRule="exact"/>
              <w:ind w:left="0" w:right="40"/>
              <w:jc w:val="right"/>
              <w:rPr>
                <w:rFonts w:eastAsia="KaiTi_GB2312" w:hint="eastAsia"/>
                <w:color w:val="0000FF"/>
                <w:sz w:val="14"/>
              </w:rPr>
            </w:pPr>
            <w:r>
              <w:rPr>
                <w:rFonts w:eastAsia="KaiTi_GB2312" w:hint="eastAsia"/>
                <w:color w:val="0000FF"/>
                <w:sz w:val="14"/>
              </w:rPr>
              <w:t>现有员额</w:t>
            </w:r>
          </w:p>
        </w:tc>
      </w:tr>
      <w:tr w:rsidR="00000000">
        <w:tblPrEx>
          <w:tblCellMar>
            <w:top w:w="0" w:type="dxa"/>
            <w:bottom w:w="0" w:type="dxa"/>
          </w:tblCellMar>
        </w:tblPrEx>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rPr>
                <w:rFonts w:hint="eastAsia"/>
                <w:sz w:val="17"/>
              </w:rPr>
            </w:pPr>
            <w:r>
              <w:rPr>
                <w:rFonts w:hint="eastAsia"/>
                <w:sz w:val="17"/>
              </w:rPr>
              <w:t>行政主任</w:t>
            </w:r>
          </w:p>
        </w:tc>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c>
          <w:tcPr>
            <w:tcW w:w="244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rPr>
                <w:rFonts w:hint="eastAsia"/>
                <w:sz w:val="17"/>
              </w:rPr>
            </w:pPr>
            <w:r>
              <w:rPr>
                <w:rFonts w:hint="eastAsia"/>
                <w:sz w:val="17"/>
              </w:rPr>
              <w:t>财务主任</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rPr>
                <w:rFonts w:hint="eastAsia"/>
                <w:sz w:val="17"/>
              </w:rPr>
            </w:pPr>
            <w:r>
              <w:rPr>
                <w:rFonts w:hint="eastAsia"/>
                <w:sz w:val="17"/>
              </w:rPr>
              <w:t>话务员/接待员</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rPr>
                <w:rFonts w:hint="eastAsia"/>
                <w:sz w:val="17"/>
              </w:rPr>
            </w:pPr>
            <w:r>
              <w:rPr>
                <w:rFonts w:hint="eastAsia"/>
                <w:sz w:val="17"/>
              </w:rPr>
              <w:t>司机</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r>
      <w:tr w:rsidR="00000000">
        <w:tblPrEx>
          <w:tblCellMar>
            <w:top w:w="0" w:type="dxa"/>
            <w:bottom w:w="0" w:type="dxa"/>
          </w:tblCellMar>
        </w:tblPrEx>
        <w:tc>
          <w:tcPr>
            <w:tcW w:w="2440" w:type="dxa"/>
            <w:tcBorders>
              <w:bottom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rPr>
                <w:rFonts w:hint="eastAsia"/>
                <w:sz w:val="17"/>
              </w:rPr>
            </w:pPr>
            <w:r>
              <w:rPr>
                <w:rFonts w:hint="eastAsia"/>
                <w:sz w:val="17"/>
              </w:rPr>
              <w:t>一般事务助理</w:t>
            </w:r>
          </w:p>
        </w:tc>
        <w:tc>
          <w:tcPr>
            <w:tcW w:w="2440" w:type="dxa"/>
            <w:tcBorders>
              <w:bottom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c>
          <w:tcPr>
            <w:tcW w:w="2441" w:type="dxa"/>
            <w:tcBorders>
              <w:bottom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hint="eastAsia"/>
                <w:sz w:val="17"/>
              </w:rPr>
            </w:pPr>
            <w:r>
              <w:rPr>
                <w:rFonts w:hint="eastAsia"/>
                <w:sz w:val="17"/>
              </w:rPr>
              <w:t>1</w:t>
            </w:r>
          </w:p>
        </w:tc>
      </w:tr>
      <w:tr w:rsidR="00000000">
        <w:tblPrEx>
          <w:tblCellMar>
            <w:top w:w="0" w:type="dxa"/>
            <w:bottom w:w="0" w:type="dxa"/>
          </w:tblCellMar>
        </w:tblPrEx>
        <w:tc>
          <w:tcPr>
            <w:tcW w:w="2440"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rPr>
                <w:rFonts w:eastAsia="SimHei" w:hint="eastAsia"/>
                <w:b/>
                <w:color w:val="FF0000"/>
                <w:sz w:val="17"/>
              </w:rPr>
            </w:pPr>
            <w:r>
              <w:rPr>
                <w:rFonts w:eastAsia="SimHei"/>
                <w:b/>
                <w:color w:val="FF0000"/>
                <w:sz w:val="17"/>
              </w:rPr>
              <w:tab/>
            </w:r>
            <w:r>
              <w:rPr>
                <w:rFonts w:eastAsia="SimHei" w:hint="eastAsia"/>
                <w:b/>
                <w:color w:val="FF0000"/>
                <w:sz w:val="17"/>
              </w:rPr>
              <w:t>共计</w:t>
            </w:r>
          </w:p>
        </w:tc>
        <w:tc>
          <w:tcPr>
            <w:tcW w:w="2440"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eastAsia="SimHei" w:hint="eastAsia"/>
                <w:b/>
                <w:color w:val="FF0000"/>
                <w:sz w:val="17"/>
              </w:rPr>
            </w:pPr>
            <w:r>
              <w:rPr>
                <w:rFonts w:eastAsia="SimHei" w:hint="eastAsia"/>
                <w:b/>
                <w:color w:val="FF0000"/>
                <w:sz w:val="17"/>
              </w:rPr>
              <w:t>15</w:t>
            </w:r>
          </w:p>
        </w:tc>
        <w:tc>
          <w:tcPr>
            <w:tcW w:w="2441"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26" w:lineRule="exact"/>
              <w:ind w:left="0" w:right="40"/>
              <w:jc w:val="right"/>
              <w:rPr>
                <w:rFonts w:eastAsia="SimHei" w:hint="eastAsia"/>
                <w:b/>
                <w:color w:val="FF0000"/>
                <w:sz w:val="17"/>
              </w:rPr>
            </w:pPr>
            <w:r>
              <w:rPr>
                <w:rFonts w:eastAsia="SimHei" w:hint="eastAsia"/>
                <w:b/>
                <w:color w:val="FF0000"/>
                <w:sz w:val="17"/>
              </w:rPr>
              <w:t>9</w:t>
            </w:r>
          </w:p>
        </w:tc>
      </w:tr>
    </w:tbl>
    <w:p w:rsidR="00000000" w:rsidRDefault="00000000">
      <w:pPr>
        <w:pStyle w:val="SingleTxt"/>
        <w:spacing w:before="120"/>
        <w:rPr>
          <w:rFonts w:hint="eastAsia"/>
        </w:rPr>
      </w:pPr>
      <w:r>
        <w:rPr>
          <w:rFonts w:ascii="KaiTi_GB2312" w:eastAsia="KaiTi_GB2312" w:hint="eastAsia"/>
          <w:color w:val="0000FF"/>
          <w:sz w:val="18"/>
        </w:rPr>
        <w:t>资料来源</w:t>
      </w:r>
      <w:r>
        <w:rPr>
          <w:rFonts w:hint="eastAsia"/>
          <w:sz w:val="18"/>
        </w:rPr>
        <w:t>：1月10日第1/94号法令。</w:t>
      </w:r>
    </w:p>
    <w:p w:rsidR="00000000" w:rsidRDefault="00000000">
      <w:pPr>
        <w:pStyle w:val="SingleTxt"/>
        <w:rPr>
          <w:rFonts w:hint="eastAsia"/>
        </w:rPr>
      </w:pPr>
      <w:r>
        <w:rPr>
          <w:rFonts w:hint="eastAsia"/>
        </w:rPr>
        <w:tab/>
        <w:t>2003年，修正了研究所章程，增加员额，但现行员额表没有正式增改：</w:t>
      </w:r>
    </w:p>
    <w:tbl>
      <w:tblPr>
        <w:tblW w:w="0" w:type="auto"/>
        <w:tblInd w:w="1268" w:type="dxa"/>
        <w:tblLayout w:type="fixed"/>
        <w:tblCellMar>
          <w:left w:w="0" w:type="dxa"/>
          <w:right w:w="0" w:type="dxa"/>
        </w:tblCellMar>
        <w:tblLook w:val="0000" w:firstRow="0" w:lastRow="0" w:firstColumn="0" w:lastColumn="0" w:noHBand="0" w:noVBand="0"/>
      </w:tblPr>
      <w:tblGrid>
        <w:gridCol w:w="2440"/>
        <w:gridCol w:w="2440"/>
        <w:gridCol w:w="2441"/>
      </w:tblGrid>
      <w:tr w:rsidR="00000000">
        <w:tblPrEx>
          <w:tblCellMar>
            <w:top w:w="0" w:type="dxa"/>
            <w:bottom w:w="0" w:type="dxa"/>
          </w:tblCellMar>
        </w:tblPrEx>
        <w:trPr>
          <w:cantSplit/>
        </w:trPr>
        <w:tc>
          <w:tcPr>
            <w:tcW w:w="7321" w:type="dxa"/>
            <w:gridSpan w:val="3"/>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00" w:lineRule="exact"/>
              <w:ind w:left="0" w:right="40"/>
              <w:jc w:val="center"/>
              <w:rPr>
                <w:rFonts w:eastAsia="KaiTi_GB2312" w:hint="eastAsia"/>
                <w:color w:val="0000FF"/>
                <w:sz w:val="14"/>
              </w:rPr>
            </w:pPr>
            <w:r>
              <w:rPr>
                <w:rFonts w:eastAsia="KaiTi_GB2312" w:hint="eastAsia"/>
                <w:color w:val="0000FF"/>
                <w:sz w:val="14"/>
              </w:rPr>
              <w:t>研究所工作人员员额表（</w:t>
            </w:r>
            <w:r>
              <w:rPr>
                <w:rFonts w:eastAsia="KaiTi_GB2312" w:hint="eastAsia"/>
                <w:color w:val="0000FF"/>
                <w:sz w:val="14"/>
              </w:rPr>
              <w:t>2003/2005</w:t>
            </w:r>
            <w:r>
              <w:rPr>
                <w:rFonts w:eastAsia="KaiTi_GB2312" w:hint="eastAsia"/>
                <w:color w:val="0000FF"/>
                <w:sz w:val="14"/>
              </w:rPr>
              <w:t>年）</w:t>
            </w:r>
          </w:p>
        </w:tc>
      </w:tr>
      <w:tr w:rsidR="00000000">
        <w:tblPrEx>
          <w:tblCellMar>
            <w:top w:w="0" w:type="dxa"/>
            <w:bottom w:w="0" w:type="dxa"/>
          </w:tblCellMar>
        </w:tblPrEx>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00" w:lineRule="exact"/>
              <w:ind w:left="0" w:right="40"/>
              <w:jc w:val="left"/>
              <w:rPr>
                <w:rFonts w:eastAsia="KaiTi_GB2312" w:hint="eastAsia"/>
                <w:color w:val="0000FF"/>
                <w:sz w:val="14"/>
              </w:rPr>
            </w:pPr>
            <w:r>
              <w:rPr>
                <w:rFonts w:eastAsia="KaiTi_GB2312" w:hint="eastAsia"/>
                <w:color w:val="0000FF"/>
                <w:sz w:val="14"/>
              </w:rPr>
              <w:t>规定职位</w:t>
            </w:r>
          </w:p>
        </w:tc>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00" w:lineRule="exact"/>
              <w:ind w:left="0" w:right="40"/>
              <w:jc w:val="right"/>
              <w:rPr>
                <w:rFonts w:eastAsia="KaiTi_GB2312" w:hint="eastAsia"/>
                <w:color w:val="0000FF"/>
                <w:sz w:val="14"/>
              </w:rPr>
            </w:pPr>
            <w:r>
              <w:rPr>
                <w:rFonts w:eastAsia="KaiTi_GB2312" w:hint="eastAsia"/>
                <w:color w:val="0000FF"/>
                <w:sz w:val="14"/>
              </w:rPr>
              <w:t>预定员额</w:t>
            </w:r>
          </w:p>
        </w:tc>
        <w:tc>
          <w:tcPr>
            <w:tcW w:w="2441"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00" w:lineRule="exact"/>
              <w:ind w:left="0" w:right="40"/>
              <w:jc w:val="right"/>
              <w:rPr>
                <w:rFonts w:eastAsia="KaiTi_GB2312" w:hint="eastAsia"/>
                <w:color w:val="0000FF"/>
                <w:sz w:val="14"/>
              </w:rPr>
            </w:pPr>
            <w:r>
              <w:rPr>
                <w:rFonts w:eastAsia="KaiTi_GB2312" w:hint="eastAsia"/>
                <w:color w:val="0000FF"/>
                <w:sz w:val="14"/>
              </w:rPr>
              <w:t>现有员额</w:t>
            </w:r>
          </w:p>
        </w:tc>
      </w:tr>
      <w:tr w:rsidR="00000000">
        <w:tblPrEx>
          <w:tblCellMar>
            <w:top w:w="0" w:type="dxa"/>
            <w:bottom w:w="0" w:type="dxa"/>
          </w:tblCellMar>
        </w:tblPrEx>
        <w:trPr>
          <w:trHeight w:hRule="exact" w:val="115"/>
        </w:trPr>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rPr>
                <w:rFonts w:hint="eastAsia"/>
                <w:sz w:val="17"/>
              </w:rPr>
            </w:pPr>
          </w:p>
        </w:tc>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rPr>
                <w:rFonts w:hint="eastAsia"/>
                <w:sz w:val="17"/>
              </w:rPr>
            </w:pPr>
          </w:p>
        </w:tc>
        <w:tc>
          <w:tcPr>
            <w:tcW w:w="244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rPr>
                <w:rFonts w:hint="eastAsia"/>
                <w:sz w:val="17"/>
              </w:rPr>
            </w:pP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所长</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处长</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秘书</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w:t>
            </w:r>
          </w:p>
        </w:tc>
      </w:tr>
      <w:tr w:rsidR="00000000">
        <w:tblPrEx>
          <w:tblCellMar>
            <w:top w:w="0" w:type="dxa"/>
            <w:bottom w:w="0" w:type="dxa"/>
          </w:tblCellMar>
        </w:tblPrEx>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司机</w:t>
            </w:r>
          </w:p>
        </w:tc>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c>
          <w:tcPr>
            <w:tcW w:w="2441"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w:t>
            </w:r>
          </w:p>
        </w:tc>
      </w:tr>
      <w:tr w:rsidR="00000000">
        <w:tblPrEx>
          <w:tblCellMar>
            <w:top w:w="0" w:type="dxa"/>
            <w:bottom w:w="0" w:type="dxa"/>
          </w:tblCellMar>
        </w:tblPrEx>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left"/>
              <w:rPr>
                <w:rFonts w:eastAsia="KaiTi_GB2312" w:hint="eastAsia"/>
                <w:color w:val="0000FF"/>
                <w:sz w:val="14"/>
              </w:rPr>
            </w:pPr>
            <w:r>
              <w:rPr>
                <w:rFonts w:eastAsia="KaiTi_GB2312" w:hint="eastAsia"/>
                <w:color w:val="0000FF"/>
                <w:sz w:val="14"/>
              </w:rPr>
              <w:t>技术工作人员</w:t>
            </w:r>
          </w:p>
        </w:tc>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eastAsia="KaiTi_GB2312" w:hint="eastAsia"/>
                <w:color w:val="0000FF"/>
                <w:sz w:val="14"/>
              </w:rPr>
            </w:pPr>
            <w:r>
              <w:rPr>
                <w:rFonts w:eastAsia="KaiTi_GB2312" w:hint="eastAsia"/>
                <w:color w:val="0000FF"/>
                <w:sz w:val="14"/>
              </w:rPr>
              <w:t>预定员额</w:t>
            </w:r>
          </w:p>
        </w:tc>
        <w:tc>
          <w:tcPr>
            <w:tcW w:w="2441"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eastAsia="KaiTi_GB2312" w:hint="eastAsia"/>
                <w:color w:val="0000FF"/>
                <w:sz w:val="14"/>
              </w:rPr>
            </w:pPr>
            <w:r>
              <w:rPr>
                <w:rFonts w:eastAsia="KaiTi_GB2312" w:hint="eastAsia"/>
                <w:color w:val="0000FF"/>
                <w:sz w:val="14"/>
              </w:rPr>
              <w:t>现有员额</w:t>
            </w:r>
          </w:p>
        </w:tc>
      </w:tr>
      <w:tr w:rsidR="00000000">
        <w:tblPrEx>
          <w:tblCellMar>
            <w:top w:w="0" w:type="dxa"/>
            <w:bottom w:w="0" w:type="dxa"/>
          </w:tblCellMar>
        </w:tblPrEx>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sz w:val="17"/>
              </w:rPr>
            </w:pPr>
            <w:r>
              <w:rPr>
                <w:rFonts w:hint="eastAsia"/>
                <w:sz w:val="17"/>
              </w:rPr>
              <w:t>高级技术人员</w:t>
            </w:r>
            <w:r>
              <w:rPr>
                <w:sz w:val="17"/>
              </w:rPr>
              <w:t>(A)</w:t>
            </w:r>
          </w:p>
        </w:tc>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2</w:t>
            </w:r>
          </w:p>
        </w:tc>
        <w:tc>
          <w:tcPr>
            <w:tcW w:w="244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sz w:val="17"/>
              </w:rPr>
            </w:pPr>
            <w:r>
              <w:rPr>
                <w:sz w:val="17"/>
              </w:rPr>
              <w:t>1</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sz w:val="17"/>
              </w:rPr>
            </w:pPr>
            <w:r>
              <w:rPr>
                <w:rFonts w:hint="eastAsia"/>
                <w:sz w:val="17"/>
              </w:rPr>
              <w:t>高级技术人员</w:t>
            </w:r>
            <w:r>
              <w:rPr>
                <w:sz w:val="17"/>
              </w:rPr>
              <w:t>(B)</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sz w:val="17"/>
              </w:rPr>
            </w:pPr>
            <w:r>
              <w:rPr>
                <w:sz w:val="17"/>
              </w:rPr>
              <w:t>3</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sz w:val="17"/>
              </w:rPr>
            </w:pPr>
            <w:r>
              <w:rPr>
                <w:sz w:val="17"/>
              </w:rPr>
              <w:t>2</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技术人员</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2</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sz w:val="17"/>
              </w:rPr>
            </w:pPr>
            <w:r>
              <w:rPr>
                <w:sz w:val="17"/>
              </w:rPr>
              <w:t>1</w:t>
            </w:r>
          </w:p>
        </w:tc>
      </w:tr>
      <w:tr w:rsidR="00000000">
        <w:tblPrEx>
          <w:tblCellMar>
            <w:top w:w="0" w:type="dxa"/>
            <w:bottom w:w="0" w:type="dxa"/>
          </w:tblCellMar>
        </w:tblPrEx>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副技术人员</w:t>
            </w:r>
          </w:p>
        </w:tc>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sz w:val="17"/>
              </w:rPr>
            </w:pPr>
            <w:r>
              <w:rPr>
                <w:sz w:val="17"/>
              </w:rPr>
              <w:t>3</w:t>
            </w:r>
          </w:p>
        </w:tc>
        <w:tc>
          <w:tcPr>
            <w:tcW w:w="2441"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sz w:val="17"/>
              </w:rPr>
            </w:pPr>
            <w:r>
              <w:rPr>
                <w:sz w:val="17"/>
              </w:rPr>
              <w:t>-</w:t>
            </w:r>
          </w:p>
        </w:tc>
      </w:tr>
      <w:tr w:rsidR="00000000">
        <w:tblPrEx>
          <w:tblCellMar>
            <w:top w:w="0" w:type="dxa"/>
            <w:bottom w:w="0" w:type="dxa"/>
          </w:tblCellMar>
        </w:tblPrEx>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left"/>
              <w:rPr>
                <w:rFonts w:eastAsia="KaiTi_GB2312" w:hint="eastAsia"/>
                <w:color w:val="0000FF"/>
                <w:sz w:val="14"/>
              </w:rPr>
            </w:pPr>
            <w:r>
              <w:rPr>
                <w:rFonts w:eastAsia="KaiTi_GB2312" w:hint="eastAsia"/>
                <w:color w:val="0000FF"/>
                <w:sz w:val="14"/>
              </w:rPr>
              <w:t>行政工作人员</w:t>
            </w:r>
          </w:p>
        </w:tc>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eastAsia="KaiTi_GB2312" w:hint="eastAsia"/>
                <w:color w:val="0000FF"/>
                <w:sz w:val="14"/>
              </w:rPr>
            </w:pPr>
            <w:r>
              <w:rPr>
                <w:rFonts w:eastAsia="KaiTi_GB2312" w:hint="eastAsia"/>
                <w:color w:val="0000FF"/>
                <w:sz w:val="14"/>
              </w:rPr>
              <w:t>预定员额</w:t>
            </w:r>
          </w:p>
        </w:tc>
        <w:tc>
          <w:tcPr>
            <w:tcW w:w="2441"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eastAsia="KaiTi_GB2312" w:hint="eastAsia"/>
                <w:color w:val="0000FF"/>
                <w:sz w:val="14"/>
              </w:rPr>
            </w:pPr>
            <w:r>
              <w:rPr>
                <w:rFonts w:eastAsia="KaiTi_GB2312" w:hint="eastAsia"/>
                <w:color w:val="0000FF"/>
                <w:sz w:val="14"/>
              </w:rPr>
              <w:t>现有员额</w:t>
            </w:r>
          </w:p>
        </w:tc>
      </w:tr>
      <w:tr w:rsidR="00000000">
        <w:tblPrEx>
          <w:tblCellMar>
            <w:top w:w="0" w:type="dxa"/>
            <w:bottom w:w="0" w:type="dxa"/>
          </w:tblCellMar>
        </w:tblPrEx>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行政主任</w:t>
            </w:r>
          </w:p>
        </w:tc>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c>
          <w:tcPr>
            <w:tcW w:w="244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w:t>
            </w:r>
          </w:p>
        </w:tc>
      </w:tr>
      <w:tr w:rsidR="00000000">
        <w:tblPrEx>
          <w:tblCellMar>
            <w:top w:w="0" w:type="dxa"/>
            <w:bottom w:w="0" w:type="dxa"/>
          </w:tblCellMar>
        </w:tblPrEx>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财务主任</w:t>
            </w:r>
          </w:p>
        </w:tc>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c>
          <w:tcPr>
            <w:tcW w:w="2441"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w:t>
            </w:r>
          </w:p>
        </w:tc>
      </w:tr>
      <w:tr w:rsidR="00000000">
        <w:tblPrEx>
          <w:tblCellMar>
            <w:top w:w="0" w:type="dxa"/>
            <w:bottom w:w="0" w:type="dxa"/>
          </w:tblCellMar>
        </w:tblPrEx>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left"/>
              <w:rPr>
                <w:rFonts w:eastAsia="KaiTi_GB2312" w:hint="eastAsia"/>
                <w:color w:val="0000FF"/>
                <w:sz w:val="14"/>
              </w:rPr>
            </w:pPr>
            <w:r>
              <w:rPr>
                <w:rFonts w:eastAsia="KaiTi_GB2312" w:hint="eastAsia"/>
                <w:color w:val="0000FF"/>
                <w:sz w:val="14"/>
              </w:rPr>
              <w:t>助理工作人员</w:t>
            </w:r>
          </w:p>
        </w:tc>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eastAsia="KaiTi_GB2312" w:hint="eastAsia"/>
                <w:color w:val="0000FF"/>
                <w:sz w:val="14"/>
              </w:rPr>
            </w:pPr>
            <w:r>
              <w:rPr>
                <w:rFonts w:eastAsia="KaiTi_GB2312" w:hint="eastAsia"/>
                <w:color w:val="0000FF"/>
                <w:sz w:val="14"/>
              </w:rPr>
              <w:t>预定员额</w:t>
            </w:r>
          </w:p>
        </w:tc>
        <w:tc>
          <w:tcPr>
            <w:tcW w:w="2441"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eastAsia="KaiTi_GB2312" w:hint="eastAsia"/>
                <w:color w:val="0000FF"/>
                <w:sz w:val="14"/>
              </w:rPr>
              <w:t>现有员额</w:t>
            </w:r>
          </w:p>
        </w:tc>
      </w:tr>
      <w:tr w:rsidR="00000000">
        <w:tblPrEx>
          <w:tblCellMar>
            <w:top w:w="0" w:type="dxa"/>
            <w:bottom w:w="0" w:type="dxa"/>
          </w:tblCellMar>
        </w:tblPrEx>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话务员/接待员</w:t>
            </w:r>
          </w:p>
        </w:tc>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c>
          <w:tcPr>
            <w:tcW w:w="244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行政助理</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2</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司机</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c>
          <w:tcPr>
            <w:tcW w:w="2441"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r>
      <w:tr w:rsidR="00000000">
        <w:tblPrEx>
          <w:tblCellMar>
            <w:top w:w="0" w:type="dxa"/>
            <w:bottom w:w="0" w:type="dxa"/>
          </w:tblCellMar>
        </w:tblPrEx>
        <w:tc>
          <w:tcPr>
            <w:tcW w:w="2440" w:type="dxa"/>
            <w:tcBorders>
              <w:bottom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hint="eastAsia"/>
                <w:sz w:val="17"/>
              </w:rPr>
            </w:pPr>
            <w:r>
              <w:rPr>
                <w:rFonts w:hint="eastAsia"/>
                <w:sz w:val="17"/>
              </w:rPr>
              <w:t>一般事务助理</w:t>
            </w:r>
          </w:p>
        </w:tc>
        <w:tc>
          <w:tcPr>
            <w:tcW w:w="2440" w:type="dxa"/>
            <w:tcBorders>
              <w:bottom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2</w:t>
            </w:r>
          </w:p>
        </w:tc>
        <w:tc>
          <w:tcPr>
            <w:tcW w:w="2441" w:type="dxa"/>
            <w:tcBorders>
              <w:bottom w:val="single" w:sz="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hint="eastAsia"/>
                <w:sz w:val="17"/>
              </w:rPr>
            </w:pPr>
            <w:r>
              <w:rPr>
                <w:rFonts w:hint="eastAsia"/>
                <w:sz w:val="17"/>
              </w:rPr>
              <w:t>1</w:t>
            </w:r>
          </w:p>
        </w:tc>
      </w:tr>
      <w:tr w:rsidR="00000000">
        <w:tblPrEx>
          <w:tblCellMar>
            <w:top w:w="0" w:type="dxa"/>
            <w:bottom w:w="0" w:type="dxa"/>
          </w:tblCellMar>
        </w:tblPrEx>
        <w:tc>
          <w:tcPr>
            <w:tcW w:w="2440"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rPr>
                <w:rFonts w:eastAsia="SimHei" w:hint="eastAsia"/>
                <w:b/>
                <w:color w:val="FF0000"/>
                <w:sz w:val="17"/>
              </w:rPr>
            </w:pPr>
            <w:r>
              <w:rPr>
                <w:rFonts w:eastAsia="SimHei"/>
                <w:b/>
                <w:color w:val="FF0000"/>
                <w:sz w:val="17"/>
              </w:rPr>
              <w:tab/>
            </w:r>
            <w:r>
              <w:rPr>
                <w:rFonts w:eastAsia="SimHei" w:hint="eastAsia"/>
                <w:b/>
                <w:color w:val="FF0000"/>
                <w:sz w:val="17"/>
              </w:rPr>
              <w:t>共计</w:t>
            </w:r>
          </w:p>
        </w:tc>
        <w:tc>
          <w:tcPr>
            <w:tcW w:w="2440"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eastAsia="SimHei" w:hint="eastAsia"/>
                <w:b/>
                <w:color w:val="FF0000"/>
                <w:sz w:val="17"/>
              </w:rPr>
            </w:pPr>
            <w:r>
              <w:rPr>
                <w:rFonts w:eastAsia="SimHei" w:hint="eastAsia"/>
                <w:b/>
                <w:color w:val="FF0000"/>
                <w:sz w:val="17"/>
              </w:rPr>
              <w:t>21</w:t>
            </w:r>
          </w:p>
        </w:tc>
        <w:tc>
          <w:tcPr>
            <w:tcW w:w="2441"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20" w:after="40" w:line="240" w:lineRule="exact"/>
              <w:ind w:left="0" w:right="40"/>
              <w:jc w:val="right"/>
              <w:rPr>
                <w:rFonts w:eastAsia="SimHei" w:hint="eastAsia"/>
                <w:b/>
                <w:color w:val="FF0000"/>
                <w:sz w:val="17"/>
              </w:rPr>
            </w:pPr>
            <w:r>
              <w:rPr>
                <w:rFonts w:eastAsia="SimHei" w:hint="eastAsia"/>
                <w:b/>
                <w:color w:val="FF0000"/>
                <w:sz w:val="17"/>
              </w:rPr>
              <w:t>9</w:t>
            </w:r>
          </w:p>
        </w:tc>
      </w:tr>
    </w:tbl>
    <w:p w:rsidR="00000000" w:rsidRDefault="00000000">
      <w:pPr>
        <w:pStyle w:val="SingleTxt"/>
        <w:rPr>
          <w:rFonts w:hint="eastAsia"/>
          <w:sz w:val="18"/>
        </w:rPr>
      </w:pPr>
      <w:r>
        <w:rPr>
          <w:rFonts w:ascii="KaiTi_GB2312" w:eastAsia="KaiTi_GB2312" w:hint="eastAsia"/>
          <w:color w:val="0000FF"/>
          <w:sz w:val="18"/>
        </w:rPr>
        <w:t>资料来源</w:t>
      </w:r>
      <w:r>
        <w:rPr>
          <w:rFonts w:hint="eastAsia"/>
          <w:sz w:val="18"/>
        </w:rPr>
        <w:t>：8月25日第5/2003号实施法令。</w:t>
      </w:r>
    </w:p>
    <w:p w:rsidR="00000000" w:rsidRDefault="00000000">
      <w:pPr>
        <w:pStyle w:val="SingleTxt"/>
        <w:rPr>
          <w:rFonts w:hint="eastAsia"/>
        </w:rPr>
      </w:pPr>
      <w:r>
        <w:rPr>
          <w:rFonts w:hint="eastAsia"/>
        </w:rPr>
        <w:tab/>
        <w:t>关于研究所业务的财政资源及项目资金，见下表：</w:t>
      </w:r>
    </w:p>
    <w:tbl>
      <w:tblPr>
        <w:tblW w:w="0" w:type="auto"/>
        <w:tblInd w:w="1268" w:type="dxa"/>
        <w:tblLayout w:type="fixed"/>
        <w:tblCellMar>
          <w:left w:w="0" w:type="dxa"/>
          <w:right w:w="0" w:type="dxa"/>
        </w:tblCellMar>
        <w:tblLook w:val="0000" w:firstRow="0" w:lastRow="0" w:firstColumn="0" w:lastColumn="0" w:noHBand="0" w:noVBand="0"/>
      </w:tblPr>
      <w:tblGrid>
        <w:gridCol w:w="1365"/>
        <w:gridCol w:w="1985"/>
        <w:gridCol w:w="2005"/>
        <w:gridCol w:w="1966"/>
      </w:tblGrid>
      <w:tr w:rsidR="00000000">
        <w:tblPrEx>
          <w:tblCellMar>
            <w:top w:w="0" w:type="dxa"/>
            <w:bottom w:w="0" w:type="dxa"/>
          </w:tblCellMar>
        </w:tblPrEx>
        <w:trPr>
          <w:cantSplit/>
          <w:tblHeader/>
        </w:trPr>
        <w:tc>
          <w:tcPr>
            <w:tcW w:w="7321" w:type="dxa"/>
            <w:gridSpan w:val="4"/>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center"/>
              <w:rPr>
                <w:rFonts w:eastAsia="KaiTi_GB2312" w:hint="eastAsia"/>
                <w:color w:val="0000FF"/>
                <w:sz w:val="14"/>
              </w:rPr>
            </w:pPr>
            <w:r>
              <w:rPr>
                <w:rFonts w:eastAsia="KaiTi_GB2312" w:hint="eastAsia"/>
                <w:color w:val="0000FF"/>
                <w:sz w:val="14"/>
              </w:rPr>
              <w:t>研究所业务预算和投资方案预算，</w:t>
            </w:r>
            <w:r>
              <w:rPr>
                <w:rFonts w:eastAsia="KaiTi_GB2312" w:hint="eastAsia"/>
                <w:color w:val="0000FF"/>
                <w:sz w:val="14"/>
              </w:rPr>
              <w:t>1994/2005</w:t>
            </w:r>
            <w:r>
              <w:rPr>
                <w:rFonts w:eastAsia="KaiTi_GB2312" w:hint="eastAsia"/>
                <w:color w:val="0000FF"/>
                <w:sz w:val="14"/>
              </w:rPr>
              <w:t>年</w:t>
            </w:r>
          </w:p>
        </w:tc>
      </w:tr>
      <w:tr w:rsidR="00000000">
        <w:tblPrEx>
          <w:tblCellMar>
            <w:top w:w="0" w:type="dxa"/>
            <w:bottom w:w="0" w:type="dxa"/>
          </w:tblCellMar>
        </w:tblPrEx>
        <w:trPr>
          <w:cantSplit/>
          <w:tblHeader/>
        </w:trPr>
        <w:tc>
          <w:tcPr>
            <w:tcW w:w="1365"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left"/>
              <w:rPr>
                <w:rFonts w:eastAsia="KaiTi_GB2312" w:hint="eastAsia"/>
                <w:color w:val="0000FF"/>
                <w:sz w:val="14"/>
              </w:rPr>
            </w:pPr>
            <w:r>
              <w:rPr>
                <w:rFonts w:eastAsia="KaiTi_GB2312" w:hint="eastAsia"/>
                <w:color w:val="0000FF"/>
                <w:sz w:val="14"/>
              </w:rPr>
              <w:t>年度</w:t>
            </w:r>
          </w:p>
        </w:tc>
        <w:tc>
          <w:tcPr>
            <w:tcW w:w="1985"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color w:val="0000FF"/>
                <w:sz w:val="14"/>
              </w:rPr>
            </w:pPr>
            <w:r>
              <w:rPr>
                <w:rFonts w:eastAsia="KaiTi_GB2312" w:hint="eastAsia"/>
                <w:color w:val="0000FF"/>
                <w:sz w:val="14"/>
              </w:rPr>
              <w:t>国家预算（美元价格）</w:t>
            </w:r>
            <w:r>
              <w:rPr>
                <w:rStyle w:val="EndnoteReference"/>
                <w:sz w:val="18"/>
              </w:rPr>
              <w:t>*</w:t>
            </w:r>
          </w:p>
        </w:tc>
        <w:tc>
          <w:tcPr>
            <w:tcW w:w="2005"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color w:val="0000FF"/>
                <w:sz w:val="14"/>
              </w:rPr>
            </w:pPr>
            <w:r>
              <w:rPr>
                <w:rFonts w:eastAsia="KaiTi_GB2312" w:hint="eastAsia"/>
                <w:color w:val="0000FF"/>
                <w:sz w:val="14"/>
              </w:rPr>
              <w:t>投资预算（美元价格）</w:t>
            </w:r>
            <w:r>
              <w:rPr>
                <w:rStyle w:val="EndnoteReference"/>
                <w:sz w:val="18"/>
              </w:rPr>
              <w:t>**</w:t>
            </w:r>
          </w:p>
        </w:tc>
        <w:tc>
          <w:tcPr>
            <w:tcW w:w="1966"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40" w:lineRule="exact"/>
              <w:ind w:left="0" w:right="40"/>
              <w:jc w:val="right"/>
              <w:rPr>
                <w:rFonts w:eastAsia="KaiTi_GB2312" w:hint="eastAsia"/>
                <w:color w:val="0000FF"/>
                <w:sz w:val="14"/>
              </w:rPr>
            </w:pPr>
            <w:r>
              <w:rPr>
                <w:rFonts w:eastAsia="KaiTi_GB2312" w:hint="eastAsia"/>
                <w:color w:val="0000FF"/>
                <w:sz w:val="14"/>
              </w:rPr>
              <w:t>美元总价格</w:t>
            </w:r>
          </w:p>
        </w:tc>
      </w:tr>
      <w:tr w:rsidR="00000000">
        <w:tblPrEx>
          <w:tblCellMar>
            <w:top w:w="0" w:type="dxa"/>
            <w:bottom w:w="0" w:type="dxa"/>
          </w:tblCellMar>
        </w:tblPrEx>
        <w:trPr>
          <w:cantSplit/>
          <w:trHeight w:hRule="exact" w:val="115"/>
          <w:tblHeader/>
        </w:trPr>
        <w:tc>
          <w:tcPr>
            <w:tcW w:w="136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198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200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c>
          <w:tcPr>
            <w:tcW w:w="196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hint="eastAsia"/>
                <w:sz w:val="17"/>
              </w:rPr>
            </w:pP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1994</w:t>
            </w:r>
          </w:p>
        </w:tc>
        <w:tc>
          <w:tcPr>
            <w:tcW w:w="1985" w:type="dxa"/>
          </w:tcPr>
          <w:p w:rsidR="00000000" w:rsidRDefault="00000000">
            <w:pPr>
              <w:spacing w:before="40" w:after="40" w:line="240" w:lineRule="exact"/>
              <w:jc w:val="right"/>
              <w:rPr>
                <w:sz w:val="17"/>
              </w:rPr>
            </w:pPr>
            <w:r>
              <w:rPr>
                <w:sz w:val="17"/>
              </w:rPr>
              <w:t>6 160 000.00</w:t>
            </w:r>
          </w:p>
        </w:tc>
        <w:tc>
          <w:tcPr>
            <w:tcW w:w="2005" w:type="dxa"/>
          </w:tcPr>
          <w:p w:rsidR="00000000" w:rsidRDefault="00000000">
            <w:pPr>
              <w:spacing w:before="40" w:after="40" w:line="240" w:lineRule="exact"/>
              <w:jc w:val="right"/>
              <w:rPr>
                <w:sz w:val="17"/>
              </w:rPr>
            </w:pPr>
            <w:r>
              <w:rPr>
                <w:sz w:val="17"/>
              </w:rPr>
              <w:t>-</w:t>
            </w:r>
          </w:p>
        </w:tc>
        <w:tc>
          <w:tcPr>
            <w:tcW w:w="1966" w:type="dxa"/>
          </w:tcPr>
          <w:p w:rsidR="00000000" w:rsidRDefault="00000000">
            <w:pPr>
              <w:spacing w:before="40" w:after="40" w:line="240" w:lineRule="exact"/>
              <w:jc w:val="right"/>
              <w:rPr>
                <w:sz w:val="17"/>
              </w:rPr>
            </w:pPr>
            <w:r>
              <w:rPr>
                <w:sz w:val="17"/>
              </w:rPr>
              <w:t>6 160 000.00</w:t>
            </w: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1995</w:t>
            </w:r>
          </w:p>
        </w:tc>
        <w:tc>
          <w:tcPr>
            <w:tcW w:w="1985" w:type="dxa"/>
          </w:tcPr>
          <w:p w:rsidR="00000000" w:rsidRDefault="00000000">
            <w:pPr>
              <w:spacing w:before="40" w:after="40" w:line="240" w:lineRule="exact"/>
              <w:jc w:val="right"/>
              <w:rPr>
                <w:sz w:val="17"/>
              </w:rPr>
            </w:pPr>
            <w:r>
              <w:rPr>
                <w:sz w:val="17"/>
              </w:rPr>
              <w:t>6 160 000.00</w:t>
            </w:r>
          </w:p>
        </w:tc>
        <w:tc>
          <w:tcPr>
            <w:tcW w:w="2005" w:type="dxa"/>
          </w:tcPr>
          <w:p w:rsidR="00000000" w:rsidRDefault="00000000">
            <w:pPr>
              <w:spacing w:before="40" w:after="40" w:line="240" w:lineRule="exact"/>
              <w:jc w:val="right"/>
              <w:rPr>
                <w:sz w:val="17"/>
              </w:rPr>
            </w:pPr>
            <w:r>
              <w:rPr>
                <w:sz w:val="17"/>
              </w:rPr>
              <w:t>18 166 582.00</w:t>
            </w:r>
          </w:p>
        </w:tc>
        <w:tc>
          <w:tcPr>
            <w:tcW w:w="1966" w:type="dxa"/>
          </w:tcPr>
          <w:p w:rsidR="00000000" w:rsidRDefault="00000000">
            <w:pPr>
              <w:spacing w:before="40" w:after="40" w:line="240" w:lineRule="exact"/>
              <w:jc w:val="right"/>
              <w:rPr>
                <w:sz w:val="17"/>
              </w:rPr>
            </w:pPr>
            <w:r>
              <w:rPr>
                <w:sz w:val="17"/>
              </w:rPr>
              <w:t>24 326 582.00</w:t>
            </w: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1996</w:t>
            </w:r>
          </w:p>
        </w:tc>
        <w:tc>
          <w:tcPr>
            <w:tcW w:w="1985" w:type="dxa"/>
          </w:tcPr>
          <w:p w:rsidR="00000000" w:rsidRDefault="00000000">
            <w:pPr>
              <w:tabs>
                <w:tab w:val="left" w:pos="465"/>
                <w:tab w:val="center" w:pos="1103"/>
              </w:tabs>
              <w:spacing w:before="40" w:after="40" w:line="240" w:lineRule="exact"/>
              <w:jc w:val="right"/>
              <w:rPr>
                <w:sz w:val="17"/>
              </w:rPr>
            </w:pPr>
            <w:r>
              <w:rPr>
                <w:sz w:val="17"/>
              </w:rPr>
              <w:t>9 162 560.00</w:t>
            </w:r>
          </w:p>
        </w:tc>
        <w:tc>
          <w:tcPr>
            <w:tcW w:w="2005" w:type="dxa"/>
          </w:tcPr>
          <w:p w:rsidR="00000000" w:rsidRDefault="00000000">
            <w:pPr>
              <w:spacing w:before="40" w:after="40" w:line="240" w:lineRule="exact"/>
              <w:jc w:val="right"/>
              <w:rPr>
                <w:sz w:val="17"/>
              </w:rPr>
            </w:pPr>
            <w:r>
              <w:rPr>
                <w:sz w:val="17"/>
              </w:rPr>
              <w:t>8 251 701.00</w:t>
            </w:r>
          </w:p>
        </w:tc>
        <w:tc>
          <w:tcPr>
            <w:tcW w:w="1966" w:type="dxa"/>
          </w:tcPr>
          <w:p w:rsidR="00000000" w:rsidRDefault="00000000">
            <w:pPr>
              <w:spacing w:before="40" w:after="40" w:line="240" w:lineRule="exact"/>
              <w:jc w:val="right"/>
              <w:rPr>
                <w:sz w:val="17"/>
              </w:rPr>
            </w:pPr>
            <w:r>
              <w:rPr>
                <w:sz w:val="17"/>
              </w:rPr>
              <w:t>17 414 261.00</w:t>
            </w: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1997</w:t>
            </w:r>
          </w:p>
        </w:tc>
        <w:tc>
          <w:tcPr>
            <w:tcW w:w="1985" w:type="dxa"/>
          </w:tcPr>
          <w:p w:rsidR="00000000" w:rsidRDefault="00000000">
            <w:pPr>
              <w:spacing w:before="40" w:after="40" w:line="240" w:lineRule="exact"/>
              <w:jc w:val="right"/>
              <w:rPr>
                <w:sz w:val="17"/>
              </w:rPr>
            </w:pPr>
            <w:r>
              <w:rPr>
                <w:sz w:val="17"/>
              </w:rPr>
              <w:t>8 272 000.00</w:t>
            </w:r>
          </w:p>
        </w:tc>
        <w:tc>
          <w:tcPr>
            <w:tcW w:w="2005" w:type="dxa"/>
          </w:tcPr>
          <w:p w:rsidR="00000000" w:rsidRDefault="00000000">
            <w:pPr>
              <w:spacing w:before="40" w:after="40" w:line="240" w:lineRule="exact"/>
              <w:jc w:val="right"/>
              <w:rPr>
                <w:sz w:val="17"/>
              </w:rPr>
            </w:pPr>
            <w:r>
              <w:rPr>
                <w:sz w:val="17"/>
              </w:rPr>
              <w:t>2 710 487.00</w:t>
            </w:r>
          </w:p>
        </w:tc>
        <w:tc>
          <w:tcPr>
            <w:tcW w:w="1966" w:type="dxa"/>
          </w:tcPr>
          <w:p w:rsidR="00000000" w:rsidRDefault="00000000">
            <w:pPr>
              <w:spacing w:before="40" w:after="40" w:line="240" w:lineRule="exact"/>
              <w:jc w:val="right"/>
              <w:rPr>
                <w:sz w:val="17"/>
              </w:rPr>
            </w:pPr>
            <w:r>
              <w:rPr>
                <w:sz w:val="17"/>
              </w:rPr>
              <w:t>10 982 487.00</w:t>
            </w: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1998</w:t>
            </w:r>
          </w:p>
        </w:tc>
        <w:tc>
          <w:tcPr>
            <w:tcW w:w="1985" w:type="dxa"/>
          </w:tcPr>
          <w:p w:rsidR="00000000" w:rsidRDefault="00000000">
            <w:pPr>
              <w:spacing w:before="40" w:after="40" w:line="240" w:lineRule="exact"/>
              <w:jc w:val="right"/>
              <w:rPr>
                <w:sz w:val="17"/>
              </w:rPr>
            </w:pPr>
            <w:r>
              <w:rPr>
                <w:sz w:val="17"/>
              </w:rPr>
              <w:t>7 080 480.00</w:t>
            </w:r>
          </w:p>
        </w:tc>
        <w:tc>
          <w:tcPr>
            <w:tcW w:w="2005" w:type="dxa"/>
          </w:tcPr>
          <w:p w:rsidR="00000000" w:rsidRDefault="00000000">
            <w:pPr>
              <w:spacing w:before="40" w:after="40" w:line="240" w:lineRule="exact"/>
              <w:jc w:val="right"/>
              <w:rPr>
                <w:sz w:val="17"/>
              </w:rPr>
            </w:pPr>
            <w:r>
              <w:rPr>
                <w:sz w:val="17"/>
              </w:rPr>
              <w:t>10 503 618.00</w:t>
            </w:r>
          </w:p>
        </w:tc>
        <w:tc>
          <w:tcPr>
            <w:tcW w:w="1966" w:type="dxa"/>
          </w:tcPr>
          <w:p w:rsidR="00000000" w:rsidRDefault="00000000">
            <w:pPr>
              <w:spacing w:before="40" w:after="40" w:line="240" w:lineRule="exact"/>
              <w:jc w:val="right"/>
              <w:rPr>
                <w:sz w:val="17"/>
              </w:rPr>
            </w:pPr>
            <w:r>
              <w:rPr>
                <w:sz w:val="17"/>
              </w:rPr>
              <w:t>17 584 098.00</w:t>
            </w: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1999</w:t>
            </w:r>
          </w:p>
        </w:tc>
        <w:tc>
          <w:tcPr>
            <w:tcW w:w="1985" w:type="dxa"/>
          </w:tcPr>
          <w:p w:rsidR="00000000" w:rsidRDefault="00000000">
            <w:pPr>
              <w:spacing w:before="40" w:after="40" w:line="240" w:lineRule="exact"/>
              <w:jc w:val="right"/>
              <w:rPr>
                <w:sz w:val="17"/>
              </w:rPr>
            </w:pPr>
            <w:r>
              <w:rPr>
                <w:sz w:val="17"/>
              </w:rPr>
              <w:t>7 080 480.00</w:t>
            </w:r>
          </w:p>
        </w:tc>
        <w:tc>
          <w:tcPr>
            <w:tcW w:w="2005" w:type="dxa"/>
          </w:tcPr>
          <w:p w:rsidR="00000000" w:rsidRDefault="00000000">
            <w:pPr>
              <w:spacing w:before="40" w:after="40" w:line="240" w:lineRule="exact"/>
              <w:jc w:val="right"/>
              <w:rPr>
                <w:sz w:val="17"/>
              </w:rPr>
            </w:pPr>
            <w:r>
              <w:rPr>
                <w:sz w:val="17"/>
              </w:rPr>
              <w:t>19 750 489.00</w:t>
            </w:r>
          </w:p>
        </w:tc>
        <w:tc>
          <w:tcPr>
            <w:tcW w:w="1966" w:type="dxa"/>
          </w:tcPr>
          <w:p w:rsidR="00000000" w:rsidRDefault="00000000">
            <w:pPr>
              <w:spacing w:before="40" w:after="40" w:line="240" w:lineRule="exact"/>
              <w:jc w:val="right"/>
              <w:rPr>
                <w:sz w:val="17"/>
              </w:rPr>
            </w:pPr>
            <w:r>
              <w:rPr>
                <w:sz w:val="17"/>
              </w:rPr>
              <w:t>26 830 969.00</w:t>
            </w: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2000</w:t>
            </w:r>
          </w:p>
        </w:tc>
        <w:tc>
          <w:tcPr>
            <w:tcW w:w="1985" w:type="dxa"/>
          </w:tcPr>
          <w:p w:rsidR="00000000" w:rsidRDefault="00000000">
            <w:pPr>
              <w:spacing w:before="40" w:after="40" w:line="240" w:lineRule="exact"/>
              <w:jc w:val="right"/>
              <w:rPr>
                <w:sz w:val="17"/>
              </w:rPr>
            </w:pPr>
            <w:r>
              <w:rPr>
                <w:sz w:val="17"/>
              </w:rPr>
              <w:t>9 030 912.00</w:t>
            </w:r>
          </w:p>
        </w:tc>
        <w:tc>
          <w:tcPr>
            <w:tcW w:w="2005" w:type="dxa"/>
          </w:tcPr>
          <w:p w:rsidR="00000000" w:rsidRDefault="00000000">
            <w:pPr>
              <w:spacing w:before="40" w:after="40" w:line="240" w:lineRule="exact"/>
              <w:jc w:val="right"/>
              <w:rPr>
                <w:sz w:val="17"/>
              </w:rPr>
            </w:pPr>
            <w:r>
              <w:rPr>
                <w:sz w:val="17"/>
              </w:rPr>
              <w:t>9 405 519.00</w:t>
            </w:r>
          </w:p>
        </w:tc>
        <w:tc>
          <w:tcPr>
            <w:tcW w:w="1966" w:type="dxa"/>
          </w:tcPr>
          <w:p w:rsidR="00000000" w:rsidRDefault="00000000">
            <w:pPr>
              <w:spacing w:before="40" w:after="40" w:line="240" w:lineRule="exact"/>
              <w:jc w:val="right"/>
              <w:rPr>
                <w:sz w:val="17"/>
              </w:rPr>
            </w:pPr>
            <w:r>
              <w:rPr>
                <w:sz w:val="17"/>
              </w:rPr>
              <w:t>18 436 431.00</w:t>
            </w: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2001</w:t>
            </w:r>
          </w:p>
        </w:tc>
        <w:tc>
          <w:tcPr>
            <w:tcW w:w="1985" w:type="dxa"/>
          </w:tcPr>
          <w:p w:rsidR="00000000" w:rsidRDefault="00000000">
            <w:pPr>
              <w:spacing w:before="40" w:after="40" w:line="240" w:lineRule="exact"/>
              <w:jc w:val="right"/>
              <w:rPr>
                <w:sz w:val="17"/>
              </w:rPr>
            </w:pPr>
            <w:r>
              <w:rPr>
                <w:sz w:val="17"/>
              </w:rPr>
              <w:t>8 829 546.00</w:t>
            </w:r>
          </w:p>
        </w:tc>
        <w:tc>
          <w:tcPr>
            <w:tcW w:w="2005" w:type="dxa"/>
          </w:tcPr>
          <w:p w:rsidR="00000000" w:rsidRDefault="00000000">
            <w:pPr>
              <w:spacing w:before="40" w:after="40" w:line="240" w:lineRule="exact"/>
              <w:jc w:val="right"/>
              <w:rPr>
                <w:sz w:val="17"/>
              </w:rPr>
            </w:pPr>
            <w:r>
              <w:rPr>
                <w:sz w:val="17"/>
              </w:rPr>
              <w:t>7 168 934.00</w:t>
            </w:r>
          </w:p>
        </w:tc>
        <w:tc>
          <w:tcPr>
            <w:tcW w:w="1966" w:type="dxa"/>
          </w:tcPr>
          <w:p w:rsidR="00000000" w:rsidRDefault="00000000">
            <w:pPr>
              <w:spacing w:before="40" w:after="40" w:line="240" w:lineRule="exact"/>
              <w:jc w:val="right"/>
              <w:rPr>
                <w:sz w:val="17"/>
              </w:rPr>
            </w:pPr>
            <w:r>
              <w:rPr>
                <w:sz w:val="17"/>
              </w:rPr>
              <w:t>15 998 480.00</w:t>
            </w: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2002</w:t>
            </w:r>
          </w:p>
        </w:tc>
        <w:tc>
          <w:tcPr>
            <w:tcW w:w="1985" w:type="dxa"/>
          </w:tcPr>
          <w:p w:rsidR="00000000" w:rsidRDefault="00000000">
            <w:pPr>
              <w:spacing w:before="40" w:after="40" w:line="240" w:lineRule="exact"/>
              <w:jc w:val="right"/>
              <w:rPr>
                <w:sz w:val="17"/>
              </w:rPr>
            </w:pPr>
            <w:r>
              <w:rPr>
                <w:sz w:val="17"/>
              </w:rPr>
              <w:t>8 218 072.00</w:t>
            </w:r>
          </w:p>
        </w:tc>
        <w:tc>
          <w:tcPr>
            <w:tcW w:w="2005" w:type="dxa"/>
          </w:tcPr>
          <w:p w:rsidR="00000000" w:rsidRDefault="00000000">
            <w:pPr>
              <w:spacing w:before="40" w:after="40" w:line="240" w:lineRule="exact"/>
              <w:jc w:val="right"/>
              <w:rPr>
                <w:sz w:val="17"/>
              </w:rPr>
            </w:pPr>
            <w:r>
              <w:rPr>
                <w:sz w:val="17"/>
              </w:rPr>
              <w:t>5 257 032.00</w:t>
            </w:r>
          </w:p>
        </w:tc>
        <w:tc>
          <w:tcPr>
            <w:tcW w:w="1966" w:type="dxa"/>
          </w:tcPr>
          <w:p w:rsidR="00000000" w:rsidRDefault="00000000">
            <w:pPr>
              <w:spacing w:before="40" w:after="40" w:line="240" w:lineRule="exact"/>
              <w:jc w:val="right"/>
              <w:rPr>
                <w:sz w:val="17"/>
              </w:rPr>
            </w:pPr>
            <w:r>
              <w:rPr>
                <w:sz w:val="17"/>
              </w:rPr>
              <w:t>13 475 104.00</w:t>
            </w: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2003</w:t>
            </w:r>
          </w:p>
        </w:tc>
        <w:tc>
          <w:tcPr>
            <w:tcW w:w="1985" w:type="dxa"/>
          </w:tcPr>
          <w:p w:rsidR="00000000" w:rsidRDefault="00000000">
            <w:pPr>
              <w:spacing w:before="40" w:after="40" w:line="240" w:lineRule="exact"/>
              <w:jc w:val="right"/>
              <w:rPr>
                <w:sz w:val="17"/>
              </w:rPr>
            </w:pPr>
            <w:r>
              <w:rPr>
                <w:sz w:val="17"/>
              </w:rPr>
              <w:t>9 705 463.00</w:t>
            </w:r>
          </w:p>
        </w:tc>
        <w:tc>
          <w:tcPr>
            <w:tcW w:w="2005" w:type="dxa"/>
          </w:tcPr>
          <w:p w:rsidR="00000000" w:rsidRDefault="00000000">
            <w:pPr>
              <w:spacing w:before="40" w:after="40" w:line="240" w:lineRule="exact"/>
              <w:jc w:val="right"/>
              <w:rPr>
                <w:sz w:val="17"/>
              </w:rPr>
            </w:pPr>
            <w:r>
              <w:rPr>
                <w:sz w:val="17"/>
              </w:rPr>
              <w:t>3 602 143.00</w:t>
            </w:r>
          </w:p>
        </w:tc>
        <w:tc>
          <w:tcPr>
            <w:tcW w:w="1966" w:type="dxa"/>
          </w:tcPr>
          <w:p w:rsidR="00000000" w:rsidRDefault="00000000">
            <w:pPr>
              <w:spacing w:before="40" w:after="40" w:line="240" w:lineRule="exact"/>
              <w:jc w:val="right"/>
              <w:rPr>
                <w:sz w:val="17"/>
              </w:rPr>
            </w:pPr>
            <w:r>
              <w:rPr>
                <w:sz w:val="17"/>
              </w:rPr>
              <w:t>13 307 606.00</w:t>
            </w: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2004</w:t>
            </w:r>
          </w:p>
        </w:tc>
        <w:tc>
          <w:tcPr>
            <w:tcW w:w="1985" w:type="dxa"/>
          </w:tcPr>
          <w:p w:rsidR="00000000" w:rsidRDefault="00000000">
            <w:pPr>
              <w:spacing w:before="40" w:after="40" w:line="240" w:lineRule="exact"/>
              <w:jc w:val="right"/>
              <w:rPr>
                <w:sz w:val="17"/>
              </w:rPr>
            </w:pPr>
            <w:r>
              <w:rPr>
                <w:sz w:val="17"/>
              </w:rPr>
              <w:t>8 342 823.00</w:t>
            </w:r>
          </w:p>
        </w:tc>
        <w:tc>
          <w:tcPr>
            <w:tcW w:w="2005" w:type="dxa"/>
          </w:tcPr>
          <w:p w:rsidR="00000000" w:rsidRDefault="00000000">
            <w:pPr>
              <w:spacing w:before="40" w:after="40" w:line="240" w:lineRule="exact"/>
              <w:jc w:val="right"/>
              <w:rPr>
                <w:sz w:val="17"/>
              </w:rPr>
            </w:pPr>
            <w:r>
              <w:rPr>
                <w:sz w:val="17"/>
              </w:rPr>
              <w:t>3 863 970.00</w:t>
            </w:r>
          </w:p>
        </w:tc>
        <w:tc>
          <w:tcPr>
            <w:tcW w:w="1966" w:type="dxa"/>
          </w:tcPr>
          <w:p w:rsidR="00000000" w:rsidRDefault="00000000">
            <w:pPr>
              <w:spacing w:before="40" w:after="40" w:line="240" w:lineRule="exact"/>
              <w:jc w:val="right"/>
              <w:rPr>
                <w:sz w:val="17"/>
              </w:rPr>
            </w:pPr>
            <w:r>
              <w:rPr>
                <w:sz w:val="17"/>
              </w:rPr>
              <w:t>12 206 793.00</w:t>
            </w:r>
          </w:p>
        </w:tc>
      </w:tr>
      <w:tr w:rsidR="00000000">
        <w:tblPrEx>
          <w:tblCellMar>
            <w:top w:w="0" w:type="dxa"/>
            <w:bottom w:w="0" w:type="dxa"/>
          </w:tblCellMar>
        </w:tblPrEx>
        <w:trPr>
          <w:cantSplit/>
        </w:trPr>
        <w:tc>
          <w:tcPr>
            <w:tcW w:w="1365"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sz w:val="17"/>
              </w:rPr>
            </w:pPr>
            <w:r>
              <w:rPr>
                <w:sz w:val="17"/>
              </w:rPr>
              <w:t>2005</w:t>
            </w:r>
          </w:p>
        </w:tc>
        <w:tc>
          <w:tcPr>
            <w:tcW w:w="1985" w:type="dxa"/>
          </w:tcPr>
          <w:p w:rsidR="00000000" w:rsidRDefault="00000000">
            <w:pPr>
              <w:spacing w:before="40" w:after="40" w:line="240" w:lineRule="exact"/>
              <w:jc w:val="right"/>
              <w:rPr>
                <w:sz w:val="17"/>
              </w:rPr>
            </w:pPr>
            <w:r>
              <w:rPr>
                <w:sz w:val="17"/>
              </w:rPr>
              <w:t>8 752 459.00</w:t>
            </w:r>
          </w:p>
        </w:tc>
        <w:tc>
          <w:tcPr>
            <w:tcW w:w="2005" w:type="dxa"/>
          </w:tcPr>
          <w:p w:rsidR="00000000" w:rsidRDefault="00000000">
            <w:pPr>
              <w:spacing w:before="40" w:after="40" w:line="240" w:lineRule="exact"/>
              <w:jc w:val="right"/>
              <w:rPr>
                <w:sz w:val="17"/>
              </w:rPr>
            </w:pPr>
            <w:r>
              <w:rPr>
                <w:sz w:val="17"/>
              </w:rPr>
              <w:t>6 802 024.00</w:t>
            </w:r>
          </w:p>
        </w:tc>
        <w:tc>
          <w:tcPr>
            <w:tcW w:w="1966" w:type="dxa"/>
          </w:tcPr>
          <w:p w:rsidR="00000000" w:rsidRDefault="00000000">
            <w:pPr>
              <w:spacing w:before="40" w:after="40" w:line="240" w:lineRule="exact"/>
              <w:jc w:val="right"/>
              <w:rPr>
                <w:sz w:val="17"/>
              </w:rPr>
            </w:pPr>
            <w:r>
              <w:rPr>
                <w:sz w:val="17"/>
              </w:rPr>
              <w:t>16 554 483.00</w:t>
            </w:r>
          </w:p>
        </w:tc>
      </w:tr>
      <w:tr w:rsidR="00000000">
        <w:tblPrEx>
          <w:tblCellMar>
            <w:top w:w="0" w:type="dxa"/>
            <w:bottom w:w="0" w:type="dxa"/>
          </w:tblCellMar>
        </w:tblPrEx>
        <w:trPr>
          <w:cantSplit/>
        </w:trPr>
        <w:tc>
          <w:tcPr>
            <w:tcW w:w="136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before="40" w:after="40" w:line="240" w:lineRule="exact"/>
              <w:ind w:left="0" w:right="40"/>
              <w:rPr>
                <w:rFonts w:hint="eastAsia"/>
                <w:sz w:val="17"/>
              </w:rPr>
            </w:pPr>
            <w:r>
              <w:rPr>
                <w:sz w:val="17"/>
              </w:rPr>
              <w:t>2006</w:t>
            </w:r>
            <w:r>
              <w:rPr>
                <w:rStyle w:val="EndnoteReference"/>
                <w:sz w:val="18"/>
              </w:rPr>
              <w:t>***</w:t>
            </w:r>
          </w:p>
        </w:tc>
        <w:tc>
          <w:tcPr>
            <w:tcW w:w="1985" w:type="dxa"/>
            <w:tcBorders>
              <w:bottom w:val="single" w:sz="12" w:space="0" w:color="auto"/>
            </w:tcBorders>
          </w:tcPr>
          <w:p w:rsidR="00000000" w:rsidRDefault="00000000">
            <w:pPr>
              <w:spacing w:before="40" w:after="40" w:line="240" w:lineRule="exact"/>
              <w:jc w:val="right"/>
              <w:rPr>
                <w:sz w:val="17"/>
              </w:rPr>
            </w:pPr>
            <w:r>
              <w:rPr>
                <w:sz w:val="17"/>
              </w:rPr>
              <w:t>9 490 025.00</w:t>
            </w:r>
          </w:p>
        </w:tc>
        <w:tc>
          <w:tcPr>
            <w:tcW w:w="2005" w:type="dxa"/>
            <w:tcBorders>
              <w:bottom w:val="single" w:sz="12" w:space="0" w:color="auto"/>
            </w:tcBorders>
          </w:tcPr>
          <w:p w:rsidR="00000000" w:rsidRDefault="00000000">
            <w:pPr>
              <w:spacing w:before="40" w:after="40" w:line="240" w:lineRule="exact"/>
              <w:jc w:val="right"/>
              <w:rPr>
                <w:sz w:val="17"/>
              </w:rPr>
            </w:pPr>
            <w:r>
              <w:rPr>
                <w:sz w:val="17"/>
              </w:rPr>
              <w:t>27 489 796.00</w:t>
            </w:r>
          </w:p>
        </w:tc>
        <w:tc>
          <w:tcPr>
            <w:tcW w:w="1966" w:type="dxa"/>
            <w:tcBorders>
              <w:bottom w:val="single" w:sz="12" w:space="0" w:color="auto"/>
            </w:tcBorders>
          </w:tcPr>
          <w:p w:rsidR="00000000" w:rsidRDefault="00000000">
            <w:pPr>
              <w:spacing w:before="40" w:after="40" w:line="240" w:lineRule="exact"/>
              <w:jc w:val="right"/>
              <w:rPr>
                <w:sz w:val="17"/>
              </w:rPr>
            </w:pPr>
            <w:r>
              <w:rPr>
                <w:sz w:val="17"/>
              </w:rPr>
              <w:t>36 979 796.00</w:t>
            </w:r>
          </w:p>
        </w:tc>
      </w:tr>
    </w:tbl>
    <w:p w:rsidR="00000000" w:rsidRDefault="00000000">
      <w:pPr>
        <w:pStyle w:val="SingleTxt"/>
        <w:spacing w:after="0" w:line="140" w:lineRule="exact"/>
        <w:rPr>
          <w:rFonts w:hint="eastAsia"/>
          <w:sz w:val="10"/>
        </w:rPr>
      </w:pPr>
    </w:p>
    <w:p w:rsidR="00000000" w:rsidRDefault="00000000">
      <w:pPr>
        <w:pStyle w:val="SingleTxt"/>
        <w:spacing w:after="120" w:line="240" w:lineRule="exact"/>
        <w:rPr>
          <w:rFonts w:hint="eastAsia"/>
          <w:sz w:val="18"/>
        </w:rPr>
      </w:pPr>
      <w:r>
        <w:rPr>
          <w:sz w:val="18"/>
        </w:rPr>
        <w:t>100</w:t>
      </w:r>
      <w:r>
        <w:rPr>
          <w:rFonts w:hint="eastAsia"/>
          <w:sz w:val="18"/>
        </w:rPr>
        <w:t>佛埃＝0.88美元</w:t>
      </w:r>
    </w:p>
    <w:p w:rsidR="00000000" w:rsidRDefault="00000000">
      <w:pPr>
        <w:pStyle w:val="SingleTxt"/>
        <w:spacing w:after="120" w:line="240" w:lineRule="exact"/>
        <w:rPr>
          <w:rFonts w:hint="eastAsia"/>
          <w:sz w:val="18"/>
        </w:rPr>
      </w:pPr>
      <w:r>
        <w:rPr>
          <w:rStyle w:val="EndnoteReference"/>
        </w:rPr>
        <w:t>*</w:t>
      </w:r>
      <w:r>
        <w:rPr>
          <w:rFonts w:ascii="Times New Roman" w:hint="eastAsia"/>
          <w:sz w:val="18"/>
          <w:vertAlign w:val="superscript"/>
        </w:rPr>
        <w:t xml:space="preserve"> </w:t>
      </w:r>
      <w:r>
        <w:rPr>
          <w:sz w:val="18"/>
        </w:rPr>
        <w:t xml:space="preserve"> </w:t>
      </w:r>
      <w:r>
        <w:rPr>
          <w:rFonts w:hint="eastAsia"/>
          <w:sz w:val="18"/>
        </w:rPr>
        <w:t>国家预算：指研究所业务预算，列入国家预算。</w:t>
      </w:r>
    </w:p>
    <w:p w:rsidR="00000000" w:rsidRDefault="00000000">
      <w:pPr>
        <w:pStyle w:val="SingleTxt"/>
        <w:spacing w:after="120" w:line="240" w:lineRule="exact"/>
        <w:rPr>
          <w:rFonts w:hint="eastAsia"/>
          <w:sz w:val="18"/>
        </w:rPr>
      </w:pPr>
      <w:r>
        <w:rPr>
          <w:rStyle w:val="EndnoteReference"/>
        </w:rPr>
        <w:t>**</w:t>
      </w:r>
      <w:r>
        <w:rPr>
          <w:sz w:val="18"/>
        </w:rPr>
        <w:t xml:space="preserve"> </w:t>
      </w:r>
      <w:r>
        <w:rPr>
          <w:rFonts w:hint="eastAsia"/>
          <w:sz w:val="18"/>
        </w:rPr>
        <w:t>投资</w:t>
      </w:r>
      <w:r>
        <w:rPr>
          <w:rFonts w:hint="eastAsia"/>
          <w:spacing w:val="-4"/>
          <w:sz w:val="18"/>
        </w:rPr>
        <w:t>预算：指国际合作直接与政府签订协议筹集的资金预算，资金用于资助各机构</w:t>
      </w:r>
      <w:r>
        <w:rPr>
          <w:rFonts w:hint="eastAsia"/>
          <w:sz w:val="18"/>
        </w:rPr>
        <w:t>不同项目。</w:t>
      </w:r>
    </w:p>
    <w:p w:rsidR="00000000" w:rsidRDefault="00000000">
      <w:pPr>
        <w:pStyle w:val="SingleTxt"/>
        <w:tabs>
          <w:tab w:val="left" w:pos="1568"/>
          <w:tab w:val="left" w:pos="1610"/>
        </w:tabs>
        <w:spacing w:after="120" w:line="240" w:lineRule="exact"/>
        <w:rPr>
          <w:rFonts w:hint="eastAsia"/>
          <w:sz w:val="18"/>
        </w:rPr>
      </w:pPr>
      <w:r>
        <w:rPr>
          <w:rStyle w:val="EndnoteReference"/>
        </w:rPr>
        <w:t>***</w:t>
      </w:r>
      <w:r>
        <w:rPr>
          <w:sz w:val="18"/>
        </w:rPr>
        <w:t xml:space="preserve"> </w:t>
      </w:r>
      <w:r>
        <w:rPr>
          <w:rFonts w:hint="eastAsia"/>
          <w:sz w:val="18"/>
        </w:rPr>
        <w:t>2006年预测。</w:t>
      </w:r>
    </w:p>
    <w:p w:rsidR="00000000" w:rsidRDefault="00000000">
      <w:pPr>
        <w:pStyle w:val="SingleTxt"/>
        <w:spacing w:after="120" w:line="240" w:lineRule="exact"/>
        <w:rPr>
          <w:rFonts w:hint="eastAsia"/>
          <w:sz w:val="18"/>
        </w:rPr>
      </w:pPr>
      <w:r>
        <w:rPr>
          <w:rFonts w:ascii="KaiTi_GB2312" w:eastAsia="KaiTi_GB2312" w:hint="eastAsia"/>
          <w:color w:val="0000FF"/>
          <w:sz w:val="18"/>
        </w:rPr>
        <w:t>资料来源</w:t>
      </w:r>
      <w:r>
        <w:rPr>
          <w:rFonts w:hint="eastAsia"/>
          <w:sz w:val="18"/>
        </w:rPr>
        <w:t>：妇女地位研究所。</w:t>
      </w:r>
    </w:p>
    <w:p w:rsidR="00000000" w:rsidRDefault="00000000">
      <w:pPr>
        <w:pStyle w:val="SingleTxt"/>
        <w:spacing w:after="0" w:line="140" w:lineRule="exact"/>
        <w:rPr>
          <w:rFonts w:hint="eastAsia"/>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outlineLvl w:val="9"/>
        <w:rPr>
          <w:rFonts w:hint="eastAsia"/>
        </w:rPr>
      </w:pPr>
      <w:r>
        <w:rPr>
          <w:rFonts w:hint="eastAsia"/>
        </w:rPr>
        <w:tab/>
      </w:r>
      <w:r>
        <w:rPr>
          <w:rFonts w:hint="eastAsia"/>
        </w:rPr>
        <w:tab/>
        <w:t>第4条</w:t>
      </w:r>
    </w:p>
    <w:p w:rsidR="00000000" w:rsidRDefault="00000000">
      <w:pPr>
        <w:pStyle w:val="SingleTxt"/>
        <w:rPr>
          <w:rFonts w:ascii="SimHei" w:eastAsia="SimHei" w:hint="eastAsia"/>
          <w:color w:val="FF0000"/>
        </w:rPr>
      </w:pPr>
      <w:r>
        <w:rPr>
          <w:rFonts w:hint="eastAsia"/>
        </w:rPr>
        <w:t>5.</w:t>
      </w:r>
      <w:r>
        <w:rPr>
          <w:rFonts w:ascii="SimHei" w:eastAsia="SimHei" w:hint="eastAsia"/>
          <w:color w:val="FF0000"/>
        </w:rPr>
        <w:tab/>
      </w:r>
      <w:r>
        <w:rPr>
          <w:rFonts w:ascii="KaiTi_GB2312" w:eastAsia="KaiTi_GB2312" w:hint="eastAsia"/>
          <w:color w:val="0000FF"/>
        </w:rPr>
        <w:t>据报告称，“在佛得角的法律系统中，目前尚不存在《公约》第4条第1款意义上的暂行特别措施”。但是，报告中介绍的参与政治方面的一些措施与暂行特别措施相似（见第111段和第156段）。政府是否打算采取一项综合性战略，实行暂行特别措施，以便加速实现《公约》各领域的两性平等</w:t>
      </w:r>
      <w:r>
        <w:rPr>
          <w:rFonts w:ascii="SimHei" w:eastAsia="SimHei" w:hint="eastAsia"/>
          <w:color w:val="FF0000"/>
        </w:rPr>
        <w:t>？</w:t>
      </w:r>
    </w:p>
    <w:p w:rsidR="00000000" w:rsidRDefault="00000000">
      <w:pPr>
        <w:pStyle w:val="SingleTxt"/>
        <w:rPr>
          <w:rFonts w:hint="eastAsia"/>
        </w:rPr>
      </w:pPr>
      <w:r>
        <w:rPr>
          <w:rFonts w:hint="eastAsia"/>
        </w:rPr>
        <w:tab/>
        <w:t>报告提到在佛得角不存在任何暂行特别措施，只是想说目前不存在任何生效的立法措施，规定建立有利妇女的分配额制度，尽管采取了实际歧视措施，情况如下。</w:t>
      </w:r>
    </w:p>
    <w:p w:rsidR="00000000" w:rsidRDefault="00000000">
      <w:pPr>
        <w:pStyle w:val="SingleTxt"/>
        <w:rPr>
          <w:rFonts w:hint="eastAsia"/>
        </w:rPr>
      </w:pPr>
      <w:r>
        <w:rPr>
          <w:rFonts w:hint="eastAsia"/>
        </w:rPr>
        <w:tab/>
        <w:t>例如，尽管法律规定措施，鼓励妇女在选举法第404和420条意义上的参与，但没有任何规章实施这样一种机制。</w:t>
      </w:r>
    </w:p>
    <w:p w:rsidR="00000000" w:rsidRDefault="00000000">
      <w:pPr>
        <w:pStyle w:val="SingleTxt"/>
        <w:rPr>
          <w:rFonts w:hint="eastAsia"/>
        </w:rPr>
      </w:pPr>
      <w:r>
        <w:rPr>
          <w:rFonts w:hint="eastAsia"/>
        </w:rPr>
        <w:tab/>
        <w:t>但必须理解的是，根据第25号建议，这些措施的实施不一定要以法律义务方式规定。例如，许多公共政策方案由政府不同部门执行，这些方案将妇女群体视为优先群体，特别是经济能力脆弱的妇女。</w:t>
      </w:r>
    </w:p>
    <w:p w:rsidR="00000000" w:rsidRDefault="00000000">
      <w:pPr>
        <w:pStyle w:val="SingleTxt"/>
        <w:spacing w:line="326" w:lineRule="exact"/>
        <w:rPr>
          <w:rFonts w:hint="eastAsia"/>
          <w:spacing w:val="2"/>
        </w:rPr>
      </w:pPr>
      <w:r>
        <w:rPr>
          <w:rFonts w:hint="eastAsia"/>
          <w:spacing w:val="2"/>
        </w:rPr>
        <w:tab/>
        <w:t>这种倡议在行政不同部门和已执行的行动中都可看到，特别是如下行动：全国灭贫方案，专业培训和促进创收活动，促进就业，教育，政治，保健等等。</w:t>
      </w:r>
    </w:p>
    <w:p w:rsidR="00000000" w:rsidRDefault="00000000">
      <w:pPr>
        <w:pStyle w:val="SingleTxt"/>
        <w:spacing w:line="326" w:lineRule="exact"/>
        <w:rPr>
          <w:rFonts w:hint="eastAsia"/>
          <w:spacing w:val="2"/>
        </w:rPr>
      </w:pPr>
      <w:r>
        <w:rPr>
          <w:rFonts w:hint="eastAsia"/>
          <w:spacing w:val="2"/>
        </w:rPr>
        <w:tab/>
        <w:t>此外，政府通过了性别平等计划，其主要目标为“促进一切级别的机会平等和改善行为与态度品质，以使权力关系制度民主化”。在这一基础上，政府在上述计划中规定，目标和战略措施如下：“促进修正立法，采取性别平等权利行动，加强妇女参与权力决策”。还规划与此一措施有关的一系列其他行动，特别是如下方面：在政党方针上宣传和说明两性平等问题；采取行动促进妇女参与决策。</w:t>
      </w:r>
    </w:p>
    <w:p w:rsidR="00000000" w:rsidRDefault="00000000">
      <w:pPr>
        <w:pStyle w:val="SingleTxt"/>
        <w:spacing w:line="326" w:lineRule="exact"/>
        <w:rPr>
          <w:rFonts w:ascii="SimHei" w:eastAsia="SimHei" w:hint="eastAsia"/>
          <w:color w:val="FF0000"/>
        </w:rPr>
      </w:pPr>
      <w:r>
        <w:rPr>
          <w:rFonts w:ascii="SimHei" w:eastAsia="SimHei" w:hint="eastAsia"/>
          <w:color w:val="FF0000"/>
        </w:rPr>
        <w:t>第5条</w:t>
      </w:r>
    </w:p>
    <w:p w:rsidR="00000000" w:rsidRDefault="00000000">
      <w:pPr>
        <w:pStyle w:val="SingleTxt"/>
        <w:spacing w:line="326" w:lineRule="exact"/>
        <w:rPr>
          <w:rFonts w:ascii="KaiTi_GB2312" w:eastAsia="KaiTi_GB2312" w:hint="eastAsia"/>
          <w:color w:val="0000FF"/>
        </w:rPr>
      </w:pPr>
      <w:r>
        <w:rPr>
          <w:rFonts w:hint="eastAsia"/>
        </w:rPr>
        <w:t>6.</w:t>
      </w:r>
      <w:r>
        <w:rPr>
          <w:rFonts w:ascii="KaiTi_GB2312" w:eastAsia="KaiTi_GB2312" w:hint="eastAsia"/>
          <w:color w:val="0000FF"/>
        </w:rPr>
        <w:tab/>
        <w:t>据报告称，“经常在学校里组织一些研讨会、大会和辩论，并通过广播电台节目进行讨论，动员更多的人注意妇女问题，注意妇女在社会进步和消除男尊女卑定型观念中所发挥的作用”。请详细介绍上述措施，如果可能，请在介绍中包括这类研讨会、报告、辩论和媒体节目的受众人数。</w:t>
      </w:r>
    </w:p>
    <w:p w:rsidR="00000000" w:rsidRDefault="00000000">
      <w:pPr>
        <w:pStyle w:val="SingleTxt"/>
        <w:spacing w:line="326" w:lineRule="exact"/>
        <w:rPr>
          <w:rFonts w:hint="eastAsia"/>
        </w:rPr>
      </w:pPr>
      <w:r>
        <w:tab/>
      </w:r>
      <w:r>
        <w:rPr>
          <w:rFonts w:hint="eastAsia"/>
        </w:rPr>
        <w:t>有关的电视和电台节目是通过全国网络播送。播送的节目常常辩论妇女在佛得角社会中的地位问题，讨论家庭暴力、贫穷、生殖健康等具体问题。为了获得更明确的概念以及尽管缺乏更完整的数据，1998年进行的第一次生殖健康人口普查（最近在2005年进行了第二次生殖健康人口普查，这次普查的数据编纂工作即将完成）表明，在有关 艾滋病毒/艾滋病的新闻和宣传工作方面，无论是对于妇女（65％）还是对于男子（80％），电台证明是主要的新闻工具。特别是对于教育程度较高的城市居民来说，电视是仅次于电台的宣传工具（妇女48％，男子80％）。尤其是对于农村地区的妇女（49％），人际交流证明极为重要。有关数据又表明，学校和老师在向15岁至19岁年龄组的青年传播艾滋病信息方面发挥重要作用，对49％的女子和52％的男子产生影响。</w:t>
      </w:r>
    </w:p>
    <w:p w:rsidR="00000000" w:rsidRDefault="00000000">
      <w:pPr>
        <w:pStyle w:val="SingleTxt"/>
        <w:spacing w:line="326" w:lineRule="exact"/>
        <w:rPr>
          <w:rFonts w:hint="eastAsia"/>
        </w:rPr>
      </w:pPr>
      <w:r>
        <w:rPr>
          <w:rFonts w:hint="eastAsia"/>
        </w:rPr>
        <w:tab/>
        <w:t>在妇女地位研究所关于过去四年的报告（2002-2005年）中，大家可以看到这些宣传工作可以通过“帮助促进男女平等和加强妇女能力”项目得到推行；在该项目的帮助下，通过传统的通讯手段（电视和电台），也圆满地进行了关于妇女权利的新闻传播工作，以及按照下列两项构成部分组织小型会议、讨论会和辩论：</w:t>
      </w:r>
      <w:r>
        <w:t>(</w:t>
      </w:r>
      <w:r>
        <w:rPr>
          <w:rFonts w:hint="eastAsia"/>
        </w:rPr>
        <w:t>a)</w:t>
      </w:r>
      <w:r>
        <w:rPr>
          <w:rFonts w:hint="eastAsia"/>
        </w:rPr>
        <w:tab/>
        <w:t>采取行动向社区宣传有关妇女的各种问题；</w:t>
      </w:r>
      <w:r>
        <w:t>(</w:t>
      </w:r>
      <w:r>
        <w:rPr>
          <w:rFonts w:hint="eastAsia"/>
        </w:rPr>
        <w:t>b</w:t>
      </w:r>
      <w:r>
        <w:t xml:space="preserve">) </w:t>
      </w:r>
      <w:r>
        <w:rPr>
          <w:rFonts w:hint="eastAsia"/>
        </w:rPr>
        <w:t>面向不同的公共行政部门、工会和非政府组织采取培训/能力建设行动。</w:t>
      </w:r>
    </w:p>
    <w:p w:rsidR="00000000" w:rsidRDefault="00000000">
      <w:pPr>
        <w:pStyle w:val="SingleTxt"/>
        <w:spacing w:line="326" w:lineRule="exact"/>
        <w:rPr>
          <w:rFonts w:hint="eastAsia"/>
        </w:rPr>
      </w:pPr>
      <w:r>
        <w:tab/>
      </w:r>
      <w:r>
        <w:rPr>
          <w:rFonts w:hint="eastAsia"/>
        </w:rPr>
        <w:t>关于社区宣传工作，辩论的题目多种多样，涉及的领域好包括妇女权利、促进妇女健康（特别是生殖健康）、家庭和民众福利、创收活动、取得小额信贷等。通过这些行动，可以为妇女取得现成的社会、政治和经济资源创造有利环境（因此能使更多妇女了解城市周围地区和农村地区的发展机会以及了解有助于提高妇女地位的信贷活动）。这些行动经常是与一些佛得角机构共同进行，例如：Morabi（佛得角妇女组织）、佛得角妇女企业家协会、佛得角女律师协会和快乐童年基金会。宣传对象包括妇女，也包括男子，目的是消除对妇女的一切定型观念。在有关的过去四年，可以看到每年约有1</w:t>
      </w:r>
      <w:r>
        <w:t xml:space="preserve"> </w:t>
      </w:r>
      <w:r>
        <w:rPr>
          <w:rFonts w:hint="eastAsia"/>
        </w:rPr>
        <w:t>000到1</w:t>
      </w:r>
      <w:r>
        <w:t xml:space="preserve"> </w:t>
      </w:r>
      <w:r>
        <w:rPr>
          <w:rFonts w:hint="eastAsia"/>
        </w:rPr>
        <w:t>500人接触到宣传运动，2005年是例外，因为这一年的人数达到2</w:t>
      </w:r>
      <w:r>
        <w:t xml:space="preserve"> </w:t>
      </w:r>
      <w:r>
        <w:rPr>
          <w:rFonts w:hint="eastAsia"/>
        </w:rPr>
        <w:t>000。在接触到宣传行动的2</w:t>
      </w:r>
      <w:r>
        <w:t xml:space="preserve"> </w:t>
      </w:r>
      <w:r>
        <w:rPr>
          <w:rFonts w:hint="eastAsia"/>
        </w:rPr>
        <w:t>000人中，有半数为妇女。</w:t>
      </w:r>
    </w:p>
    <w:p w:rsidR="00000000" w:rsidRDefault="00000000">
      <w:pPr>
        <w:pStyle w:val="SingleTxt"/>
        <w:spacing w:line="330" w:lineRule="exact"/>
        <w:rPr>
          <w:rFonts w:hint="eastAsia"/>
        </w:rPr>
      </w:pPr>
      <w:r>
        <w:tab/>
      </w:r>
      <w:r>
        <w:rPr>
          <w:rFonts w:hint="eastAsia"/>
        </w:rPr>
        <w:t>关于面向培训的第二类行动，目标是设法改进从事妇女工作的机构的培训或能够间接参与其工作。因此，在这方面已采取了各种行动，例如：关于性别问题的辩护/沟通技巧培训班和拟定一项辩护计划，以便将性别问题的讨论纳入发展部门的政策和方案；为国家消除贫穷方案的干部拟定性别问题后续指标和评价讲习班；性别、人口与发展问题训练员培训班；工会领袖宣传工作讲习班；加强每一市政府内的两性平等和公平问题国家计划市联络中心的能力讲习班；与各政党领袖共同思考性别、发展和施政等问题。我国计划长期通过所有这些行动，消除男女之间在所有活动部门的差别，以求实现佛得角公平和持久的发展。在采取这些行动方面，参与的人数很少（约10至20人），他们一般是技术人员，在日常生活中利用或能够应要求提出性别问题。通常每年组织和办理一到三次培训班。受训者在受训后除了作为与妇女地位研究所经常联络的联络人外，还负责在其各自的机构内传播和推动性别问题的任务。</w:t>
      </w:r>
    </w:p>
    <w:p w:rsidR="00000000" w:rsidRDefault="00000000">
      <w:pPr>
        <w:pStyle w:val="SingleTxt"/>
        <w:spacing w:line="330" w:lineRule="exact"/>
        <w:rPr>
          <w:rFonts w:hint="eastAsia"/>
        </w:rPr>
      </w:pPr>
      <w:r>
        <w:rPr>
          <w:rFonts w:hint="eastAsia"/>
        </w:rPr>
        <w:tab/>
        <w:t>在这方面，制作了下列文件：关于生殖健康、艾滋病和性别问题、妇女与政治的指南；关于妇女地位研究所活动的新闻公报；传播和推动《家庭法》及两性平等和公平问题国家计划中的结论；《消除对妇女歧视公约》条文以及国际妇女权利会议（1985年内罗毕）、国际人权会议（1993年维也纳）、国际人口与发展会议（1994年开罗）、国际社会发展问题会议（1995年哥本哈根）和国际妇女问题会议（1995年北京）产生的方针为上述计划提供了启示。</w:t>
      </w:r>
    </w:p>
    <w:p w:rsidR="00000000" w:rsidRDefault="00000000">
      <w:pPr>
        <w:pStyle w:val="SingleTxt"/>
        <w:spacing w:line="330" w:lineRule="exact"/>
        <w:rPr>
          <w:rFonts w:ascii="SimHei" w:eastAsia="SimHei" w:hint="eastAsia"/>
          <w:color w:val="FF0000"/>
        </w:rPr>
      </w:pPr>
      <w:r>
        <w:rPr>
          <w:rFonts w:ascii="SimHei" w:eastAsia="SimHei" w:hint="eastAsia"/>
          <w:color w:val="FF0000"/>
        </w:rPr>
        <w:t>对妇女的暴力行为</w:t>
      </w:r>
    </w:p>
    <w:p w:rsidR="00000000" w:rsidRDefault="00000000">
      <w:pPr>
        <w:pStyle w:val="SingleTxt"/>
        <w:spacing w:line="330" w:lineRule="exact"/>
        <w:rPr>
          <w:rFonts w:ascii="KaiTi_GB2312" w:eastAsia="KaiTi_GB2312" w:hint="eastAsia"/>
          <w:color w:val="0000FF"/>
        </w:rPr>
      </w:pPr>
      <w:r>
        <w:rPr>
          <w:rFonts w:hint="eastAsia"/>
        </w:rPr>
        <w:t>7.</w:t>
      </w:r>
      <w:r>
        <w:rPr>
          <w:rFonts w:ascii="KaiTi_GB2312" w:eastAsia="KaiTi_GB2312" w:hint="eastAsia"/>
          <w:color w:val="0000FF"/>
        </w:rPr>
        <w:tab/>
        <w:t>报告称，“针对家庭暴力问题，2004年7月1日生效的佛得角新《刑法典》列入了家庭暴力罪”（第139段）。《刑法典》是否规定可对婚内强奸提出起诉？请提供自从新《刑法典》生效以来按性别分列的因家庭暴力案被起诉和定罪的个人的数据。</w:t>
      </w:r>
    </w:p>
    <w:p w:rsidR="00000000" w:rsidRDefault="00000000">
      <w:pPr>
        <w:pStyle w:val="SingleTxt"/>
        <w:spacing w:line="330" w:lineRule="exact"/>
        <w:rPr>
          <w:rFonts w:hint="eastAsia"/>
        </w:rPr>
      </w:pPr>
      <w:r>
        <w:rPr>
          <w:rFonts w:hint="eastAsia"/>
        </w:rPr>
        <w:tab/>
        <w:t>事实上，根据佛得角法律，强奸被列为性侵犯罪行，因此，依照《刑法典》第142条的规定，得处以2年到8年徒刑，不论这种行为是在婚姻之内还是在婚姻之外发生。</w:t>
      </w:r>
    </w:p>
    <w:p w:rsidR="00000000" w:rsidRDefault="00000000">
      <w:pPr>
        <w:pStyle w:val="SingleTxt"/>
        <w:spacing w:line="330" w:lineRule="exact"/>
        <w:rPr>
          <w:rFonts w:hint="eastAsia"/>
        </w:rPr>
      </w:pPr>
      <w:r>
        <w:rPr>
          <w:rFonts w:hint="eastAsia"/>
        </w:rPr>
        <w:tab/>
        <w:t>关于送交国家法庭审理的家庭暴力案件，已经有数据说明情况。</w:t>
      </w:r>
    </w:p>
    <w:p w:rsidR="00000000" w:rsidRDefault="00000000">
      <w:pPr>
        <w:pStyle w:val="SingleTxt"/>
        <w:spacing w:line="330" w:lineRule="exact"/>
        <w:rPr>
          <w:rFonts w:hint="eastAsia"/>
        </w:rPr>
      </w:pPr>
      <w:r>
        <w:rPr>
          <w:rFonts w:hint="eastAsia"/>
        </w:rPr>
        <w:tab/>
        <w:t>然而，必须澄清的一点是，婚姻暴力案件可能列入有关虐待的犯罪种类，可是只有在没有通报更严重的行为时才这样做。也就是说，如果家庭暴力加上杀人罪或最严重形式的人身伤害，则根据刑事行为（惩罚较重）起诉凶手。</w:t>
      </w:r>
    </w:p>
    <w:p w:rsidR="00000000" w:rsidRDefault="00000000">
      <w:pPr>
        <w:pStyle w:val="SingleTxt"/>
        <w:spacing w:line="326" w:lineRule="exact"/>
        <w:rPr>
          <w:rFonts w:hint="eastAsia"/>
        </w:rPr>
      </w:pPr>
      <w:r>
        <w:rPr>
          <w:rFonts w:hint="eastAsia"/>
        </w:rPr>
        <w:tab/>
        <w:t>然而，佛得角政府承认必须进一步了解该问题。因此，从问题10中，大家可以核实已就该问题进行了一项研究。也要强调的是，针对这个问题，最近拟定的两性平等和公平问题国家计划预期在这段时期内实现下列目标：</w:t>
      </w:r>
      <w:r>
        <w:t>(</w:t>
      </w:r>
      <w:r>
        <w:rPr>
          <w:rFonts w:hint="eastAsia"/>
        </w:rPr>
        <w:t>a</w:t>
      </w:r>
      <w:r>
        <w:t xml:space="preserve">) </w:t>
      </w:r>
      <w:r>
        <w:rPr>
          <w:rFonts w:hint="eastAsia"/>
        </w:rPr>
        <w:t>在司法部门采取措施，以便对侵害妇女的暴力行为更快地作出干预，并采取说服和实际监督的双管齐下措施；(b) 在编写关于侵害妇女暴力行为的统计数据方面采用“性别问题”变数；</w:t>
      </w:r>
      <w:r>
        <w:t>(</w:t>
      </w:r>
      <w:r>
        <w:rPr>
          <w:rFonts w:hint="eastAsia"/>
        </w:rPr>
        <w:t>c) 制定性别指示数，支持在该领域的行动建议；</w:t>
      </w:r>
      <w:r>
        <w:t>(</w:t>
      </w:r>
      <w:r>
        <w:rPr>
          <w:rFonts w:hint="eastAsia"/>
        </w:rPr>
        <w:t>d</w:t>
      </w:r>
      <w:r>
        <w:t xml:space="preserve">) </w:t>
      </w:r>
      <w:r>
        <w:rPr>
          <w:rFonts w:hint="eastAsia"/>
        </w:rPr>
        <w:t>开展防止暴力行为的运动和教育及预防方案；</w:t>
      </w:r>
      <w:r>
        <w:t>(</w:t>
      </w:r>
      <w:r>
        <w:rPr>
          <w:rFonts w:hint="eastAsia"/>
        </w:rPr>
        <w:t>e</w:t>
      </w:r>
      <w:r>
        <w:t xml:space="preserve">) </w:t>
      </w:r>
      <w:r>
        <w:rPr>
          <w:rFonts w:hint="eastAsia"/>
        </w:rPr>
        <w:t>加强为遭受暴力的妇女受害者提供的收容组织；(f) 为遭受家庭暴力的妇女受害者建立收容组织；</w:t>
      </w:r>
      <w:r>
        <w:t>(</w:t>
      </w:r>
      <w:r>
        <w:rPr>
          <w:rFonts w:hint="eastAsia"/>
        </w:rPr>
        <w:t>g</w:t>
      </w:r>
      <w:r>
        <w:t xml:space="preserve">) </w:t>
      </w:r>
      <w:r>
        <w:rPr>
          <w:rFonts w:hint="eastAsia"/>
        </w:rPr>
        <w:t>进行研究，以加强认识和进一步了解家庭暴力和性暴力对妇女的性自由和生殖自由产生的影响；</w:t>
      </w:r>
      <w:r>
        <w:t>(</w:t>
      </w:r>
      <w:r>
        <w:rPr>
          <w:rFonts w:hint="eastAsia"/>
        </w:rPr>
        <w:t>h</w:t>
      </w:r>
      <w:r>
        <w:t xml:space="preserve">) </w:t>
      </w:r>
      <w:r>
        <w:rPr>
          <w:rFonts w:hint="eastAsia"/>
        </w:rPr>
        <w:t>推动改变治安人员和公安警察对侵害妇女的暴力行为案件采取的态度和行为。</w:t>
      </w:r>
    </w:p>
    <w:p w:rsidR="00000000" w:rsidRDefault="00000000">
      <w:pPr>
        <w:pStyle w:val="SingleTxt"/>
        <w:spacing w:line="326" w:lineRule="exact"/>
        <w:rPr>
          <w:rFonts w:hint="eastAsia"/>
        </w:rPr>
      </w:pPr>
      <w:r>
        <w:rPr>
          <w:rFonts w:hint="eastAsia"/>
        </w:rPr>
        <w:tab/>
        <w:t>因此，虽然没有提供关于基于性别的暴力行为的具体指示数，上文</w:t>
      </w:r>
      <w:r>
        <w:t>(</w:t>
      </w:r>
      <w:r>
        <w:rPr>
          <w:rFonts w:hint="eastAsia"/>
        </w:rPr>
        <w:t>b)和</w:t>
      </w:r>
      <w:r>
        <w:t>(</w:t>
      </w:r>
      <w:r>
        <w:rPr>
          <w:rFonts w:hint="eastAsia"/>
        </w:rPr>
        <w:t>c)的内容已经确定并考虑到这种需要。</w:t>
      </w:r>
    </w:p>
    <w:p w:rsidR="00000000" w:rsidRDefault="00000000">
      <w:pPr>
        <w:pStyle w:val="SingleTxt"/>
        <w:spacing w:line="326" w:lineRule="exact"/>
        <w:rPr>
          <w:rFonts w:ascii="KaiTi_GB2312" w:eastAsia="KaiTi_GB2312" w:hint="eastAsia"/>
          <w:color w:val="0000FF"/>
        </w:rPr>
      </w:pPr>
      <w:r>
        <w:rPr>
          <w:rFonts w:hint="eastAsia"/>
        </w:rPr>
        <w:t>8.</w:t>
      </w:r>
      <w:r>
        <w:rPr>
          <w:rFonts w:ascii="KaiTi_GB2312" w:eastAsia="KaiTi_GB2312" w:hint="eastAsia"/>
          <w:color w:val="0000FF"/>
        </w:rPr>
        <w:tab/>
        <w:t>报告称，政府正在努力制定各项立法措施，打击对妇女的暴力行为。请提供关于这方面事态发展的资料（见第137段）。</w:t>
      </w:r>
    </w:p>
    <w:p w:rsidR="00000000" w:rsidRDefault="00000000">
      <w:pPr>
        <w:pStyle w:val="SingleTxt"/>
        <w:spacing w:line="326" w:lineRule="exact"/>
        <w:rPr>
          <w:rFonts w:hint="eastAsia"/>
        </w:rPr>
      </w:pPr>
      <w:r>
        <w:tab/>
      </w:r>
      <w:r>
        <w:rPr>
          <w:rFonts w:hint="eastAsia"/>
        </w:rPr>
        <w:t>在拟定提交给消除对妇女歧视委员会的报告时，佛得角政府正致力于新的《刑事诉讼法》。该条文将取代殖民主义时代（1931年）以来生效的陈旧的诉讼文书。批准该条文是佛得角共和国进行的立法改革措施的一部分，以便将这些措施纳入打击家庭暴力的工作。</w:t>
      </w:r>
    </w:p>
    <w:p w:rsidR="00000000" w:rsidRDefault="00000000">
      <w:pPr>
        <w:pStyle w:val="SingleTxt"/>
        <w:spacing w:line="326" w:lineRule="exact"/>
        <w:rPr>
          <w:rFonts w:hint="eastAsia"/>
        </w:rPr>
      </w:pPr>
      <w:r>
        <w:rPr>
          <w:rFonts w:hint="eastAsia"/>
        </w:rPr>
        <w:tab/>
        <w:t>因此，新的《刑事诉讼法》在2005年10月1日开始生效，成为《刑法典》（也是最近即2004年批准）的文书，尤其是关于打击基于性别的暴力行为方面的文书。根据此一新诉讼文书的规定，可以强制执行的个人限制措施之一是“如果被告因在住所进行虐待未成年人或性虐待儿童罪行而被起诉，则禁止他继续与其他家属住在同一住所”（第289条第1款d项）。因此，大家认为这项措施是在打击家庭暴力行为方面作出的一项重大进展，并且根据《刑法典》（第134条）的规定，因此有助于限制或避免虐待做法的延长。</w:t>
      </w:r>
    </w:p>
    <w:p w:rsidR="00000000" w:rsidRDefault="00000000">
      <w:pPr>
        <w:pStyle w:val="SingleTxt"/>
        <w:spacing w:line="326" w:lineRule="exact"/>
        <w:rPr>
          <w:rFonts w:hint="eastAsia"/>
        </w:rPr>
      </w:pPr>
      <w:r>
        <w:rPr>
          <w:rFonts w:hint="eastAsia"/>
        </w:rPr>
        <w:tab/>
        <w:t>最后，鉴于解决家庭暴力问题不仅要采取立法措施，还要改变在社会中发挥作用的公务人员的心态，因此，两性平等和公平问题国家计划又规定：为了从速采取干预措施，必须向法官、检察官和公安警察进行宣传；为基于性别的暴力受害者设立一个结构化的信息部门；加强为遭受暴力的妇女受害者提供的收容组织；设立临时收容中心。</w:t>
      </w:r>
    </w:p>
    <w:p w:rsidR="00000000" w:rsidRDefault="00000000">
      <w:pPr>
        <w:pStyle w:val="SingleTxt"/>
        <w:spacing w:line="326" w:lineRule="exact"/>
        <w:rPr>
          <w:rFonts w:ascii="KaiTi_GB2312" w:eastAsia="KaiTi_GB2312" w:hint="eastAsia"/>
          <w:color w:val="0000FF"/>
        </w:rPr>
      </w:pPr>
      <w:r>
        <w:rPr>
          <w:rFonts w:hint="eastAsia"/>
        </w:rPr>
        <w:t>9.</w:t>
      </w:r>
      <w:r>
        <w:rPr>
          <w:rFonts w:ascii="KaiTi_GB2312" w:eastAsia="KaiTi_GB2312" w:hint="eastAsia"/>
          <w:color w:val="0000FF"/>
        </w:rPr>
        <w:tab/>
        <w:t>报告称，“2004年7月以来，政府开始宣传活动，使妇女意识到自身的权利、解释何为家庭暴力、家庭暴力的形式以及发生家庭暴力时妇女可利用的各种补救措施”（见第141段）。除了报告第144段提及的试点项目以外，还有哪些措施为妇女提供法律援助，使她们能够伸冤求救？</w:t>
      </w:r>
    </w:p>
    <w:p w:rsidR="00000000" w:rsidRDefault="00000000">
      <w:pPr>
        <w:pStyle w:val="SingleTxt"/>
        <w:rPr>
          <w:rFonts w:hint="eastAsia"/>
        </w:rPr>
      </w:pPr>
      <w:r>
        <w:rPr>
          <w:rFonts w:hint="eastAsia"/>
        </w:rPr>
        <w:tab/>
        <w:t>除了在《刑法典》和《刑事诉讼法》范围内完成了立法改革外，在司法领域方面，政府近几年来致力于制定有关司法援助的立法。虽然 已定有伸张正义的法律（6月18日第35/II/88号法律），但尚未全部执行该项法律。因此，第10/2004号 实行令于2004年11月8日开始生效，以管理司法援助制度，特别是修订关于司法专业人员法律的方式。在此之后，还在2005年1月10日公布了第1/2005号法令，核准了收费和费用表以及司法援助价值。因此，通过这一整套能够伸张正义的法律，我国可以逐步保障最需要法律信息和司法保护的人（其中包括低收入妇女）获得这些信息和保护的权利。</w:t>
      </w:r>
    </w:p>
    <w:p w:rsidR="00000000" w:rsidRDefault="00000000">
      <w:pPr>
        <w:pStyle w:val="SingleTxt"/>
        <w:rPr>
          <w:rFonts w:hint="eastAsia"/>
        </w:rPr>
      </w:pPr>
      <w:r>
        <w:rPr>
          <w:rFonts w:hint="eastAsia"/>
        </w:rPr>
        <w:tab/>
        <w:t>关于在司法领域的立法改革，值得一提的重大进展是对解决争端的司法外手段即仲裁和调解进行监管。这些处理诉讼的代替办法是在解决争端方面个人自主的一种表现，能够有助于预防争端和减少法庭积压的案件。这些机制供所有民众、特别是妇女利用，以确保从速处理日常争端（管理仲裁程序的8月16日第76/VI/2005号法律，第33号公报；管理仲裁中心设立事项的10月10日第8/2005号实行令，第41号公报；成立调解中心的5月9日第30/2005号法令；在解决争端方面管理调解程序利用问题的5月9日第31/2005号法令，第19号公报）。</w:t>
      </w:r>
    </w:p>
    <w:p w:rsidR="00000000" w:rsidRDefault="00000000">
      <w:pPr>
        <w:pStyle w:val="SingleTxt"/>
        <w:rPr>
          <w:rFonts w:hint="eastAsia"/>
        </w:rPr>
      </w:pPr>
      <w:r>
        <w:rPr>
          <w:rFonts w:hint="eastAsia"/>
        </w:rPr>
        <w:tab/>
        <w:t>后来，由于念念不忘让我国民众能够掌握更快、更充分地解决争端的手段，也通过10月10日的第62/2005号法令成立了所谓的法律之家（“Casas de Direito”），这些是在司法部管辖下运作的司法外组织，目的是促进正义和法律的伸张，特别是保证得到法律信息和咨询，促进公民责任感的培养和公民的参与，并告诉他们为解决争端可以利用的司法和司法外手段。法律之家的另一目的是应对一般的家庭暴力案件，特别是针对妇女的家庭暴力案件，同时考虑到政府承认这是一个不容忽视的问题，因此必须为此紧急设立受害者支助、咨询和辅导机构。由于关于此一问题的立法实际上较为新近，这些机构的设立尚在进行中。</w:t>
      </w:r>
    </w:p>
    <w:p w:rsidR="00000000" w:rsidRDefault="00000000">
      <w:pPr>
        <w:pStyle w:val="SingleTxt"/>
        <w:rPr>
          <w:rFonts w:hint="eastAsia"/>
        </w:rPr>
      </w:pPr>
      <w:r>
        <w:rPr>
          <w:rFonts w:hint="eastAsia"/>
        </w:rPr>
        <w:tab/>
        <w:t>此外，关于现有机制，妇女地位研究所就设立法律办事处问题与世界青年大会进行合作已有一段时期，这个办事处位于普拉亚，目的是接待妇女，特别是最贫困的妇女。妇女地位研究所又与佛得角妇女组织合作，以便在圣维森特岛设立另一法律办事处。</w:t>
      </w:r>
    </w:p>
    <w:p w:rsidR="00000000" w:rsidRDefault="00000000">
      <w:pPr>
        <w:pStyle w:val="SingleTxt"/>
        <w:rPr>
          <w:rFonts w:ascii="KaiTi_GB2312" w:eastAsia="KaiTi_GB2312" w:hint="eastAsia"/>
          <w:color w:val="0000FF"/>
        </w:rPr>
      </w:pPr>
      <w:r>
        <w:rPr>
          <w:rFonts w:hint="eastAsia"/>
        </w:rPr>
        <w:t>10.</w:t>
      </w:r>
      <w:r>
        <w:rPr>
          <w:rFonts w:ascii="KaiTi_GB2312" w:eastAsia="KaiTi_GB2312" w:hint="eastAsia"/>
          <w:color w:val="0000FF"/>
        </w:rPr>
        <w:tab/>
        <w:t>请告是否制定了打击一切形式对妇女暴力行为的综合性、多学科战略，如果是，请介绍该战略。</w:t>
      </w:r>
    </w:p>
    <w:p w:rsidR="00000000" w:rsidRDefault="00000000">
      <w:pPr>
        <w:pStyle w:val="SingleTxt"/>
        <w:rPr>
          <w:rFonts w:hint="eastAsia"/>
        </w:rPr>
      </w:pPr>
      <w:r>
        <w:rPr>
          <w:rFonts w:hint="eastAsia"/>
        </w:rPr>
        <w:tab/>
        <w:t>通过2004年开展关于设立家庭暴力受害者收容所的试点项目，佛得角力求制定一项打击这种针对妇女暴力行为的多学科战略。这项司法部创办的项目目的是通过各种国家机构和非政府组织的参与，对国家和民间组织的行动实现高度的协调。因此，用意是向受害者迅速提供支助，通过更好的协调和更明确、更有效的行动，达到节省时间和精力的目的。根据报告所述，已在位于首都的全国最大的一家医院内设立了第一个收容所。接着，2005年11月在圣维森特岛上的全国第二大城市内的Baptista de Sousa医院设立了第二个收容所。</w:t>
      </w:r>
    </w:p>
    <w:p w:rsidR="00000000" w:rsidRDefault="00000000">
      <w:pPr>
        <w:pStyle w:val="SingleTxt"/>
        <w:rPr>
          <w:rFonts w:hint="eastAsia"/>
        </w:rPr>
      </w:pPr>
      <w:r>
        <w:rPr>
          <w:rFonts w:hint="eastAsia"/>
        </w:rPr>
        <w:tab/>
        <w:t>必须指出的是，该项目涉及不同行为者之间的合作与交流。为此目的，司法部、国内管理部、卫生部、劳工和团结部、妇女地位研究所以及女律师协会和佛得角妇女组织等组织之间签订了一项合作议定书。</w:t>
      </w:r>
    </w:p>
    <w:p w:rsidR="00000000" w:rsidRDefault="00000000">
      <w:pPr>
        <w:pStyle w:val="SingleTxt"/>
        <w:rPr>
          <w:rFonts w:hint="eastAsia"/>
        </w:rPr>
      </w:pPr>
      <w:r>
        <w:rPr>
          <w:rFonts w:hint="eastAsia"/>
        </w:rPr>
        <w:tab/>
        <w:t>除了经常处理该问题的各种运动和方案外，现有的措施还设法让受害者获得医疗照顾、警方接待、信息、法律咨询、心理辅导。这种接待网络至今运作良好，这方面归功于医院、卫生站、公安警察、司法警察、检察官、妇女地位研究所、佛得角未成年人研究所、世界青年大会提供的服务；他们携手合作，以便从速向受害者提供庇护。</w:t>
      </w:r>
    </w:p>
    <w:p w:rsidR="00000000" w:rsidRDefault="00000000">
      <w:pPr>
        <w:pStyle w:val="SingleTxt"/>
        <w:rPr>
          <w:rFonts w:hint="eastAsia"/>
        </w:rPr>
      </w:pPr>
      <w:r>
        <w:rPr>
          <w:rFonts w:hint="eastAsia"/>
        </w:rPr>
        <w:tab/>
        <w:t>在此期间，佛得角认识到家庭暴力问题引起大家的关切，需要经常采取干预措施。为了设法处理该问题，现有的手段可能不够充分，也可能不够有效。因此，除了实地采取干预措施外，还在2006年4月期间进行了一次关于接待暴力受害者技巧的训练员培训班（特别处理家庭暴力受害者的情况），对象是必须每天解决这类问题的专业人员，教会他们帮助暴力受害者的技巧以及如何应付行凶者。2005年12月，也在圣维森特岛进行了一次类似的警察培训班，向80名警察宣讲家庭暴力问题，通过他们向公安警察口耳相传。这些培训目的是提高专业人员的能力，因为他们不是随时能够应付这类问题，而且在打击侵害妇女的暴力行为方面，必须采取有效对策。</w:t>
      </w:r>
    </w:p>
    <w:p w:rsidR="00000000" w:rsidRDefault="00000000">
      <w:pPr>
        <w:pStyle w:val="SingleTxt"/>
      </w:pPr>
      <w:r>
        <w:rPr>
          <w:rFonts w:hint="eastAsia"/>
        </w:rPr>
        <w:tab/>
        <w:t>此外，还完成了一项关于基于性别的暴力问题的研究，以便进一步了解这种现象。这项研究设法对该问题作出准确的判断，对行凶者和受害者的背景进行分析，并评估现有的干预机制是否提供充分的回应。接着将采取一些补救措施，以便拟订更佳的干预战略，纠正现有的可能缺失和采取新的行动。</w:t>
      </w:r>
    </w:p>
    <w:p w:rsidR="00000000" w:rsidRDefault="00000000">
      <w:pPr>
        <w:pStyle w:val="SingleTxt"/>
        <w:rPr>
          <w:rFonts w:ascii="SimHei" w:eastAsia="SimHei" w:hint="eastAsia"/>
          <w:color w:val="FF0000"/>
        </w:rPr>
      </w:pPr>
      <w:r>
        <w:rPr>
          <w:rFonts w:ascii="SimHei" w:eastAsia="SimHei" w:hint="eastAsia"/>
          <w:color w:val="FF0000"/>
        </w:rPr>
        <w:t>第6条</w:t>
      </w:r>
    </w:p>
    <w:p w:rsidR="00000000" w:rsidRDefault="00000000">
      <w:pPr>
        <w:pStyle w:val="SingleTxt"/>
        <w:rPr>
          <w:rFonts w:hint="eastAsia"/>
        </w:rPr>
      </w:pPr>
      <w:r>
        <w:rPr>
          <w:rFonts w:hint="eastAsia"/>
        </w:rPr>
        <w:t>11.</w:t>
      </w:r>
      <w:r>
        <w:rPr>
          <w:rFonts w:hint="eastAsia"/>
        </w:rPr>
        <w:tab/>
      </w:r>
      <w:r>
        <w:rPr>
          <w:rFonts w:ascii="KaiTi_GB2312" w:eastAsia="KaiTi_GB2312" w:hint="eastAsia"/>
          <w:color w:val="0000FF"/>
        </w:rPr>
        <w:t>报告称，“佛得角目前尚无严重的贩运妇女和被迫卖淫问题”（见第174段）。但是，人权委员会关于对妇女暴力行为及其因果问题特别报告员报告说，“该国是贩运者的过境点……”，而且“对青少年卖淫问题的严重关切”依然存在（E/CN.4/2003/75/Add.1，第134段和第131段）。除了《刑法典》的法律条款外（见CEDAW/C/CPV/1-6,第186段），还采取了哪些措施，包括通过与邻国进行双边和区域合作，来打击贩运活动，防止意图营利的卖淫活动，为希望离开卖淫业的妇女重返社会提供康复和支助</w:t>
      </w:r>
      <w:r>
        <w:rPr>
          <w:rFonts w:hint="eastAsia"/>
        </w:rPr>
        <w:t>？</w:t>
      </w:r>
    </w:p>
    <w:p w:rsidR="00000000" w:rsidRDefault="00000000">
      <w:pPr>
        <w:pStyle w:val="SingleTxt"/>
        <w:rPr>
          <w:rFonts w:hint="eastAsia"/>
        </w:rPr>
      </w:pPr>
      <w:r>
        <w:tab/>
      </w:r>
      <w:r>
        <w:rPr>
          <w:rFonts w:hint="eastAsia"/>
        </w:rPr>
        <w:t>报告第174段所述内容是根据《检察官业务年度报告》，其中实际上，未提及任何向法庭提起过诉讼的贩运妇女或强迫卖淫案件。由于没有关于这方面的可靠情报，于是推论这个问题不算严重。</w:t>
      </w:r>
    </w:p>
    <w:p w:rsidR="00000000" w:rsidRDefault="00000000">
      <w:pPr>
        <w:pStyle w:val="SingleTxt"/>
        <w:rPr>
          <w:rFonts w:hint="eastAsia"/>
        </w:rPr>
      </w:pPr>
      <w:r>
        <w:rPr>
          <w:rFonts w:hint="eastAsia"/>
        </w:rPr>
        <w:tab/>
        <w:t>然而，佛得角政府承认，本国因其所处地理位置，可能被作为贩运毒品和人口路线的基地。佛得角注意到这个问题的严重性及其引起的关切。因此，本国协同国际社会并在其他国家的合作下，致力于打击和防止这一问题。</w:t>
      </w:r>
    </w:p>
    <w:p w:rsidR="00000000" w:rsidRDefault="00000000">
      <w:pPr>
        <w:pStyle w:val="SingleTxt"/>
        <w:rPr>
          <w:rFonts w:hint="eastAsia"/>
        </w:rPr>
      </w:pPr>
      <w:r>
        <w:rPr>
          <w:rFonts w:hint="eastAsia"/>
        </w:rPr>
        <w:tab/>
        <w:t>在国际关系和打击有组织犯罪及制止剥削妇女卖淫工作的框架下，佛得角通过了多项有关国际文书，并为实施这些文书作出了努力。为此目的，本国最近加入了《联合国打击跨国有组织犯罪公约》（2004年7月15日）及其各项附加议定书，特别是《关于防止、禁止和惩治贩运人口特别是妇女和儿童行为的补充议定书》（2004年7月15日）和《关于打击陆、海、空偷运移民的补充议定书》（2004年7月15日）；本国还加入了《儿童权利公约》（1992年6月4日）和《关于买卖儿童、儿童卖淫和儿童色情制品的任择议定书》（2002年5月10日）。之所以加入这些文书，是因为我国承认贩运人口、特别是妇女和儿童是一个严重问题，因此需要采取有效措施防止该问题扩大。</w:t>
      </w:r>
    </w:p>
    <w:p w:rsidR="00000000" w:rsidRDefault="00000000">
      <w:pPr>
        <w:pStyle w:val="SingleTxt"/>
        <w:rPr>
          <w:rFonts w:hint="eastAsia"/>
        </w:rPr>
      </w:pPr>
      <w:r>
        <w:rPr>
          <w:rFonts w:hint="eastAsia"/>
        </w:rPr>
        <w:tab/>
        <w:t>在双边合作框架下，考虑到此类犯罪的性质及其日益突出的跨界特点，佛得角与很多国家签署了民事和刑事方面的法律和司法合作协定，并与这些国家加强了联系。通过签署这些协定，可以更好地协调现有机制，加大对此类犯罪的打击力度，包括在下列方面相互协助：交流情报、进行起诉和其他公诉以及可以成立联合案件调查小组等等。为此目的，佛得角与葡萄牙签署了若干协定（6月7日第98/VI/2004号决议），并与塞内加尔和其他葡萄牙语国家共同体（葡语共同体）国家签署了一些协定；葡语共同体的成员包括安哥拉、巴西、佛得角、几内亚比绍、莫桑比克、葡萄牙、圣多美和普林西比、东帝汶。</w:t>
      </w:r>
    </w:p>
    <w:p w:rsidR="00000000" w:rsidRDefault="00000000">
      <w:pPr>
        <w:pStyle w:val="SingleTxt"/>
        <w:rPr>
          <w:rFonts w:hint="eastAsia"/>
        </w:rPr>
      </w:pPr>
      <w:r>
        <w:rPr>
          <w:rFonts w:hint="eastAsia"/>
        </w:rPr>
        <w:tab/>
        <w:t>如果从国内一级对问题进行分析，可以发现以前未作出任何能够说明佛得角国内卖淫情况的具体研究，直到最近才完成了一份对两组艾滋病毒/艾滋病高危人群（即注射毒品使用者和性工作者）的定性和估算研究（2006年3月）。获取的关于毒品使用者和性工作者及艾滋病毒/艾滋病的信息确证了研究所得数据。通过这些研究，可以确定使用毒品最泛滥的场所及吸毒与性交易的关系，同时可以估算这两组人群所占的人口比例，以便更好地制定防止、预防和帮助这部分人的举措。共查明884人属于卖淫群体，其中859人为妇女。研究核实，卖淫群体人员的年龄在13至39岁之间，但绝大多数在15至25岁年龄段。她们是一些单身妇女，或独自生活或与伴侣分居，其中多数有两到三个小孩儿，自称为满足子女或自己家人的需要，包括养家糊口和子女教育不得不从事卖淫活动。卖淫主要是她们在贫穷中挣扎的一种求生手段（研究报告第15页）。她们不都是职业妓女，只是通过非正规来源来增加收入；实际上，大多数妇女同时在从事某种职业活动（第17页）。按照最近完成的这项研究，可以制定更有效的干预政策，主要内容包括加强卫生机构和其他预防与护理机构的照顾能力，以使这部分人得到更好的照顾，并调动社区应对这个问题。</w:t>
      </w:r>
    </w:p>
    <w:p w:rsidR="00000000" w:rsidRDefault="00000000">
      <w:pPr>
        <w:pStyle w:val="SingleTxt"/>
        <w:rPr>
          <w:spacing w:val="2"/>
        </w:rPr>
      </w:pPr>
      <w:r>
        <w:rPr>
          <w:rFonts w:hint="eastAsia"/>
          <w:spacing w:val="2"/>
        </w:rPr>
        <w:tab/>
        <w:t>目前，毒品使用者和性工作者可以向非政府组织、市政卫生机构、打击毒品协调委员会和佛得角未成年人协会求助以便得到保护。然而，在卖淫妇女康复和重返社会方面，没有任何机构专门负责处理这个问题。对于涉及青少年的特定情况，佛得角未成年人协会作为行动者之一，为其提供社会心理护理，并视需要将其转交给圣卡塔里纳接收此类青少年的机构；该机构是不久前为应对全国境内查出的最严重问题而开设的。显然，我国还需要制定专门针对卖淫妇女的战略。在此项研究的基础上，可以更好地拟订这一战略，并制定这方面的行动。</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第7条和第8条</w:t>
      </w:r>
    </w:p>
    <w:p w:rsidR="00000000" w:rsidRDefault="00000000">
      <w:pPr>
        <w:pStyle w:val="SingleTxt"/>
        <w:rPr>
          <w:rFonts w:hint="eastAsia"/>
        </w:rPr>
      </w:pPr>
      <w:r>
        <w:rPr>
          <w:rFonts w:hint="eastAsia"/>
        </w:rPr>
        <w:t>12.</w:t>
      </w:r>
      <w:r>
        <w:rPr>
          <w:rFonts w:hint="eastAsia"/>
        </w:rPr>
        <w:tab/>
      </w:r>
      <w:r>
        <w:rPr>
          <w:rFonts w:ascii="KaiTi_GB2312" w:eastAsia="KaiTi_GB2312" w:hint="eastAsia"/>
          <w:color w:val="0000FF"/>
        </w:rPr>
        <w:t>报告称，“1999年生效的《选举法》规定，在市镇选举中，政党或政党联盟以及公民团体所提名单中妇女占成功候选人25％及以上的，国家应向其发放选举津贴”(《选举法》第420条)(见第111段)，还规定“符合上述条件的，在全国选举中，国家也发放选举津贴，”(《选举法》第404条)(见第112段)。多少政党、政党联盟或者公民团体得到这样的选举津贴？政府是否打算通过立法使这种配额做法成为强制性规定</w:t>
      </w:r>
      <w:r>
        <w:rPr>
          <w:rFonts w:hint="eastAsia"/>
        </w:rPr>
        <w:t>？</w:t>
      </w:r>
    </w:p>
    <w:p w:rsidR="00000000" w:rsidRDefault="00000000">
      <w:pPr>
        <w:pStyle w:val="SingleTxt"/>
        <w:spacing w:line="324" w:lineRule="exact"/>
        <w:rPr>
          <w:rFonts w:hint="eastAsia"/>
        </w:rPr>
      </w:pPr>
      <w:r>
        <w:rPr>
          <w:rFonts w:hint="eastAsia"/>
        </w:rPr>
        <w:tab/>
        <w:t>虽然《选举法》规定，在市镇选举中，如果政党或政党联盟以及公民团体提出的名单中妇女占成功候选人25％以上，国家可向其发放选举津贴，但是这项措施还需制定具体法律来落实。由于至今尚未颁布任何关于这方面的法规，因此没有任何政党、政党联盟或公民团体享受过这种选举津贴。</w:t>
      </w:r>
    </w:p>
    <w:p w:rsidR="00000000" w:rsidRDefault="00000000">
      <w:pPr>
        <w:pStyle w:val="SingleTxt"/>
        <w:spacing w:line="324" w:lineRule="exact"/>
        <w:rPr>
          <w:rFonts w:hint="eastAsia"/>
        </w:rPr>
      </w:pPr>
      <w:r>
        <w:rPr>
          <w:rFonts w:hint="eastAsia"/>
        </w:rPr>
        <w:tab/>
        <w:t>然而，依照上述内容，《国家两性平等和公平计划》下一步打算推动修改法律，纳入有关促进妇女参与行使权力和决策的措施。</w:t>
      </w:r>
    </w:p>
    <w:p w:rsidR="00000000" w:rsidRDefault="00000000">
      <w:pPr>
        <w:pStyle w:val="SingleTxt"/>
        <w:rPr>
          <w:rFonts w:hint="eastAsia"/>
        </w:rPr>
      </w:pPr>
      <w:r>
        <w:rPr>
          <w:rFonts w:hint="eastAsia"/>
        </w:rPr>
        <w:t>13.</w:t>
      </w:r>
      <w:r>
        <w:rPr>
          <w:rFonts w:hint="eastAsia"/>
        </w:rPr>
        <w:tab/>
      </w:r>
      <w:r>
        <w:rPr>
          <w:rFonts w:ascii="KaiTi_GB2312" w:eastAsia="KaiTi_GB2312" w:hint="eastAsia"/>
          <w:color w:val="0000FF"/>
        </w:rPr>
        <w:t>鉴于女代表占国民议会议员的11.1％，市政府代表的21.37％，市议会代表的15.09％，外交官的32.5％(第161、162和164段，以及报告中文本第30和31页的表格)，政府正在采取哪些措施，包括符合《公约》第4条第1款的暂行特别措施，以便鼓励妇女参与包括在国际一级的政治和公共生活</w:t>
      </w:r>
      <w:r>
        <w:rPr>
          <w:rFonts w:hint="eastAsia"/>
        </w:rPr>
        <w:t>？</w:t>
      </w:r>
    </w:p>
    <w:p w:rsidR="00000000" w:rsidRDefault="00000000">
      <w:pPr>
        <w:pStyle w:val="SingleTxt"/>
        <w:rPr>
          <w:rFonts w:hint="eastAsia"/>
        </w:rPr>
      </w:pPr>
      <w:r>
        <w:rPr>
          <w:rFonts w:hint="eastAsia"/>
        </w:rPr>
        <w:tab/>
        <w:t>佛得角政府非常重视这个问题；按照对前一个问题所作的阐述，《国家两性平等和公平计划》已适当纳入了这项内容。</w:t>
      </w:r>
    </w:p>
    <w:p w:rsidR="00000000" w:rsidRDefault="00000000">
      <w:pPr>
        <w:pStyle w:val="SingleTxt"/>
        <w:spacing w:line="324" w:lineRule="exact"/>
        <w:rPr>
          <w:rFonts w:hint="eastAsia"/>
        </w:rPr>
      </w:pPr>
      <w:r>
        <w:tab/>
      </w:r>
      <w:r>
        <w:rPr>
          <w:rFonts w:hint="eastAsia"/>
        </w:rPr>
        <w:t>对此问题还应指出，《国家两性平等和公平计划》在2005-2009年期间要执行的战略中，计划采取如下行动：(a)</w:t>
      </w:r>
      <w:r>
        <w:t xml:space="preserve"> </w:t>
      </w:r>
      <w:r>
        <w:rPr>
          <w:rFonts w:hint="eastAsia"/>
        </w:rPr>
        <w:t>与女议员网络加强合作，以便继续推动已经展开的工作，并通过所有党派的共同努力，将两性平等问题纳入国民议会的所有工作领域；(b)</w:t>
      </w:r>
      <w:r>
        <w:t xml:space="preserve"> </w:t>
      </w:r>
      <w:r>
        <w:rPr>
          <w:rFonts w:hint="eastAsia"/>
        </w:rPr>
        <w:t>制定关于鼓励妇女和青年领导人参与和“主导”的专题具体行动；(c)</w:t>
      </w:r>
      <w:r>
        <w:t xml:space="preserve"> </w:t>
      </w:r>
      <w:r>
        <w:rPr>
          <w:rFonts w:hint="eastAsia"/>
        </w:rPr>
        <w:t>在市镇一级落实两性平等政策，以便《国家两性平等和公平计划》能够有效进行横向管理，并使执行的措施更有效、更切合实际(第60-61页)。</w:t>
      </w:r>
    </w:p>
    <w:p w:rsidR="00000000" w:rsidRDefault="00000000">
      <w:pPr>
        <w:pStyle w:val="SingleTxt"/>
        <w:spacing w:line="324" w:lineRule="exact"/>
        <w:rPr>
          <w:rFonts w:hint="eastAsia"/>
        </w:rPr>
      </w:pPr>
      <w:r>
        <w:tab/>
      </w:r>
      <w:r>
        <w:rPr>
          <w:rFonts w:hint="eastAsia"/>
        </w:rPr>
        <w:t>按照《国家两性平等和公平计划》的指导方针，2006年政府方案也制定了如下目标：“权力关系制度进一步民主化，所有各级享有更好的机会，转变行为和态度，必要时可给予妇女积极的区别对待”。</w:t>
      </w:r>
    </w:p>
    <w:p w:rsidR="00000000" w:rsidRDefault="00000000">
      <w:pPr>
        <w:pStyle w:val="SingleTxt"/>
        <w:rPr>
          <w:rFonts w:hint="eastAsia"/>
        </w:rPr>
      </w:pPr>
      <w:r>
        <w:tab/>
      </w:r>
      <w:r>
        <w:rPr>
          <w:rFonts w:hint="eastAsia"/>
        </w:rPr>
        <w:t>结合这些目标与委员会第25号一般建议，现任2006年政府的组成说明，政府已经采取了吸收妇女参政的政策，因此新一届政府的20名成员(部长和国务秘书)中有6名妇女，占30％的“分配”。在前一届政府的16名部长和国务秘书中，只有3名妇女，占18.75％。因此，推动妇女参与担任国家政府的最高职务，是现任政府的一项举措。</w:t>
      </w:r>
    </w:p>
    <w:p w:rsidR="00000000" w:rsidRDefault="00000000">
      <w:pPr>
        <w:pStyle w:val="SingleTxt"/>
        <w:rPr>
          <w:rFonts w:hint="eastAsia"/>
        </w:rPr>
      </w:pPr>
      <w:r>
        <w:rPr>
          <w:rFonts w:hint="eastAsia"/>
        </w:rPr>
        <w:tab/>
        <w:t>在议会一级，妇女地位研究所在女议员网络的合作下，在议会主要政党中间推行了提高认识和共同探讨战略，以便制定平衡的候选人名单。通过这项行动，女议员的数量增加了4％(从2001年的11％提高到2006年的15％)。</w:t>
      </w:r>
    </w:p>
    <w:p w:rsidR="00000000" w:rsidRDefault="00000000">
      <w:pPr>
        <w:pStyle w:val="SingleTxt"/>
        <w:rPr>
          <w:rFonts w:hint="eastAsia"/>
        </w:rPr>
      </w:pPr>
      <w:r>
        <w:rPr>
          <w:rFonts w:hint="eastAsia"/>
        </w:rPr>
        <w:tab/>
        <w:t>在国际一级，不论男女均可被任命为佛得角外交官。</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rPr>
          <w:rFonts w:hint="eastAsia"/>
        </w:rPr>
        <w:tab/>
      </w:r>
      <w:r>
        <w:rPr>
          <w:rFonts w:hint="eastAsia"/>
        </w:rPr>
        <w:tab/>
        <w:t>第10条</w:t>
      </w:r>
    </w:p>
    <w:p w:rsidR="00000000" w:rsidRDefault="00000000">
      <w:pPr>
        <w:pStyle w:val="SingleTxt"/>
        <w:rPr>
          <w:rFonts w:hint="eastAsia"/>
        </w:rPr>
      </w:pPr>
      <w:r>
        <w:rPr>
          <w:rFonts w:hint="eastAsia"/>
        </w:rPr>
        <w:t>14.</w:t>
      </w:r>
      <w:r>
        <w:rPr>
          <w:rFonts w:hint="eastAsia"/>
        </w:rPr>
        <w:tab/>
      </w:r>
      <w:r>
        <w:rPr>
          <w:rFonts w:ascii="KaiTi_GB2312" w:eastAsia="KaiTi_GB2312" w:hint="eastAsia"/>
          <w:color w:val="0000FF"/>
        </w:rPr>
        <w:t>据2000年普查结果，妇女文盲率为32.8％；在总数为62 696人的文盲中，69.5％为妇女(报告第27段和第292段)。请说明，除了报告所述举措外，还有哪些正在采取的或者设想采取的提高妇女识字率的进一步举措</w:t>
      </w:r>
      <w:r>
        <w:rPr>
          <w:rFonts w:hint="eastAsia"/>
        </w:rPr>
        <w:t>？</w:t>
      </w:r>
    </w:p>
    <w:p w:rsidR="00000000" w:rsidRDefault="00000000">
      <w:pPr>
        <w:pStyle w:val="SingleTxt"/>
        <w:rPr>
          <w:rFonts w:hint="eastAsia"/>
        </w:rPr>
      </w:pPr>
      <w:r>
        <w:rPr>
          <w:rFonts w:hint="eastAsia"/>
        </w:rPr>
        <w:tab/>
        <w:t>为了更清楚了解情况，首先应指出，佛得角很早就开始了扫盲工作。1975年，由于当时看到国家的文盲率很高(约61.3％)，所以必须坚持不懈地采取提高民众教育能力的行动，扫盲工作就是在这一框架下展开的。</w:t>
      </w:r>
    </w:p>
    <w:p w:rsidR="00000000" w:rsidRDefault="00000000">
      <w:pPr>
        <w:pStyle w:val="SingleTxt"/>
        <w:rPr>
          <w:rFonts w:hint="eastAsia"/>
        </w:rPr>
      </w:pPr>
      <w:r>
        <w:rPr>
          <w:rFonts w:hint="eastAsia"/>
        </w:rPr>
        <w:tab/>
        <w:t>开展成人扫盲和教育活动，促进降低了佛得角的文盲率；2000年，这一比率迅速降低到25.2％。然而，2000年的普查结果显示，还需要深化在此领域开展的工作。普查数据特别显示，农村(35％)文盲率高于城市(18％)，妇女(32.8％)文盲率高于男子(17％)。此外，平均44％的农村妇女是文盲(参见《佛得角扫盲工作和初级教育——近30年简史》，第3页)。这样，通过进行的统计研究可以看出，大部分最弱势、最贫穷和文盲人口是妇女；因此，需要继续采取对妇女有益的行动，以解决妇女需要面临的问题。</w:t>
      </w:r>
    </w:p>
    <w:p w:rsidR="00000000" w:rsidRDefault="00000000">
      <w:pPr>
        <w:pStyle w:val="SingleTxt"/>
        <w:rPr>
          <w:rFonts w:hint="eastAsia"/>
        </w:rPr>
      </w:pPr>
      <w:r>
        <w:rPr>
          <w:rFonts w:hint="eastAsia"/>
        </w:rPr>
        <w:tab/>
        <w:t>查明这些问题，就能更好地对症下药。然而，虽然我们在改善最贫穷人口的生活条件和减贫方面仍然任重道远，但是可以看到，佛得角的成人扫盲和教育在质和量两方面都取得了重大进展；由于妇女是文盲程度最高的社会群体，因此是成人扫盲和教育的主要重心。参看下表：</w:t>
      </w:r>
    </w:p>
    <w:p w:rsidR="00000000" w:rsidRDefault="00000000">
      <w:pPr>
        <w:pStyle w:val="SingleTxt"/>
        <w:spacing w:after="0" w:line="140" w:lineRule="exact"/>
        <w:rPr>
          <w:rFonts w:hint="eastAsia"/>
          <w:sz w:val="10"/>
        </w:rPr>
      </w:pPr>
    </w:p>
    <w:p w:rsidR="00000000" w:rsidRDefault="00000000">
      <w:pPr>
        <w:pStyle w:val="SingleTxt"/>
        <w:spacing w:after="240"/>
        <w:rPr>
          <w:rFonts w:ascii="SimHei" w:eastAsia="SimHei" w:hint="eastAsia"/>
          <w:color w:val="FF0000"/>
        </w:rPr>
      </w:pPr>
      <w:r>
        <w:rPr>
          <w:rFonts w:ascii="SimHei" w:eastAsia="SimHei" w:hint="eastAsia"/>
          <w:color w:val="FF0000"/>
        </w:rPr>
        <w:t>1999-2005年成人扫盲统计数据简表</w:t>
      </w:r>
    </w:p>
    <w:tbl>
      <w:tblPr>
        <w:tblW w:w="5004" w:type="pct"/>
        <w:tblCellMar>
          <w:left w:w="0" w:type="dxa"/>
          <w:right w:w="0" w:type="dxa"/>
        </w:tblCellMar>
        <w:tblLook w:val="0000" w:firstRow="0" w:lastRow="0" w:firstColumn="0" w:lastColumn="0" w:noHBand="0" w:noVBand="0"/>
      </w:tblPr>
      <w:tblGrid>
        <w:gridCol w:w="952"/>
        <w:gridCol w:w="685"/>
        <w:gridCol w:w="686"/>
        <w:gridCol w:w="688"/>
        <w:gridCol w:w="113"/>
        <w:gridCol w:w="573"/>
        <w:gridCol w:w="688"/>
        <w:gridCol w:w="686"/>
        <w:gridCol w:w="125"/>
        <w:gridCol w:w="563"/>
        <w:gridCol w:w="686"/>
        <w:gridCol w:w="690"/>
        <w:gridCol w:w="91"/>
        <w:gridCol w:w="595"/>
        <w:gridCol w:w="634"/>
        <w:gridCol w:w="380"/>
        <w:gridCol w:w="712"/>
        <w:gridCol w:w="336"/>
      </w:tblGrid>
      <w:tr w:rsidR="00000000">
        <w:trPr>
          <w:cantSplit/>
          <w:trHeight w:val="255"/>
          <w:tblHeader/>
        </w:trPr>
        <w:tc>
          <w:tcPr>
            <w:tcW w:w="482" w:type="pct"/>
            <w:tcBorders>
              <w:top w:val="single" w:sz="2" w:space="0" w:color="auto"/>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jc w:val="both"/>
              <w:rPr>
                <w:rFonts w:ascii="SimHei" w:eastAsia="SimHei" w:hAnsi="SimSun"/>
                <w:color w:val="FF0000"/>
                <w:sz w:val="15"/>
                <w:lang w:val="fr-FR"/>
              </w:rPr>
            </w:pPr>
          </w:p>
        </w:tc>
        <w:tc>
          <w:tcPr>
            <w:tcW w:w="1042" w:type="pct"/>
            <w:gridSpan w:val="3"/>
            <w:tcBorders>
              <w:top w:val="single" w:sz="2" w:space="0" w:color="auto"/>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jc w:val="center"/>
              <w:rPr>
                <w:rFonts w:ascii="KaiTi_GB2312" w:eastAsia="KaiTi_GB2312" w:hAnsi="SimSun"/>
                <w:color w:val="0000FF"/>
                <w:sz w:val="15"/>
                <w:lang w:val="fr-FR"/>
              </w:rPr>
            </w:pPr>
            <w:r>
              <w:rPr>
                <w:rFonts w:ascii="KaiTi_GB2312" w:eastAsia="KaiTi_GB2312" w:hint="eastAsia"/>
                <w:color w:val="0000FF"/>
                <w:sz w:val="15"/>
              </w:rPr>
              <w:t>第一阶段</w:t>
            </w:r>
            <w:r>
              <w:rPr>
                <w:rStyle w:val="EndnoteReference"/>
                <w:rFonts w:hint="eastAsia"/>
                <w:sz w:val="18"/>
              </w:rPr>
              <w:t>*</w:t>
            </w:r>
          </w:p>
        </w:tc>
        <w:tc>
          <w:tcPr>
            <w:tcW w:w="57" w:type="pct"/>
            <w:tcBorders>
              <w:top w:val="single" w:sz="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jc w:val="center"/>
              <w:rPr>
                <w:rFonts w:ascii="KaiTi_GB2312" w:eastAsia="KaiTi_GB2312" w:hAnsi="SimSun"/>
                <w:color w:val="0000FF"/>
                <w:sz w:val="15"/>
                <w:lang w:val="fr-FR"/>
              </w:rPr>
            </w:pPr>
          </w:p>
        </w:tc>
        <w:tc>
          <w:tcPr>
            <w:tcW w:w="985" w:type="pct"/>
            <w:gridSpan w:val="3"/>
            <w:tcBorders>
              <w:top w:val="single" w:sz="2" w:space="0" w:color="auto"/>
              <w:bottom w:val="single" w:sz="4" w:space="0" w:color="auto"/>
            </w:tcBorders>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jc w:val="center"/>
              <w:rPr>
                <w:rFonts w:ascii="KaiTi_GB2312" w:eastAsia="KaiTi_GB2312" w:hAnsi="SimSun"/>
                <w:color w:val="0000FF"/>
                <w:sz w:val="15"/>
                <w:lang w:val="fr-FR"/>
              </w:rPr>
            </w:pPr>
            <w:r>
              <w:rPr>
                <w:rFonts w:ascii="KaiTi_GB2312" w:eastAsia="KaiTi_GB2312" w:hint="eastAsia"/>
                <w:color w:val="0000FF"/>
                <w:sz w:val="15"/>
              </w:rPr>
              <w:t>第二阶段</w:t>
            </w:r>
            <w:r>
              <w:rPr>
                <w:rStyle w:val="EndnoteReference"/>
                <w:rFonts w:hint="eastAsia"/>
                <w:sz w:val="18"/>
              </w:rPr>
              <w:t>**</w:t>
            </w:r>
          </w:p>
        </w:tc>
        <w:tc>
          <w:tcPr>
            <w:tcW w:w="63" w:type="pct"/>
            <w:tcBorders>
              <w:top w:val="single" w:sz="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jc w:val="center"/>
              <w:rPr>
                <w:rFonts w:ascii="KaiTi_GB2312" w:eastAsia="KaiTi_GB2312" w:hAnsi="SimSun"/>
                <w:color w:val="0000FF"/>
                <w:sz w:val="15"/>
                <w:lang w:val="fr-FR"/>
              </w:rPr>
            </w:pPr>
          </w:p>
        </w:tc>
        <w:tc>
          <w:tcPr>
            <w:tcW w:w="981" w:type="pct"/>
            <w:gridSpan w:val="3"/>
            <w:tcBorders>
              <w:top w:val="single" w:sz="2" w:space="0" w:color="auto"/>
              <w:bottom w:val="single" w:sz="4" w:space="0" w:color="auto"/>
            </w:tcBorders>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jc w:val="center"/>
              <w:rPr>
                <w:rFonts w:ascii="KaiTi_GB2312" w:eastAsia="KaiTi_GB2312" w:hAnsi="SimSun"/>
                <w:color w:val="0000FF"/>
                <w:sz w:val="15"/>
                <w:lang w:val="fr-FR"/>
              </w:rPr>
            </w:pPr>
            <w:r>
              <w:rPr>
                <w:rFonts w:ascii="KaiTi_GB2312" w:eastAsia="KaiTi_GB2312" w:hint="eastAsia"/>
                <w:color w:val="0000FF"/>
                <w:sz w:val="15"/>
              </w:rPr>
              <w:t>第三阶段</w:t>
            </w:r>
            <w:r>
              <w:rPr>
                <w:rStyle w:val="EndnoteReference"/>
                <w:rFonts w:hint="eastAsia"/>
                <w:sz w:val="18"/>
              </w:rPr>
              <w:t>***</w:t>
            </w:r>
          </w:p>
        </w:tc>
        <w:tc>
          <w:tcPr>
            <w:tcW w:w="46" w:type="pct"/>
            <w:tcBorders>
              <w:top w:val="single" w:sz="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jc w:val="center"/>
              <w:rPr>
                <w:rFonts w:ascii="KaiTi_GB2312" w:eastAsia="KaiTi_GB2312" w:hAnsi="SimSun"/>
                <w:color w:val="0000FF"/>
                <w:sz w:val="15"/>
                <w:lang w:val="fr-FR"/>
              </w:rPr>
            </w:pPr>
          </w:p>
        </w:tc>
        <w:tc>
          <w:tcPr>
            <w:tcW w:w="1344" w:type="pct"/>
            <w:gridSpan w:val="5"/>
            <w:tcBorders>
              <w:top w:val="single" w:sz="2" w:space="0" w:color="auto"/>
              <w:bottom w:val="single" w:sz="4" w:space="0" w:color="auto"/>
            </w:tcBorders>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jc w:val="center"/>
              <w:rPr>
                <w:rFonts w:ascii="KaiTi_GB2312" w:eastAsia="KaiTi_GB2312" w:hAnsi="SimSun"/>
                <w:color w:val="0000FF"/>
                <w:sz w:val="15"/>
                <w:lang w:val="fr-FR"/>
              </w:rPr>
            </w:pPr>
            <w:r>
              <w:rPr>
                <w:rFonts w:ascii="KaiTi_GB2312" w:eastAsia="KaiTi_GB2312" w:hint="eastAsia"/>
                <w:color w:val="0000FF"/>
                <w:sz w:val="15"/>
              </w:rPr>
              <w:t>一、二、三阶段共计</w:t>
            </w:r>
          </w:p>
        </w:tc>
      </w:tr>
      <w:tr w:rsidR="00000000">
        <w:trPr>
          <w:trHeight w:val="345"/>
          <w:tblHeader/>
        </w:trPr>
        <w:tc>
          <w:tcPr>
            <w:tcW w:w="482"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pStyle w:val="Heading1"/>
              <w:numPr>
                <w:ilvl w:val="0"/>
                <w:numId w:val="0"/>
              </w:num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both"/>
              <w:rPr>
                <w:rFonts w:ascii="KaiTi_GB2312" w:eastAsia="KaiTi_GB2312" w:hAnsi="SimSun"/>
                <w:b w:val="0"/>
                <w:bCs w:val="0"/>
                <w:color w:val="0000FF"/>
                <w:sz w:val="15"/>
                <w:lang w:val="fr-FR"/>
              </w:rPr>
            </w:pPr>
            <w:r>
              <w:rPr>
                <w:rFonts w:ascii="KaiTi_GB2312" w:eastAsia="KaiTi_GB2312" w:hint="eastAsia"/>
                <w:b w:val="0"/>
                <w:bCs w:val="0"/>
                <w:color w:val="0000FF"/>
                <w:sz w:val="15"/>
              </w:rPr>
              <w:t xml:space="preserve">年份 </w:t>
            </w:r>
          </w:p>
        </w:tc>
        <w:tc>
          <w:tcPr>
            <w:tcW w:w="347"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总数</w:t>
            </w:r>
          </w:p>
        </w:tc>
        <w:tc>
          <w:tcPr>
            <w:tcW w:w="347"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男性</w:t>
            </w:r>
          </w:p>
        </w:tc>
        <w:tc>
          <w:tcPr>
            <w:tcW w:w="348"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女性</w:t>
            </w:r>
          </w:p>
        </w:tc>
        <w:tc>
          <w:tcPr>
            <w:tcW w:w="347" w:type="pct"/>
            <w:gridSpan w:val="2"/>
            <w:tcBorders>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总数</w:t>
            </w:r>
          </w:p>
        </w:tc>
        <w:tc>
          <w:tcPr>
            <w:tcW w:w="348" w:type="pct"/>
            <w:tcBorders>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男性</w:t>
            </w:r>
          </w:p>
        </w:tc>
        <w:tc>
          <w:tcPr>
            <w:tcW w:w="347"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女性</w:t>
            </w:r>
          </w:p>
        </w:tc>
        <w:tc>
          <w:tcPr>
            <w:tcW w:w="348" w:type="pct"/>
            <w:gridSpan w:val="2"/>
            <w:tcBorders>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总数</w:t>
            </w:r>
          </w:p>
        </w:tc>
        <w:tc>
          <w:tcPr>
            <w:tcW w:w="347" w:type="pct"/>
            <w:tcBorders>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男性</w:t>
            </w:r>
          </w:p>
        </w:tc>
        <w:tc>
          <w:tcPr>
            <w:tcW w:w="349"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女性</w:t>
            </w:r>
          </w:p>
        </w:tc>
        <w:tc>
          <w:tcPr>
            <w:tcW w:w="347" w:type="pct"/>
            <w:gridSpan w:val="2"/>
            <w:tcBorders>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总数</w:t>
            </w:r>
          </w:p>
        </w:tc>
        <w:tc>
          <w:tcPr>
            <w:tcW w:w="321"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男性</w:t>
            </w:r>
          </w:p>
        </w:tc>
        <w:tc>
          <w:tcPr>
            <w:tcW w:w="192"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lang w:val="fr-FR"/>
              </w:rPr>
              <w:t>％</w:t>
            </w:r>
          </w:p>
        </w:tc>
        <w:tc>
          <w:tcPr>
            <w:tcW w:w="360"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rPr>
              <w:t>女性</w:t>
            </w:r>
          </w:p>
        </w:tc>
        <w:tc>
          <w:tcPr>
            <w:tcW w:w="169"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40" w:lineRule="exact"/>
              <w:ind w:right="28"/>
              <w:jc w:val="right"/>
              <w:rPr>
                <w:rFonts w:ascii="KaiTi_GB2312" w:eastAsia="KaiTi_GB2312" w:hAnsi="SimSun"/>
                <w:color w:val="0000FF"/>
                <w:sz w:val="15"/>
                <w:lang w:val="fr-FR"/>
              </w:rPr>
            </w:pPr>
            <w:r>
              <w:rPr>
                <w:rFonts w:ascii="KaiTi_GB2312" w:eastAsia="KaiTi_GB2312" w:hint="eastAsia"/>
                <w:color w:val="0000FF"/>
                <w:sz w:val="15"/>
                <w:lang w:val="fr-FR"/>
              </w:rPr>
              <w:t>％</w:t>
            </w:r>
          </w:p>
        </w:tc>
      </w:tr>
      <w:tr w:rsidR="00000000">
        <w:trPr>
          <w:trHeight w:hRule="exact" w:val="115"/>
        </w:trPr>
        <w:tc>
          <w:tcPr>
            <w:tcW w:w="482"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both"/>
              <w:rPr>
                <w:rFonts w:ascii="SimHei" w:eastAsia="SimHei" w:hAnsi="SimSun"/>
                <w:color w:val="FF0000"/>
                <w:sz w:val="17"/>
                <w:lang w:val="fr-FR"/>
              </w:rPr>
            </w:pPr>
          </w:p>
        </w:tc>
        <w:tc>
          <w:tcPr>
            <w:tcW w:w="347"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347"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348"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347" w:type="pct"/>
            <w:gridSpan w:val="2"/>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348"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347"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348" w:type="pct"/>
            <w:gridSpan w:val="2"/>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347"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349"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347" w:type="pct"/>
            <w:gridSpan w:val="2"/>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321"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192"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360"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c>
          <w:tcPr>
            <w:tcW w:w="169" w:type="pct"/>
            <w:tcBorders>
              <w:top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line="240" w:lineRule="exact"/>
              <w:jc w:val="right"/>
              <w:rPr>
                <w:rFonts w:hAnsi="SimSun"/>
                <w:sz w:val="17"/>
                <w:lang w:val="fr-FR"/>
              </w:rPr>
            </w:pP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both"/>
              <w:rPr>
                <w:rFonts w:hAnsi="SimSun"/>
                <w:color w:val="FF0000"/>
                <w:sz w:val="17"/>
                <w:lang w:val="fr-FR"/>
              </w:rPr>
            </w:pPr>
            <w:r>
              <w:rPr>
                <w:rFonts w:hAnsi="SimSun"/>
                <w:color w:val="FF0000"/>
                <w:sz w:val="17"/>
                <w:lang w:val="fr-FR"/>
              </w:rPr>
              <w:t>1979/80</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w:t>
            </w:r>
            <w:r>
              <w:rPr>
                <w:rFonts w:hAnsi="SimSun"/>
                <w:sz w:val="17"/>
              </w:rPr>
              <w:t xml:space="preserve"> </w:t>
            </w:r>
            <w:r>
              <w:rPr>
                <w:rFonts w:hAnsi="SimSun"/>
                <w:sz w:val="17"/>
                <w:lang w:val="fr-FR"/>
              </w:rPr>
              <w:t>176</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447</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729</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322</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162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160</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1 498</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609</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41</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889</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59</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both"/>
              <w:rPr>
                <w:rFonts w:hAnsi="SimSun"/>
                <w:color w:val="FF0000"/>
                <w:sz w:val="17"/>
                <w:lang w:val="fr-FR"/>
              </w:rPr>
            </w:pPr>
            <w:r>
              <w:rPr>
                <w:rFonts w:hAnsi="SimSun"/>
                <w:color w:val="FF0000"/>
                <w:sz w:val="17"/>
                <w:lang w:val="fr-FR"/>
              </w:rPr>
              <w:t>1980/81</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1 263</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480</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783</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496</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250</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246</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1 759</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730</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42</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1 029</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58</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both"/>
              <w:rPr>
                <w:rFonts w:hAnsi="SimSun"/>
                <w:color w:val="FF0000"/>
                <w:sz w:val="17"/>
                <w:lang w:val="fr-FR"/>
              </w:rPr>
            </w:pPr>
            <w:r>
              <w:rPr>
                <w:rFonts w:hAnsi="SimSun"/>
                <w:color w:val="FF0000"/>
                <w:sz w:val="17"/>
                <w:lang w:val="fr-FR"/>
              </w:rPr>
              <w:t>1981/82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1 937</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737</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1 200</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515</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260</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255</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2 452</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 xml:space="preserve"> 997</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41</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1 455</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59</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both"/>
              <w:rPr>
                <w:rFonts w:hAnsi="SimSun"/>
                <w:color w:val="FF0000"/>
                <w:sz w:val="17"/>
                <w:lang w:val="fr-FR"/>
              </w:rPr>
            </w:pPr>
            <w:r>
              <w:rPr>
                <w:rFonts w:hAnsi="SimSun"/>
                <w:color w:val="FF0000"/>
                <w:sz w:val="17"/>
                <w:lang w:val="fr-FR"/>
              </w:rPr>
              <w:t>1982/83</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1 831</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696</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1 135</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718</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362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356</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2 549</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1 058</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42</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1 491</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0" w:lineRule="exact"/>
              <w:ind w:right="28"/>
              <w:jc w:val="right"/>
              <w:rPr>
                <w:rFonts w:hAnsi="SimSun"/>
                <w:sz w:val="17"/>
                <w:lang w:val="fr-FR"/>
              </w:rPr>
            </w:pPr>
            <w:r>
              <w:rPr>
                <w:rFonts w:hAnsi="SimSun"/>
                <w:sz w:val="17"/>
                <w:lang w:val="fr-FR"/>
              </w:rPr>
              <w:t>58</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1983/84</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2 828</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1 076</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1 752</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635</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320</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315</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3 463</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1 396</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40</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2 067</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60</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1984/85</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4 385</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1 668</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2 717</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1 034</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522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512</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5 419</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2 190</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40</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3 229</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60</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1985/86</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3 969</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1 659</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2 310</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1 988</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1 173</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815</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5 957</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2 832</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48</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3 125</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52</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1986/87</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3 320</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1 302</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2 018</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2 616</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1 321</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1 295</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5 936</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2 623</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44</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3 313</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56</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1987/88</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2 716</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995</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1 721</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2 934</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1 397</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1 537</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5 650</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2 392</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42</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3 258</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58</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1988/89</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5 269</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1 799</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3 470</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3 156</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1 584</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1 572</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8 425</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3 383</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40</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5 042</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60</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1989/90</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4 151</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1 242</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2 909</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3 853</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1 782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2 071</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8 004</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3 024</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38</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4 980</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62</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1990/91</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2 656</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843</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1 813</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3 188</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1 334</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1 854</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5 844</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2 177</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37</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3 667</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63</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1991/92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714</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306</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408</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1 263</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555</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708</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1 977</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861</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44</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1 116</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56</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1992/93</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511</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158</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353</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756</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340</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416</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1 267</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498</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39</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 xml:space="preserve"> 769</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61</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1993/94</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609</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301</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308</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900</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492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408</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354</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168</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186</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1 863</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961</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52</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902</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48</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1994/95</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1 002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323</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679</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1 055</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424</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631</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361</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160</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201</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2 418</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907</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38</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1 511</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62</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1995/96</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962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295</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667</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1 390</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497</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893</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231</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103</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128</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2 583</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895</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35</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1 688</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65</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1996/97</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966</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295</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671</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1 225</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469</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756</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389</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184</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214</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2 580</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948</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37</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1 641</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64</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1997/98</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734</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188</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546</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881</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296</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585</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1 490</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584</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906</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3 105</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1 068</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34</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2 037</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66</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1998/99</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662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228</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487</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980</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279</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683</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3 305</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1 372</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1 933</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4 947</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1 879</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38</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3 103</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63</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1999/2000</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426</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124</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302</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669</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242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427</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1 557</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697</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860</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2 652</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1 063</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40</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1 589</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60</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2000/2001</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331</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101</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230</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487</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180</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307</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961</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323</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638</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1 779</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604</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34</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1 175</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66</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2001/2002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409</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117</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292</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337</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122</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215</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817</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312</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505</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1 563</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551</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35</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1 012</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65</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2002/2003</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614</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135</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479</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378</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138</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240</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1 065</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460</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605</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2 057</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733</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36</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1 324</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64</w:t>
            </w:r>
          </w:p>
        </w:tc>
      </w:tr>
      <w:tr w:rsidR="00000000">
        <w:trPr>
          <w:trHeight w:val="345"/>
        </w:trPr>
        <w:tc>
          <w:tcPr>
            <w:tcW w:w="48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2003/2004</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847</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244</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603</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793</w:t>
            </w:r>
          </w:p>
        </w:tc>
        <w:tc>
          <w:tcPr>
            <w:tcW w:w="348"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279</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514</w:t>
            </w:r>
          </w:p>
        </w:tc>
        <w:tc>
          <w:tcPr>
            <w:tcW w:w="348"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1 769</w:t>
            </w:r>
          </w:p>
        </w:tc>
        <w:tc>
          <w:tcPr>
            <w:tcW w:w="347"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690</w:t>
            </w:r>
          </w:p>
        </w:tc>
        <w:tc>
          <w:tcPr>
            <w:tcW w:w="34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1 079</w:t>
            </w:r>
          </w:p>
        </w:tc>
        <w:tc>
          <w:tcPr>
            <w:tcW w:w="347" w:type="pct"/>
            <w:gridSpan w:val="2"/>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3 409</w:t>
            </w:r>
          </w:p>
        </w:tc>
        <w:tc>
          <w:tcPr>
            <w:tcW w:w="321"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1 213</w:t>
            </w:r>
          </w:p>
        </w:tc>
        <w:tc>
          <w:tcPr>
            <w:tcW w:w="192"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36</w:t>
            </w:r>
          </w:p>
        </w:tc>
        <w:tc>
          <w:tcPr>
            <w:tcW w:w="360"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2 196</w:t>
            </w:r>
          </w:p>
        </w:tc>
        <w:tc>
          <w:tcPr>
            <w:tcW w:w="169" w:type="pct"/>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64</w:t>
            </w:r>
          </w:p>
        </w:tc>
      </w:tr>
      <w:tr w:rsidR="00000000">
        <w:trPr>
          <w:trHeight w:val="345"/>
        </w:trPr>
        <w:tc>
          <w:tcPr>
            <w:tcW w:w="482"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hAnsi="SimSun"/>
                <w:color w:val="FF0000"/>
                <w:sz w:val="17"/>
                <w:lang w:val="fr-FR"/>
              </w:rPr>
            </w:pPr>
            <w:r>
              <w:rPr>
                <w:rFonts w:hAnsi="SimSun"/>
                <w:color w:val="FF0000"/>
                <w:sz w:val="17"/>
                <w:lang w:val="fr-FR"/>
              </w:rPr>
              <w:t>2004/2005</w:t>
            </w:r>
          </w:p>
        </w:tc>
        <w:tc>
          <w:tcPr>
            <w:tcW w:w="347"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751</w:t>
            </w:r>
          </w:p>
        </w:tc>
        <w:tc>
          <w:tcPr>
            <w:tcW w:w="347"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192</w:t>
            </w:r>
          </w:p>
        </w:tc>
        <w:tc>
          <w:tcPr>
            <w:tcW w:w="348"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559</w:t>
            </w:r>
          </w:p>
        </w:tc>
        <w:tc>
          <w:tcPr>
            <w:tcW w:w="347" w:type="pct"/>
            <w:gridSpan w:val="2"/>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843</w:t>
            </w:r>
          </w:p>
        </w:tc>
        <w:tc>
          <w:tcPr>
            <w:tcW w:w="348"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247</w:t>
            </w:r>
          </w:p>
        </w:tc>
        <w:tc>
          <w:tcPr>
            <w:tcW w:w="347"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596</w:t>
            </w:r>
          </w:p>
        </w:tc>
        <w:tc>
          <w:tcPr>
            <w:tcW w:w="348" w:type="pct"/>
            <w:gridSpan w:val="2"/>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1 351</w:t>
            </w:r>
          </w:p>
        </w:tc>
        <w:tc>
          <w:tcPr>
            <w:tcW w:w="347"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455</w:t>
            </w:r>
          </w:p>
        </w:tc>
        <w:tc>
          <w:tcPr>
            <w:tcW w:w="349"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896</w:t>
            </w:r>
          </w:p>
        </w:tc>
        <w:tc>
          <w:tcPr>
            <w:tcW w:w="347" w:type="pct"/>
            <w:gridSpan w:val="2"/>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2 945</w:t>
            </w:r>
          </w:p>
        </w:tc>
        <w:tc>
          <w:tcPr>
            <w:tcW w:w="321"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894</w:t>
            </w:r>
          </w:p>
        </w:tc>
        <w:tc>
          <w:tcPr>
            <w:tcW w:w="192"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30</w:t>
            </w:r>
          </w:p>
        </w:tc>
        <w:tc>
          <w:tcPr>
            <w:tcW w:w="360"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2 051</w:t>
            </w:r>
          </w:p>
        </w:tc>
        <w:tc>
          <w:tcPr>
            <w:tcW w:w="169" w:type="pct"/>
            <w:tcBorders>
              <w:bottom w:val="single" w:sz="4"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hAnsi="SimSun"/>
                <w:sz w:val="17"/>
                <w:lang w:val="fr-FR"/>
              </w:rPr>
            </w:pPr>
            <w:r>
              <w:rPr>
                <w:rFonts w:hAnsi="SimSun"/>
                <w:sz w:val="17"/>
                <w:lang w:val="fr-FR"/>
              </w:rPr>
              <w:t>70</w:t>
            </w:r>
          </w:p>
        </w:tc>
      </w:tr>
      <w:tr w:rsidR="00000000">
        <w:trPr>
          <w:trHeight w:val="345"/>
        </w:trPr>
        <w:tc>
          <w:tcPr>
            <w:tcW w:w="482"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both"/>
              <w:rPr>
                <w:rFonts w:ascii="SimHei" w:eastAsia="SimHei" w:hAnsi="SimSun" w:hint="eastAsia"/>
                <w:b/>
                <w:bCs/>
                <w:color w:val="FF0000"/>
                <w:sz w:val="17"/>
                <w:lang w:val="fr-FR"/>
              </w:rPr>
            </w:pPr>
            <w:r>
              <w:rPr>
                <w:rFonts w:ascii="SimHei" w:eastAsia="SimHei" w:hAnsi="SimSun" w:hint="eastAsia"/>
                <w:b/>
                <w:bCs/>
                <w:color w:val="FF0000"/>
                <w:sz w:val="17"/>
                <w:lang w:val="fr-FR"/>
              </w:rPr>
              <w:t xml:space="preserve">　共计</w:t>
            </w:r>
          </w:p>
        </w:tc>
        <w:tc>
          <w:tcPr>
            <w:tcW w:w="347"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45 039</w:t>
            </w:r>
          </w:p>
        </w:tc>
        <w:tc>
          <w:tcPr>
            <w:tcW w:w="347"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15 951</w:t>
            </w:r>
          </w:p>
        </w:tc>
        <w:tc>
          <w:tcPr>
            <w:tcW w:w="348"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29 141</w:t>
            </w:r>
          </w:p>
        </w:tc>
        <w:tc>
          <w:tcPr>
            <w:tcW w:w="347" w:type="pct"/>
            <w:gridSpan w:val="2"/>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33 412</w:t>
            </w:r>
          </w:p>
        </w:tc>
        <w:tc>
          <w:tcPr>
            <w:tcW w:w="348"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15 027</w:t>
            </w:r>
          </w:p>
        </w:tc>
        <w:tc>
          <w:tcPr>
            <w:tcW w:w="347"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18 367</w:t>
            </w:r>
          </w:p>
        </w:tc>
        <w:tc>
          <w:tcPr>
            <w:tcW w:w="348" w:type="pct"/>
            <w:gridSpan w:val="2"/>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13 650</w:t>
            </w:r>
          </w:p>
        </w:tc>
        <w:tc>
          <w:tcPr>
            <w:tcW w:w="347"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5 508</w:t>
            </w:r>
          </w:p>
        </w:tc>
        <w:tc>
          <w:tcPr>
            <w:tcW w:w="349"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8 151</w:t>
            </w:r>
          </w:p>
        </w:tc>
        <w:tc>
          <w:tcPr>
            <w:tcW w:w="347" w:type="pct"/>
            <w:gridSpan w:val="2"/>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92 101</w:t>
            </w:r>
          </w:p>
        </w:tc>
        <w:tc>
          <w:tcPr>
            <w:tcW w:w="321"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36 486</w:t>
            </w:r>
          </w:p>
        </w:tc>
        <w:tc>
          <w:tcPr>
            <w:tcW w:w="192"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40</w:t>
            </w:r>
          </w:p>
        </w:tc>
        <w:tc>
          <w:tcPr>
            <w:tcW w:w="360"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55 659</w:t>
            </w:r>
          </w:p>
        </w:tc>
        <w:tc>
          <w:tcPr>
            <w:tcW w:w="169" w:type="pct"/>
            <w:tcBorders>
              <w:top w:val="single" w:sz="4" w:space="0" w:color="auto"/>
              <w:bottom w:val="single" w:sz="12" w:space="0" w:color="auto"/>
            </w:tcBorders>
            <w:noWrap/>
            <w:tcMar>
              <w:top w:w="15" w:type="dxa"/>
              <w:left w:w="15" w:type="dxa"/>
              <w:bottom w:w="0" w:type="dxa"/>
              <w:right w:w="15" w:type="dxa"/>
            </w:tcMar>
            <w:vAlign w:val="bottom"/>
          </w:tcPr>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60" w:after="60" w:line="288" w:lineRule="exact"/>
              <w:ind w:right="28"/>
              <w:jc w:val="right"/>
              <w:rPr>
                <w:rFonts w:ascii="SimHei" w:eastAsia="SimHei" w:hAnsi="SimSun"/>
                <w:b/>
                <w:bCs/>
                <w:color w:val="FF0000"/>
                <w:sz w:val="17"/>
                <w:lang w:val="fr-FR"/>
              </w:rPr>
            </w:pPr>
            <w:r>
              <w:rPr>
                <w:rFonts w:ascii="SimHei" w:eastAsia="SimHei" w:hAnsi="SimSun"/>
                <w:b/>
                <w:bCs/>
                <w:color w:val="FF0000"/>
                <w:sz w:val="17"/>
                <w:lang w:val="fr-FR"/>
              </w:rPr>
              <w:t>60</w:t>
            </w:r>
          </w:p>
        </w:tc>
      </w:tr>
    </w:tbl>
    <w:p w:rsidR="00000000" w:rsidRDefault="00000000">
      <w:pPr>
        <w:pStyle w:val="SingleTxt"/>
        <w:spacing w:after="0" w:line="160" w:lineRule="exact"/>
        <w:ind w:left="425"/>
        <w:rPr>
          <w:rFonts w:ascii="KaiTi_GB2312" w:eastAsia="KaiTi_GB2312" w:hint="eastAsia"/>
          <w:color w:val="0000FF"/>
          <w:sz w:val="18"/>
        </w:rPr>
      </w:pPr>
    </w:p>
    <w:p w:rsidR="00000000" w:rsidRDefault="00000000">
      <w:pPr>
        <w:pStyle w:val="SingleTxt"/>
        <w:spacing w:after="80" w:line="280" w:lineRule="exact"/>
        <w:ind w:left="425"/>
        <w:rPr>
          <w:rFonts w:hint="eastAsia"/>
          <w:sz w:val="18"/>
        </w:rPr>
      </w:pPr>
      <w:r>
        <w:rPr>
          <w:rFonts w:ascii="KaiTi_GB2312" w:eastAsia="KaiTi_GB2312" w:hint="eastAsia"/>
          <w:color w:val="0000FF"/>
          <w:sz w:val="18"/>
        </w:rPr>
        <w:t>资料来源</w:t>
      </w:r>
      <w:r>
        <w:rPr>
          <w:rFonts w:hint="eastAsia"/>
          <w:sz w:val="18"/>
        </w:rPr>
        <w:t>：成人扫盲和教育总局，2005年9月。</w:t>
      </w:r>
    </w:p>
    <w:p w:rsidR="00000000" w:rsidRDefault="00000000">
      <w:pPr>
        <w:pStyle w:val="SingleTxt"/>
        <w:spacing w:after="80" w:line="280" w:lineRule="exact"/>
        <w:ind w:left="425"/>
        <w:rPr>
          <w:rFonts w:hint="eastAsia"/>
          <w:sz w:val="18"/>
        </w:rPr>
      </w:pPr>
      <w:r>
        <w:rPr>
          <w:rStyle w:val="EndnoteReference"/>
          <w:rFonts w:hint="eastAsia"/>
          <w:sz w:val="18"/>
        </w:rPr>
        <w:t>*</w:t>
      </w:r>
      <w:r>
        <w:rPr>
          <w:rFonts w:hint="eastAsia"/>
          <w:sz w:val="18"/>
        </w:rPr>
        <w:t xml:space="preserve">   第一阶段：对应初级教育第一和第二年；</w:t>
      </w:r>
    </w:p>
    <w:p w:rsidR="00000000" w:rsidRDefault="00000000">
      <w:pPr>
        <w:pStyle w:val="SingleTxt"/>
        <w:spacing w:after="80" w:line="280" w:lineRule="exact"/>
        <w:ind w:left="425"/>
        <w:rPr>
          <w:rFonts w:hint="eastAsia"/>
          <w:sz w:val="18"/>
        </w:rPr>
      </w:pPr>
      <w:r>
        <w:rPr>
          <w:rStyle w:val="EndnoteReference"/>
          <w:rFonts w:hint="eastAsia"/>
          <w:sz w:val="18"/>
        </w:rPr>
        <w:t>**</w:t>
      </w:r>
      <w:r>
        <w:rPr>
          <w:rFonts w:hint="eastAsia"/>
          <w:sz w:val="18"/>
        </w:rPr>
        <w:t xml:space="preserve"> </w:t>
      </w:r>
      <w:r>
        <w:rPr>
          <w:sz w:val="18"/>
        </w:rPr>
        <w:t xml:space="preserve"> </w:t>
      </w:r>
      <w:r>
        <w:rPr>
          <w:rFonts w:hint="eastAsia"/>
          <w:sz w:val="18"/>
        </w:rPr>
        <w:t>第二阶段：对应初级教育第三和第四年；</w:t>
      </w:r>
    </w:p>
    <w:p w:rsidR="00000000" w:rsidRDefault="00000000">
      <w:pPr>
        <w:pStyle w:val="SingleTxt"/>
        <w:spacing w:after="80" w:line="280" w:lineRule="exact"/>
        <w:ind w:left="425"/>
        <w:rPr>
          <w:rFonts w:hint="eastAsia"/>
        </w:rPr>
      </w:pPr>
      <w:r>
        <w:rPr>
          <w:rStyle w:val="EndnoteReference"/>
          <w:rFonts w:hint="eastAsia"/>
          <w:sz w:val="18"/>
        </w:rPr>
        <w:t>***</w:t>
      </w:r>
      <w:r>
        <w:rPr>
          <w:rFonts w:hint="eastAsia"/>
          <w:sz w:val="18"/>
        </w:rPr>
        <w:t xml:space="preserve"> 第三阶段：对应初级教育第五和第六年。</w:t>
      </w:r>
    </w:p>
    <w:p w:rsidR="00000000" w:rsidRDefault="00000000">
      <w:pPr>
        <w:pStyle w:val="SingleTxt"/>
        <w:spacing w:line="340" w:lineRule="exact"/>
        <w:rPr>
          <w:rFonts w:hint="eastAsia"/>
        </w:rPr>
      </w:pPr>
      <w:r>
        <w:rPr>
          <w:rFonts w:hint="eastAsia"/>
        </w:rPr>
        <w:tab/>
        <w:t>在成人扫盲方面，目前的成人初级教育方案旨在在所有青年和成人中普及初级教育。该方案对应6年义务教育，但不仅仅是扫盲问题，而是要把成人扫盲和教育活动纳入地方和社区发展的框架中，并尽可能将普通教育与基础专业培训结合起来。该方案提出的教育方案有利于扫盲和灵活的成人教育，应当能够适应各岛和各县“学生”的需要。</w:t>
      </w:r>
    </w:p>
    <w:p w:rsidR="00000000" w:rsidRDefault="00000000">
      <w:pPr>
        <w:pStyle w:val="SingleTxt"/>
        <w:spacing w:line="340" w:lineRule="exact"/>
        <w:rPr>
          <w:rFonts w:hint="eastAsia"/>
        </w:rPr>
      </w:pPr>
      <w:r>
        <w:rPr>
          <w:rFonts w:hint="eastAsia"/>
        </w:rPr>
        <w:tab/>
        <w:t>采用这项方案之后，技术人员结合佛得角的实际社会状况，编订了教学方案、教材和指南，并在试用和调整之后进行了推广。为提高义务初级教育水平，本国很多县尝试对完成了初级教育第三阶段的成人，提供中级教育分科前一级(七年级和八年级)的教育，目的是让成人教育方案适应新的市场需要或与教育工作人员直接有关的需要。</w:t>
      </w:r>
    </w:p>
    <w:p w:rsidR="00000000" w:rsidRDefault="00000000">
      <w:pPr>
        <w:pStyle w:val="SingleTxt"/>
        <w:spacing w:line="340" w:lineRule="exact"/>
        <w:rPr>
          <w:rFonts w:hint="eastAsia"/>
        </w:rPr>
      </w:pPr>
      <w:r>
        <w:rPr>
          <w:rFonts w:hint="eastAsia"/>
        </w:rPr>
        <w:tab/>
        <w:t>国家一级的扫盲与成人教育工作是由一群业余工作者承担的，他们几乎都完成了任教培训第一阶段，还有三分之一完成了第二阶段，被认为可以辅导五、六年级(对应初级教育第三阶段)的成人学生。这些业余教师具有社会和法律承认的任教经验，而且有教员资格。</w:t>
      </w:r>
    </w:p>
    <w:p w:rsidR="00000000" w:rsidRDefault="00000000">
      <w:pPr>
        <w:pStyle w:val="SingleTxt"/>
        <w:spacing w:line="340" w:lineRule="exact"/>
        <w:rPr>
          <w:rFonts w:hint="eastAsia"/>
        </w:rPr>
      </w:pPr>
      <w:r>
        <w:rPr>
          <w:rFonts w:hint="eastAsia"/>
        </w:rPr>
        <w:tab/>
        <w:t>可以看出，对成人进行的校外教育采用的是全面的办法，教育理念中不仅包括扫盲，而且包括职业培训。在制定的所有方案中，妇女和15-49岁年龄段都被作为优先对象。</w:t>
      </w:r>
    </w:p>
    <w:p w:rsidR="00000000" w:rsidRDefault="00000000">
      <w:pPr>
        <w:pStyle w:val="SingleTxt"/>
        <w:spacing w:line="340" w:lineRule="exact"/>
        <w:rPr>
          <w:rFonts w:hint="eastAsia"/>
        </w:rPr>
      </w:pPr>
      <w:r>
        <w:rPr>
          <w:rFonts w:hint="eastAsia"/>
        </w:rPr>
        <w:tab/>
        <w:t>目前的实际情况如下：成人扫盲和教育分系统是独立的；成人教育采取分散式的结构；成人教育活动在地方发展过程中，与基础职业培训相结合；在全国12个县中设有固定和流动的公共图书馆网络；在青年和成人教育与培训领域有很多新项目，有的已筹到了资金，有的还有待获得资助；各县成人教育中心举行活动的装备情况较好；《Alfa》期刊已经成立了15年，目前发行量为8 000份，有12页版面纯粹信息性的内容，该期刊是在多方伙伴的合作下发行的；与本国和国外机构合作举办远程基础、中级和高级成人教育项目；与总部设在瑞士日内瓦的发展与成人教育学院和巴西非政府组织“共同扫盲”合作试用新的成人扫盲和教育办法；另外还有很多别的项目。</w:t>
      </w:r>
    </w:p>
    <w:p w:rsidR="00000000" w:rsidRDefault="00000000">
      <w:pPr>
        <w:pStyle w:val="SingleTxt"/>
        <w:spacing w:line="340" w:lineRule="exact"/>
        <w:rPr>
          <w:rFonts w:hint="eastAsia"/>
        </w:rPr>
      </w:pPr>
      <w:r>
        <w:rPr>
          <w:rFonts w:hint="eastAsia"/>
        </w:rPr>
        <w:tab/>
        <w:t>此外，成人扫盲和教育总局还为已经扫盲的人员增加了几个阶段的远程教育项目，水平相当于七、八年级；这项教育通过三种途径进行：书面材料(发放教科书)；无线电播送(无线电广播授课)和上课(指导学习)。</w:t>
      </w:r>
    </w:p>
    <w:p w:rsidR="00000000" w:rsidRDefault="00000000">
      <w:pPr>
        <w:pStyle w:val="SingleTxt"/>
        <w:spacing w:line="340" w:lineRule="exact"/>
        <w:rPr>
          <w:rFonts w:hint="eastAsia"/>
        </w:rPr>
      </w:pPr>
      <w:r>
        <w:rPr>
          <w:rFonts w:hint="eastAsia"/>
        </w:rPr>
        <w:tab/>
        <w:t>最后应指出，2005-2009年《国家两性平等和公平计划》继续将降低妇女(主要是24岁及以上年龄段)文盲率作为计划完成的行动。</w:t>
      </w:r>
    </w:p>
    <w:p w:rsidR="00000000" w:rsidRDefault="00000000">
      <w:pPr>
        <w:pStyle w:val="SingleTxt"/>
        <w:spacing w:line="340" w:lineRule="exact"/>
        <w:rPr>
          <w:rFonts w:hint="eastAsia"/>
        </w:rPr>
      </w:pPr>
      <w:r>
        <w:rPr>
          <w:rFonts w:hint="eastAsia"/>
        </w:rPr>
        <w:t>15.</w:t>
      </w:r>
      <w:r>
        <w:rPr>
          <w:rFonts w:hint="eastAsia"/>
        </w:rPr>
        <w:tab/>
      </w:r>
      <w:r>
        <w:rPr>
          <w:rFonts w:ascii="KaiTi_GB2312" w:eastAsia="KaiTi_GB2312" w:hint="eastAsia"/>
          <w:color w:val="0000FF"/>
        </w:rPr>
        <w:t>报告表明，“同时，自2001/2002学年起，教育、文化和体育部下达了通知，可能“临时中止怀孕学生在校学习”(见第294段)。报告还表明，这一措施引起了极大争议，而且“……引起民间社会团体的反应和抗议，尽管尚未对这项措施的实际影响进行具体研究”(见第296段)。请说明是否进行了任何研究以评估这项措施的影响，并表明政府在这方面的立场</w:t>
      </w:r>
      <w:r>
        <w:rPr>
          <w:rFonts w:hint="eastAsia"/>
        </w:rPr>
        <w:t>。</w:t>
      </w:r>
    </w:p>
    <w:p w:rsidR="00000000" w:rsidRDefault="00000000">
      <w:pPr>
        <w:pStyle w:val="SingleTxt"/>
        <w:spacing w:line="336" w:lineRule="exact"/>
        <w:rPr>
          <w:rFonts w:hint="eastAsia"/>
        </w:rPr>
      </w:pPr>
      <w:r>
        <w:rPr>
          <w:rFonts w:hint="eastAsia"/>
        </w:rPr>
        <w:tab/>
        <w:t>目前没有任何关于在校青少年怀孕问题的研究；教育和人力资源开发部有一些关于2003/2004和2004/2005学年对此项措施的跟踪数据。数据显示，在校怀孕学生的百分比低于1％。如果算上次年返校的学生人数，可以看出60％的怀孕学生成功完成了学业，而且怀孕学生数量在所述两年期间没有变化，甚至有减少的趋势。需要说明的是，这项措施首先引起了民间社会若干阶层的争议，因为它被错误地解释为开除而不是暂停学业。然而，教育和人力资源开发部一直在解释，暂停学业其实在逐案分析之后采取的一项措施，要与每所学校负责社会事务的副校长进行协商，由其根据与学生家属、学生本人和学校之间的对话情况，在征得各方同意的条件下作出休学决定。因此，这项措施应被看作是保护学生，因为佛得角教育制度只允许学生留级两次(参见10月27日《第41/2003号法令》)，否则将失去在此制度中继续学业的权利。这样，怀孕学生不会在怀孕的这一年里考试被淘汰，最多只是暂时休学。</w:t>
      </w:r>
    </w:p>
    <w:p w:rsidR="00000000" w:rsidRDefault="00000000">
      <w:pPr>
        <w:pStyle w:val="SingleTxt"/>
        <w:spacing w:line="336" w:lineRule="exact"/>
        <w:rPr>
          <w:rFonts w:hint="eastAsia"/>
        </w:rPr>
      </w:pPr>
      <w:r>
        <w:rPr>
          <w:rFonts w:hint="eastAsia"/>
        </w:rPr>
        <w:tab/>
        <w:t>根据教育和人力资源开发部的指导，“在校怀孕少女临时中止学业”措施，是依据保护孕妇和儿童以及在条件允许情况下，保障接受教育和培训的宪法权利提出的。这不是一项惩罚措施；在此基础上，暂停学业无论如何不能看作“淘汰”，而是怀孕学生在履行作为孕妇的责任之后能够恢复学业的机会。</w:t>
      </w:r>
    </w:p>
    <w:p w:rsidR="00000000" w:rsidRDefault="00000000">
      <w:pPr>
        <w:pStyle w:val="SingleTxt"/>
        <w:spacing w:line="336" w:lineRule="exact"/>
        <w:rPr>
          <w:rFonts w:hint="eastAsia"/>
        </w:rPr>
      </w:pPr>
      <w:r>
        <w:rPr>
          <w:rFonts w:hint="eastAsia"/>
        </w:rPr>
        <w:tab/>
        <w:t>考虑到这项措施是2001/2002学年采取的，而且跟踪指标也说明措施得到了大家的接受，政府非常愿意对其进行重新评价。今年计划开始新的评价程序，其间要深入调查这项措施的影响、女学生对措施的感受以及措施是否切实取得了预期目的、尤其是帮助怀孕青少年的目的。</w:t>
      </w:r>
    </w:p>
    <w:p w:rsidR="00000000" w:rsidRDefault="00000000">
      <w:pPr>
        <w:pStyle w:val="SingleTxt"/>
        <w:spacing w:line="336" w:lineRule="exact"/>
        <w:rPr>
          <w:rFonts w:hint="eastAsia"/>
        </w:rPr>
      </w:pPr>
      <w:r>
        <w:rPr>
          <w:rFonts w:hint="eastAsia"/>
        </w:rPr>
        <w:tab/>
        <w:t>同时，</w:t>
      </w:r>
      <w:r>
        <w:rPr>
          <w:rFonts w:hint="eastAsia"/>
          <w:spacing w:val="2"/>
        </w:rPr>
        <w:t>教育和人力资源开发部还在中学开展了关于防止早孕的宣传活动；《国家两性平等和公平计划》还打算采取措施帮助少女母亲，以保障她们继续学业。</w:t>
      </w:r>
    </w:p>
    <w:p w:rsidR="00000000" w:rsidRDefault="00000000">
      <w:pPr>
        <w:pStyle w:val="SingleTxt"/>
        <w:spacing w:line="336" w:lineRule="exact"/>
        <w:rPr>
          <w:rFonts w:hint="eastAsia"/>
        </w:rPr>
      </w:pPr>
      <w:r>
        <w:rPr>
          <w:rFonts w:hint="eastAsia"/>
        </w:rPr>
        <w:t>16.</w:t>
      </w:r>
      <w:r>
        <w:rPr>
          <w:rFonts w:hint="eastAsia"/>
        </w:rPr>
        <w:tab/>
      </w:r>
      <w:r>
        <w:rPr>
          <w:rFonts w:ascii="KaiTi_GB2312" w:eastAsia="KaiTi_GB2312" w:hint="eastAsia"/>
          <w:color w:val="0000FF"/>
        </w:rPr>
        <w:t>在普通中学里，女生占52.8％，而在技校，女生只占39.5％(见中文本第37页按性别分列的普通中学和技校在校生情况简表)。采取了哪些措施来鼓励女生在学校选修非传统科目</w:t>
      </w:r>
      <w:r>
        <w:rPr>
          <w:rFonts w:hint="eastAsia"/>
        </w:rPr>
        <w:t>？</w:t>
      </w:r>
    </w:p>
    <w:p w:rsidR="00000000" w:rsidRDefault="00000000">
      <w:pPr>
        <w:pStyle w:val="SingleTxt"/>
        <w:spacing w:line="336" w:lineRule="exact"/>
        <w:rPr>
          <w:rFonts w:hint="eastAsia"/>
        </w:rPr>
      </w:pPr>
      <w:r>
        <w:rPr>
          <w:rFonts w:hint="eastAsia"/>
        </w:rPr>
        <w:tab/>
        <w:t>《国家两性平等和公平计划》打算就这方面问题采取行动，促进女生和妇女接受科学技术教育及职业培训。在这方面，打算建立一套职业咨询和指导制度，介绍各种可供选择的职业培训途径和某些选择在进入就业市场方面的优势，并推广接受职业培训的权利，其目的在于激励女生作出传统科目以外的选择（国家两性平等和公平计划第59页）。</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int="eastAsia"/>
        </w:rPr>
      </w:pPr>
      <w:r>
        <w:tab/>
      </w:r>
      <w:r>
        <w:tab/>
      </w:r>
      <w:r>
        <w:rPr>
          <w:rFonts w:hint="eastAsia"/>
        </w:rPr>
        <w:t>第11条</w:t>
      </w:r>
    </w:p>
    <w:p w:rsidR="00000000" w:rsidRDefault="00000000">
      <w:pPr>
        <w:pStyle w:val="SingleTxt"/>
        <w:rPr>
          <w:rFonts w:hint="eastAsia"/>
        </w:rPr>
      </w:pPr>
      <w:r>
        <w:rPr>
          <w:rFonts w:hint="eastAsia"/>
        </w:rPr>
        <w:t>17.</w:t>
      </w:r>
      <w:r>
        <w:rPr>
          <w:rFonts w:hint="eastAsia"/>
        </w:rPr>
        <w:tab/>
      </w:r>
      <w:r>
        <w:rPr>
          <w:rFonts w:ascii="KaiTi_GB2312" w:eastAsia="KaiTi_GB2312" w:hint="eastAsia"/>
          <w:color w:val="0000FF"/>
        </w:rPr>
        <w:t>请提供按性别分列最新统计资料，表明随着时间转移的发展趋势，详细说明妇女在公有和私营部门的劳动力中的总的参与情况。另请提供资料说明从事同等价值工作的妇女与男子之间的薪酬差距</w:t>
      </w:r>
      <w:r>
        <w:rPr>
          <w:rFonts w:hint="eastAsia"/>
        </w:rPr>
        <w:t>。</w:t>
      </w:r>
    </w:p>
    <w:p w:rsidR="00000000" w:rsidRDefault="00000000">
      <w:pPr>
        <w:pStyle w:val="SingleTxt"/>
        <w:rPr>
          <w:rFonts w:hint="eastAsia"/>
        </w:rPr>
      </w:pPr>
      <w:r>
        <w:tab/>
      </w:r>
      <w:r>
        <w:rPr>
          <w:rFonts w:hint="eastAsia"/>
        </w:rPr>
        <w:t>2000年普查发表的数据显示，私营部门是本国的最大“雇主”，占2000年登记就业人数的62.3％；其次是公有部门占23.8％，剩下约13.9％为自己家庭工作。如果按性别分列数据，可以看到这种趋势是相同的，即大多数就业人口在私营部门工作，其中男子为63.8％，妇女为60.6％。虽然存在各种性质的因素，但既不在公有部门也不在私营部门工作的男子的比例与妇女的百分比大体相同。有一个意义不大的现象是，开始就业时妇女在公有部门的比例高于男子，但是到停止工作或退休时仍在公有部门工作的男子却多于妇女（2000年普查，《人口的经济特点》，第71页）。</w:t>
      </w:r>
    </w:p>
    <w:p w:rsidR="00000000" w:rsidRDefault="00000000">
      <w:pPr>
        <w:pStyle w:val="SingleTxt"/>
        <w:spacing w:after="0" w:line="140" w:lineRule="exact"/>
        <w:rPr>
          <w:rFonts w:hint="eastAsia"/>
          <w:sz w:val="10"/>
        </w:rPr>
      </w:pPr>
    </w:p>
    <w:p w:rsidR="00000000" w:rsidRDefault="00000000">
      <w:pPr>
        <w:pStyle w:val="SingleTxt"/>
      </w:pPr>
      <w:r>
        <w:tab/>
      </w:r>
      <w:r>
        <w:rPr>
          <w:rFonts w:hint="eastAsia"/>
        </w:rPr>
        <w:t>关于妇女在公有和私营部门的就业情况，见2000年普查发表的下表：</w:t>
      </w:r>
    </w:p>
    <w:p w:rsidR="00000000" w:rsidRDefault="00000000">
      <w:pPr>
        <w:pStyle w:val="SingleTxt"/>
        <w:spacing w:after="240"/>
        <w:rPr>
          <w:rFonts w:ascii="SimHei" w:eastAsia="SimHei"/>
          <w:color w:val="FF0000"/>
        </w:rPr>
      </w:pPr>
      <w:r>
        <w:rPr>
          <w:rFonts w:ascii="SimHei" w:eastAsia="SimHei" w:hint="eastAsia"/>
          <w:color w:val="FF0000"/>
        </w:rPr>
        <w:t>按就业部门、性别和年龄段分列的1</w:t>
      </w:r>
      <w:r>
        <w:rPr>
          <w:rFonts w:ascii="SimHei" w:eastAsia="SimHei"/>
          <w:color w:val="FF0000"/>
        </w:rPr>
        <w:t>5</w:t>
      </w:r>
      <w:r>
        <w:rPr>
          <w:rFonts w:ascii="SimHei" w:eastAsia="SimHei" w:hint="eastAsia"/>
          <w:color w:val="FF0000"/>
        </w:rPr>
        <w:t>岁及以上就业人口的分布情况</w:t>
      </w:r>
      <w:r>
        <w:rPr>
          <w:rFonts w:ascii="SimHei" w:eastAsia="SimHei"/>
          <w:color w:val="FF0000"/>
        </w:rPr>
        <w:t>(</w:t>
      </w:r>
      <w:r>
        <w:rPr>
          <w:rFonts w:ascii="SimHei" w:eastAsia="SimHei" w:hint="eastAsia"/>
          <w:color w:val="FF0000"/>
        </w:rPr>
        <w:t>％</w:t>
      </w:r>
      <w:r>
        <w:rPr>
          <w:rFonts w:ascii="SimHei" w:eastAsia="SimHei"/>
          <w:color w:val="FF0000"/>
        </w:rPr>
        <w:t>)</w:t>
      </w:r>
      <w:r>
        <w:rPr>
          <w:rFonts w:ascii="SimHei" w:eastAsia="SimHei" w:hint="eastAsia"/>
          <w:color w:val="FF0000"/>
        </w:rPr>
        <w:t>：</w:t>
      </w:r>
    </w:p>
    <w:tbl>
      <w:tblPr>
        <w:tblW w:w="0" w:type="auto"/>
        <w:tblInd w:w="1260" w:type="dxa"/>
        <w:tblLayout w:type="fixed"/>
        <w:tblCellMar>
          <w:left w:w="0" w:type="dxa"/>
          <w:right w:w="0" w:type="dxa"/>
        </w:tblCellMar>
        <w:tblLook w:val="0000" w:firstRow="0" w:lastRow="0" w:firstColumn="0" w:lastColumn="0" w:noHBand="0" w:noVBand="0"/>
      </w:tblPr>
      <w:tblGrid>
        <w:gridCol w:w="2091"/>
        <w:gridCol w:w="1046"/>
        <w:gridCol w:w="1046"/>
        <w:gridCol w:w="1046"/>
        <w:gridCol w:w="1046"/>
        <w:gridCol w:w="1046"/>
      </w:tblGrid>
      <w:tr w:rsidR="00000000">
        <w:tblPrEx>
          <w:tblCellMar>
            <w:top w:w="0" w:type="dxa"/>
            <w:bottom w:w="0" w:type="dxa"/>
          </w:tblCellMar>
        </w:tblPrEx>
        <w:trPr>
          <w:cantSplit/>
          <w:tblHeader/>
        </w:trPr>
        <w:tc>
          <w:tcPr>
            <w:tcW w:w="2091"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rPr>
                <w:rFonts w:ascii="SimHei" w:eastAsia="SimHei"/>
                <w:color w:val="0000FF"/>
                <w:sz w:val="14"/>
              </w:rPr>
            </w:pPr>
            <w:r>
              <w:rPr>
                <w:rFonts w:ascii="SimHei" w:eastAsia="SimHei" w:hint="eastAsia"/>
                <w:color w:val="0000FF"/>
                <w:sz w:val="14"/>
              </w:rPr>
              <w:t>共计</w:t>
            </w:r>
          </w:p>
        </w:tc>
        <w:tc>
          <w:tcPr>
            <w:tcW w:w="1046"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共计</w:t>
            </w:r>
          </w:p>
        </w:tc>
        <w:tc>
          <w:tcPr>
            <w:tcW w:w="1046"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 xml:space="preserve">15-24岁  </w:t>
            </w:r>
          </w:p>
        </w:tc>
        <w:tc>
          <w:tcPr>
            <w:tcW w:w="1046"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 xml:space="preserve">25-44岁  </w:t>
            </w:r>
          </w:p>
        </w:tc>
        <w:tc>
          <w:tcPr>
            <w:tcW w:w="1046"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45-64岁</w:t>
            </w:r>
          </w:p>
        </w:tc>
        <w:tc>
          <w:tcPr>
            <w:tcW w:w="1046"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65岁以上</w:t>
            </w:r>
          </w:p>
        </w:tc>
      </w:tr>
      <w:tr w:rsidR="00000000">
        <w:tblPrEx>
          <w:tblCellMar>
            <w:top w:w="0" w:type="dxa"/>
            <w:bottom w:w="0" w:type="dxa"/>
          </w:tblCellMar>
        </w:tblPrEx>
        <w:trPr>
          <w:cantSplit/>
          <w:trHeight w:hRule="exact" w:val="115"/>
          <w:tblHeader/>
        </w:trPr>
        <w:tc>
          <w:tcPr>
            <w:tcW w:w="2091"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sz w:val="17"/>
              </w:rPr>
            </w:pPr>
          </w:p>
        </w:tc>
        <w:tc>
          <w:tcPr>
            <w:tcW w:w="104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sz w:val="17"/>
              </w:rPr>
            </w:pPr>
          </w:p>
        </w:tc>
        <w:tc>
          <w:tcPr>
            <w:tcW w:w="104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sz w:val="17"/>
              </w:rPr>
            </w:pPr>
          </w:p>
        </w:tc>
        <w:tc>
          <w:tcPr>
            <w:tcW w:w="104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sz w:val="17"/>
              </w:rPr>
            </w:pPr>
          </w:p>
        </w:tc>
        <w:tc>
          <w:tcPr>
            <w:tcW w:w="104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sz w:val="17"/>
              </w:rPr>
            </w:pPr>
          </w:p>
        </w:tc>
        <w:tc>
          <w:tcPr>
            <w:tcW w:w="104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sz w:val="17"/>
              </w:rPr>
            </w:pPr>
          </w:p>
        </w:tc>
      </w:tr>
      <w:tr w:rsidR="00000000">
        <w:tblPrEx>
          <w:tblCellMar>
            <w:top w:w="0" w:type="dxa"/>
            <w:bottom w:w="0" w:type="dxa"/>
          </w:tblCellMar>
        </w:tblPrEx>
        <w:trPr>
          <w:cantSplit/>
        </w:trPr>
        <w:tc>
          <w:tcPr>
            <w:tcW w:w="2091" w:type="dxa"/>
            <w:tcBorders>
              <w:bottom w:val="single" w:sz="4" w:space="0" w:color="auto"/>
            </w:tcBorders>
          </w:tcPr>
          <w:p w:rsidR="00000000" w:rsidRDefault="00000000">
            <w:pPr>
              <w:rPr>
                <w:rFonts w:ascii="SimHei" w:eastAsia="SimHei" w:hint="eastAsia"/>
                <w:color w:val="FF0000"/>
                <w:sz w:val="17"/>
              </w:rPr>
            </w:pPr>
            <w:r>
              <w:rPr>
                <w:rFonts w:ascii="SimHei" w:eastAsia="SimHei" w:hint="eastAsia"/>
                <w:color w:val="FF0000"/>
                <w:sz w:val="17"/>
              </w:rPr>
              <w:t>佛得角共计</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r>
      <w:tr w:rsidR="00000000">
        <w:tblPrEx>
          <w:tblCellMar>
            <w:top w:w="0" w:type="dxa"/>
            <w:bottom w:w="0" w:type="dxa"/>
          </w:tblCellMar>
        </w:tblPrEx>
        <w:trPr>
          <w:cantSplit/>
        </w:trPr>
        <w:tc>
          <w:tcPr>
            <w:tcW w:w="2091" w:type="dxa"/>
            <w:tcBorders>
              <w:top w:val="single" w:sz="4" w:space="0" w:color="auto"/>
            </w:tcBorders>
          </w:tcPr>
          <w:p w:rsidR="00000000" w:rsidRDefault="00000000">
            <w:pPr>
              <w:rPr>
                <w:rFonts w:hint="eastAsia"/>
                <w:sz w:val="17"/>
              </w:rPr>
            </w:pPr>
            <w:r>
              <w:rPr>
                <w:rFonts w:hint="eastAsia"/>
                <w:sz w:val="17"/>
              </w:rPr>
              <w:t>公有部门</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23.8</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17.8</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27.9</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24.3</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6.9</w:t>
            </w:r>
          </w:p>
        </w:tc>
      </w:tr>
      <w:tr w:rsidR="00000000">
        <w:tblPrEx>
          <w:tblCellMar>
            <w:top w:w="0" w:type="dxa"/>
            <w:bottom w:w="0" w:type="dxa"/>
          </w:tblCellMar>
        </w:tblPrEx>
        <w:trPr>
          <w:cantSplit/>
        </w:trPr>
        <w:tc>
          <w:tcPr>
            <w:tcW w:w="2091" w:type="dxa"/>
          </w:tcPr>
          <w:p w:rsidR="00000000" w:rsidRDefault="00000000">
            <w:pPr>
              <w:rPr>
                <w:rFonts w:hint="eastAsia"/>
                <w:sz w:val="17"/>
              </w:rPr>
            </w:pPr>
            <w:r>
              <w:rPr>
                <w:rFonts w:hint="eastAsia"/>
                <w:sz w:val="17"/>
              </w:rPr>
              <w:t>私营部门</w:t>
            </w:r>
          </w:p>
        </w:tc>
        <w:tc>
          <w:tcPr>
            <w:tcW w:w="1046"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62.3</w:t>
            </w:r>
          </w:p>
        </w:tc>
        <w:tc>
          <w:tcPr>
            <w:tcW w:w="1046"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63.0</w:t>
            </w:r>
          </w:p>
        </w:tc>
        <w:tc>
          <w:tcPr>
            <w:tcW w:w="1046"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58.8</w:t>
            </w:r>
          </w:p>
        </w:tc>
        <w:tc>
          <w:tcPr>
            <w:tcW w:w="1046"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65.6</w:t>
            </w:r>
          </w:p>
        </w:tc>
        <w:tc>
          <w:tcPr>
            <w:tcW w:w="1046"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84.2</w:t>
            </w:r>
          </w:p>
        </w:tc>
      </w:tr>
      <w:tr w:rsidR="00000000">
        <w:tblPrEx>
          <w:tblCellMar>
            <w:top w:w="0" w:type="dxa"/>
            <w:bottom w:w="0" w:type="dxa"/>
          </w:tblCellMar>
        </w:tblPrEx>
        <w:trPr>
          <w:cantSplit/>
        </w:trPr>
        <w:tc>
          <w:tcPr>
            <w:tcW w:w="2091" w:type="dxa"/>
            <w:tcBorders>
              <w:bottom w:val="single" w:sz="4" w:space="0" w:color="auto"/>
            </w:tcBorders>
          </w:tcPr>
          <w:p w:rsidR="00000000" w:rsidRDefault="00000000">
            <w:pPr>
              <w:rPr>
                <w:rFonts w:hint="eastAsia"/>
                <w:sz w:val="17"/>
              </w:rPr>
            </w:pPr>
            <w:r>
              <w:rPr>
                <w:rFonts w:hint="eastAsia"/>
                <w:sz w:val="17"/>
              </w:rPr>
              <w:t>其他</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13.9</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19.1</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13.3</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10.1</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8.9</w:t>
            </w:r>
          </w:p>
        </w:tc>
      </w:tr>
      <w:tr w:rsidR="00000000">
        <w:tblPrEx>
          <w:tblCellMar>
            <w:top w:w="0" w:type="dxa"/>
            <w:bottom w:w="0" w:type="dxa"/>
          </w:tblCellMar>
        </w:tblPrEx>
        <w:trPr>
          <w:cantSplit/>
        </w:trPr>
        <w:tc>
          <w:tcPr>
            <w:tcW w:w="2091" w:type="dxa"/>
            <w:tcBorders>
              <w:top w:val="single" w:sz="4" w:space="0" w:color="auto"/>
              <w:bottom w:val="single" w:sz="12" w:space="0" w:color="auto"/>
            </w:tcBorders>
          </w:tcPr>
          <w:p w:rsidR="00000000" w:rsidRDefault="00000000">
            <w:pPr>
              <w:rPr>
                <w:rFonts w:ascii="SimHei" w:eastAsia="SimHei"/>
                <w:color w:val="FF0000"/>
                <w:sz w:val="17"/>
              </w:rPr>
            </w:pPr>
            <w:r>
              <w:rPr>
                <w:rFonts w:ascii="SimHei" w:eastAsia="SimHei" w:hint="eastAsia"/>
                <w:color w:val="FF0000"/>
                <w:sz w:val="17"/>
              </w:rPr>
              <w:t>男性</w:t>
            </w:r>
          </w:p>
        </w:tc>
        <w:tc>
          <w:tcPr>
            <w:tcW w:w="1046"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共计</w:t>
            </w:r>
          </w:p>
        </w:tc>
        <w:tc>
          <w:tcPr>
            <w:tcW w:w="1046"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 xml:space="preserve">15-24岁  </w:t>
            </w:r>
          </w:p>
        </w:tc>
        <w:tc>
          <w:tcPr>
            <w:tcW w:w="1046"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 xml:space="preserve">25-44岁  </w:t>
            </w:r>
          </w:p>
        </w:tc>
        <w:tc>
          <w:tcPr>
            <w:tcW w:w="1046"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45-64岁</w:t>
            </w:r>
          </w:p>
        </w:tc>
        <w:tc>
          <w:tcPr>
            <w:tcW w:w="1046"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65岁以上</w:t>
            </w:r>
          </w:p>
        </w:tc>
      </w:tr>
      <w:tr w:rsidR="00000000">
        <w:tblPrEx>
          <w:tblCellMar>
            <w:top w:w="0" w:type="dxa"/>
            <w:bottom w:w="0" w:type="dxa"/>
          </w:tblCellMar>
        </w:tblPrEx>
        <w:trPr>
          <w:cantSplit/>
        </w:trPr>
        <w:tc>
          <w:tcPr>
            <w:tcW w:w="2091" w:type="dxa"/>
            <w:tcBorders>
              <w:top w:val="single" w:sz="12" w:space="0" w:color="auto"/>
              <w:bottom w:val="single" w:sz="4" w:space="0" w:color="auto"/>
            </w:tcBorders>
          </w:tcPr>
          <w:p w:rsidR="00000000" w:rsidRDefault="00000000">
            <w:pPr>
              <w:rPr>
                <w:rFonts w:ascii="SimHei" w:eastAsia="SimHei" w:hint="eastAsia"/>
                <w:color w:val="FF0000"/>
                <w:sz w:val="17"/>
              </w:rPr>
            </w:pPr>
            <w:r>
              <w:rPr>
                <w:rFonts w:ascii="SimHei" w:eastAsia="SimHei" w:hint="eastAsia"/>
                <w:color w:val="FF0000"/>
                <w:sz w:val="17"/>
              </w:rPr>
              <w:t>共计</w:t>
            </w:r>
          </w:p>
        </w:tc>
        <w:tc>
          <w:tcPr>
            <w:tcW w:w="1046" w:type="dxa"/>
            <w:tcBorders>
              <w:top w:val="single" w:sz="1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top w:val="single" w:sz="1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top w:val="single" w:sz="1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top w:val="single" w:sz="1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top w:val="single" w:sz="1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r>
      <w:tr w:rsidR="00000000">
        <w:tblPrEx>
          <w:tblCellMar>
            <w:top w:w="0" w:type="dxa"/>
            <w:bottom w:w="0" w:type="dxa"/>
          </w:tblCellMar>
        </w:tblPrEx>
        <w:trPr>
          <w:cantSplit/>
        </w:trPr>
        <w:tc>
          <w:tcPr>
            <w:tcW w:w="2091" w:type="dxa"/>
            <w:tcBorders>
              <w:top w:val="single" w:sz="4" w:space="0" w:color="auto"/>
              <w:bottom w:val="single" w:sz="4" w:space="0" w:color="auto"/>
            </w:tcBorders>
          </w:tcPr>
          <w:p w:rsidR="00000000" w:rsidRDefault="00000000">
            <w:pPr>
              <w:rPr>
                <w:rFonts w:hint="eastAsia"/>
                <w:sz w:val="17"/>
              </w:rPr>
            </w:pPr>
            <w:r>
              <w:rPr>
                <w:rFonts w:hint="eastAsia"/>
                <w:sz w:val="17"/>
              </w:rPr>
              <w:t>公有部门</w:t>
            </w:r>
          </w:p>
        </w:tc>
        <w:tc>
          <w:tcPr>
            <w:tcW w:w="1046"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24.0</w:t>
            </w:r>
          </w:p>
        </w:tc>
        <w:tc>
          <w:tcPr>
            <w:tcW w:w="1046"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16.7</w:t>
            </w:r>
          </w:p>
        </w:tc>
        <w:tc>
          <w:tcPr>
            <w:tcW w:w="1046"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27.7</w:t>
            </w:r>
          </w:p>
        </w:tc>
        <w:tc>
          <w:tcPr>
            <w:tcW w:w="1046"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28.7</w:t>
            </w:r>
          </w:p>
        </w:tc>
        <w:tc>
          <w:tcPr>
            <w:tcW w:w="1046" w:type="dxa"/>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8.9</w:t>
            </w:r>
          </w:p>
        </w:tc>
      </w:tr>
      <w:tr w:rsidR="00000000">
        <w:tblPrEx>
          <w:tblCellMar>
            <w:top w:w="0" w:type="dxa"/>
            <w:bottom w:w="0" w:type="dxa"/>
          </w:tblCellMar>
        </w:tblPrEx>
        <w:trPr>
          <w:cantSplit/>
        </w:trPr>
        <w:tc>
          <w:tcPr>
            <w:tcW w:w="2091" w:type="dxa"/>
            <w:tcBorders>
              <w:top w:val="single" w:sz="4" w:space="0" w:color="auto"/>
            </w:tcBorders>
          </w:tcPr>
          <w:p w:rsidR="00000000" w:rsidRDefault="00000000">
            <w:pPr>
              <w:rPr>
                <w:rFonts w:hint="eastAsia"/>
                <w:sz w:val="17"/>
              </w:rPr>
            </w:pPr>
            <w:r>
              <w:rPr>
                <w:rFonts w:hint="eastAsia"/>
                <w:sz w:val="17"/>
              </w:rPr>
              <w:t>私营部门</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63.8</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66.4</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60.8</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62.5</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82.9</w:t>
            </w:r>
          </w:p>
        </w:tc>
      </w:tr>
      <w:tr w:rsidR="00000000">
        <w:tblPrEx>
          <w:tblCellMar>
            <w:top w:w="0" w:type="dxa"/>
            <w:bottom w:w="0" w:type="dxa"/>
          </w:tblCellMar>
        </w:tblPrEx>
        <w:trPr>
          <w:cantSplit/>
        </w:trPr>
        <w:tc>
          <w:tcPr>
            <w:tcW w:w="2091" w:type="dxa"/>
            <w:tcBorders>
              <w:bottom w:val="single" w:sz="4" w:space="0" w:color="auto"/>
            </w:tcBorders>
          </w:tcPr>
          <w:p w:rsidR="00000000" w:rsidRDefault="00000000">
            <w:pPr>
              <w:rPr>
                <w:rFonts w:hint="eastAsia"/>
                <w:sz w:val="17"/>
              </w:rPr>
            </w:pPr>
            <w:r>
              <w:rPr>
                <w:rFonts w:hint="eastAsia"/>
                <w:sz w:val="17"/>
              </w:rPr>
              <w:t>其他</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12.3</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16.9</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11.5</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8.7</w:t>
            </w:r>
          </w:p>
        </w:tc>
        <w:tc>
          <w:tcPr>
            <w:tcW w:w="1046"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8.2</w:t>
            </w:r>
          </w:p>
        </w:tc>
      </w:tr>
      <w:tr w:rsidR="00000000">
        <w:tblPrEx>
          <w:tblCellMar>
            <w:top w:w="0" w:type="dxa"/>
            <w:bottom w:w="0" w:type="dxa"/>
          </w:tblCellMar>
        </w:tblPrEx>
        <w:trPr>
          <w:cantSplit/>
        </w:trPr>
        <w:tc>
          <w:tcPr>
            <w:tcW w:w="2091" w:type="dxa"/>
            <w:tcBorders>
              <w:top w:val="single" w:sz="4" w:space="0" w:color="auto"/>
              <w:bottom w:val="single" w:sz="12" w:space="0" w:color="auto"/>
            </w:tcBorders>
          </w:tcPr>
          <w:p w:rsidR="00000000" w:rsidRDefault="00000000">
            <w:pPr>
              <w:rPr>
                <w:rFonts w:ascii="SimHei" w:eastAsia="SimHei" w:hint="eastAsia"/>
                <w:color w:val="FF0000"/>
                <w:sz w:val="17"/>
              </w:rPr>
            </w:pPr>
            <w:r>
              <w:rPr>
                <w:rFonts w:ascii="SimHei" w:eastAsia="SimHei" w:hint="eastAsia"/>
                <w:color w:val="FF0000"/>
                <w:sz w:val="17"/>
              </w:rPr>
              <w:t>女性</w:t>
            </w:r>
          </w:p>
        </w:tc>
        <w:tc>
          <w:tcPr>
            <w:tcW w:w="1046"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共计</w:t>
            </w:r>
          </w:p>
        </w:tc>
        <w:tc>
          <w:tcPr>
            <w:tcW w:w="1046"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 xml:space="preserve">15-24岁  </w:t>
            </w:r>
          </w:p>
        </w:tc>
        <w:tc>
          <w:tcPr>
            <w:tcW w:w="1046"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 xml:space="preserve">25-44岁  </w:t>
            </w:r>
          </w:p>
        </w:tc>
        <w:tc>
          <w:tcPr>
            <w:tcW w:w="1046"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45-64岁</w:t>
            </w:r>
          </w:p>
        </w:tc>
        <w:tc>
          <w:tcPr>
            <w:tcW w:w="1046"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60" w:after="60" w:line="240" w:lineRule="exact"/>
              <w:ind w:left="0" w:right="40"/>
              <w:jc w:val="right"/>
              <w:rPr>
                <w:rFonts w:ascii="KaiTi_GB2312" w:eastAsia="KaiTi_GB2312"/>
                <w:color w:val="0000FF"/>
                <w:sz w:val="14"/>
              </w:rPr>
            </w:pPr>
            <w:r>
              <w:rPr>
                <w:rFonts w:ascii="KaiTi_GB2312" w:eastAsia="KaiTi_GB2312" w:hint="eastAsia"/>
                <w:color w:val="0000FF"/>
                <w:sz w:val="14"/>
              </w:rPr>
              <w:t>65岁以上</w:t>
            </w:r>
          </w:p>
        </w:tc>
      </w:tr>
      <w:tr w:rsidR="00000000">
        <w:tblPrEx>
          <w:tblCellMar>
            <w:top w:w="0" w:type="dxa"/>
            <w:bottom w:w="0" w:type="dxa"/>
          </w:tblCellMar>
        </w:tblPrEx>
        <w:trPr>
          <w:cantSplit/>
        </w:trPr>
        <w:tc>
          <w:tcPr>
            <w:tcW w:w="2091" w:type="dxa"/>
            <w:tcBorders>
              <w:top w:val="single" w:sz="12" w:space="0" w:color="auto"/>
              <w:bottom w:val="single" w:sz="4" w:space="0" w:color="auto"/>
            </w:tcBorders>
          </w:tcPr>
          <w:p w:rsidR="00000000" w:rsidRDefault="00000000">
            <w:pPr>
              <w:rPr>
                <w:rFonts w:ascii="SimHei" w:eastAsia="SimHei" w:hint="eastAsia"/>
                <w:color w:val="FF0000"/>
                <w:sz w:val="17"/>
              </w:rPr>
            </w:pPr>
            <w:r>
              <w:rPr>
                <w:rFonts w:ascii="SimHei" w:eastAsia="SimHei" w:hint="eastAsia"/>
                <w:color w:val="FF0000"/>
                <w:sz w:val="17"/>
              </w:rPr>
              <w:t>共计</w:t>
            </w:r>
          </w:p>
        </w:tc>
        <w:tc>
          <w:tcPr>
            <w:tcW w:w="1046" w:type="dxa"/>
            <w:tcBorders>
              <w:top w:val="single" w:sz="1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top w:val="single" w:sz="1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top w:val="single" w:sz="1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top w:val="single" w:sz="1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c>
          <w:tcPr>
            <w:tcW w:w="1046" w:type="dxa"/>
            <w:tcBorders>
              <w:top w:val="single" w:sz="1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rFonts w:ascii="SimHei" w:eastAsia="SimHei"/>
                <w:color w:val="FF0000"/>
                <w:sz w:val="17"/>
              </w:rPr>
            </w:pPr>
            <w:r>
              <w:rPr>
                <w:rFonts w:ascii="SimHei" w:eastAsia="SimHei"/>
                <w:color w:val="FF0000"/>
                <w:sz w:val="17"/>
              </w:rPr>
              <w:t>100</w:t>
            </w:r>
          </w:p>
        </w:tc>
      </w:tr>
      <w:tr w:rsidR="00000000">
        <w:tblPrEx>
          <w:tblCellMar>
            <w:top w:w="0" w:type="dxa"/>
            <w:bottom w:w="0" w:type="dxa"/>
          </w:tblCellMar>
        </w:tblPrEx>
        <w:trPr>
          <w:cantSplit/>
        </w:trPr>
        <w:tc>
          <w:tcPr>
            <w:tcW w:w="2091" w:type="dxa"/>
            <w:tcBorders>
              <w:top w:val="single" w:sz="4" w:space="0" w:color="auto"/>
            </w:tcBorders>
          </w:tcPr>
          <w:p w:rsidR="00000000" w:rsidRDefault="00000000">
            <w:pPr>
              <w:rPr>
                <w:rFonts w:hint="eastAsia"/>
                <w:sz w:val="17"/>
              </w:rPr>
            </w:pPr>
            <w:r>
              <w:rPr>
                <w:rFonts w:hint="eastAsia"/>
                <w:sz w:val="17"/>
              </w:rPr>
              <w:t>公有部门</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23.5</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19.4</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28.0</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20.2</w:t>
            </w:r>
          </w:p>
        </w:tc>
        <w:tc>
          <w:tcPr>
            <w:tcW w:w="1046"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4.0</w:t>
            </w:r>
          </w:p>
        </w:tc>
      </w:tr>
      <w:tr w:rsidR="00000000">
        <w:tblPrEx>
          <w:tblCellMar>
            <w:top w:w="0" w:type="dxa"/>
            <w:bottom w:w="0" w:type="dxa"/>
          </w:tblCellMar>
        </w:tblPrEx>
        <w:trPr>
          <w:cantSplit/>
        </w:trPr>
        <w:tc>
          <w:tcPr>
            <w:tcW w:w="2091" w:type="dxa"/>
          </w:tcPr>
          <w:p w:rsidR="00000000" w:rsidRDefault="00000000">
            <w:pPr>
              <w:rPr>
                <w:rFonts w:hint="eastAsia"/>
                <w:sz w:val="17"/>
              </w:rPr>
            </w:pPr>
            <w:r>
              <w:rPr>
                <w:rFonts w:hint="eastAsia"/>
                <w:sz w:val="17"/>
              </w:rPr>
              <w:t>私营部门</w:t>
            </w:r>
          </w:p>
        </w:tc>
        <w:tc>
          <w:tcPr>
            <w:tcW w:w="1046"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60.6</w:t>
            </w:r>
          </w:p>
        </w:tc>
        <w:tc>
          <w:tcPr>
            <w:tcW w:w="1046"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58.4</w:t>
            </w:r>
          </w:p>
        </w:tc>
        <w:tc>
          <w:tcPr>
            <w:tcW w:w="1046"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56.5</w:t>
            </w:r>
          </w:p>
        </w:tc>
        <w:tc>
          <w:tcPr>
            <w:tcW w:w="1046"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68.5</w:t>
            </w:r>
          </w:p>
        </w:tc>
        <w:tc>
          <w:tcPr>
            <w:tcW w:w="1046"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86.1</w:t>
            </w:r>
          </w:p>
        </w:tc>
      </w:tr>
      <w:tr w:rsidR="00000000">
        <w:tblPrEx>
          <w:tblCellMar>
            <w:top w:w="0" w:type="dxa"/>
            <w:bottom w:w="0" w:type="dxa"/>
          </w:tblCellMar>
        </w:tblPrEx>
        <w:trPr>
          <w:cantSplit/>
        </w:trPr>
        <w:tc>
          <w:tcPr>
            <w:tcW w:w="2091"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rPr>
                <w:sz w:val="17"/>
              </w:rPr>
            </w:pPr>
            <w:r>
              <w:rPr>
                <w:rFonts w:hint="eastAsia"/>
                <w:sz w:val="17"/>
              </w:rPr>
              <w:t>其他</w:t>
            </w:r>
          </w:p>
        </w:tc>
        <w:tc>
          <w:tcPr>
            <w:tcW w:w="1046"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15.9</w:t>
            </w:r>
          </w:p>
        </w:tc>
        <w:tc>
          <w:tcPr>
            <w:tcW w:w="1046"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22.2</w:t>
            </w:r>
          </w:p>
        </w:tc>
        <w:tc>
          <w:tcPr>
            <w:tcW w:w="1046"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15.4</w:t>
            </w:r>
          </w:p>
        </w:tc>
        <w:tc>
          <w:tcPr>
            <w:tcW w:w="1046"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11.3</w:t>
            </w:r>
          </w:p>
        </w:tc>
        <w:tc>
          <w:tcPr>
            <w:tcW w:w="1046"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357"/>
                <w:tab w:val="left" w:pos="576"/>
                <w:tab w:val="left" w:pos="714"/>
                <w:tab w:val="left" w:pos="864"/>
                <w:tab w:val="left" w:pos="1071"/>
                <w:tab w:val="left" w:pos="1152"/>
                <w:tab w:val="left" w:pos="1429"/>
              </w:tabs>
              <w:spacing w:after="60" w:line="280" w:lineRule="exact"/>
              <w:ind w:left="0" w:right="40"/>
              <w:jc w:val="right"/>
              <w:rPr>
                <w:sz w:val="17"/>
              </w:rPr>
            </w:pPr>
            <w:r>
              <w:rPr>
                <w:sz w:val="17"/>
              </w:rPr>
              <w:t>9.9</w:t>
            </w:r>
          </w:p>
        </w:tc>
      </w:tr>
    </w:tbl>
    <w:p w:rsidR="00000000" w:rsidRDefault="00000000">
      <w:pPr>
        <w:pStyle w:val="SingleTxt"/>
        <w:spacing w:after="0" w:line="140" w:lineRule="exact"/>
        <w:rPr>
          <w:sz w:val="10"/>
        </w:rPr>
      </w:pPr>
    </w:p>
    <w:p w:rsidR="00000000" w:rsidRDefault="00000000">
      <w:pPr>
        <w:pStyle w:val="SingleTxt"/>
        <w:rPr>
          <w:rFonts w:hint="eastAsia"/>
          <w:sz w:val="18"/>
        </w:rPr>
      </w:pPr>
      <w:r>
        <w:rPr>
          <w:rFonts w:ascii="KaiTi_GB2312" w:eastAsia="KaiTi_GB2312" w:hint="eastAsia"/>
          <w:color w:val="0000FF"/>
          <w:sz w:val="18"/>
        </w:rPr>
        <w:t>资料来源</w:t>
      </w:r>
      <w:r>
        <w:rPr>
          <w:rFonts w:hint="eastAsia"/>
          <w:sz w:val="18"/>
        </w:rPr>
        <w:t>：2000年普查，《人口的经济特点》，第71页。</w:t>
      </w:r>
    </w:p>
    <w:p w:rsidR="00000000" w:rsidRDefault="00000000">
      <w:pPr>
        <w:pStyle w:val="SingleTxt"/>
        <w:spacing w:after="0" w:line="140" w:lineRule="exact"/>
        <w:rPr>
          <w:rFonts w:hint="eastAsia"/>
          <w:sz w:val="10"/>
        </w:rPr>
      </w:pPr>
    </w:p>
    <w:p w:rsidR="00000000" w:rsidRDefault="00000000">
      <w:pPr>
        <w:pStyle w:val="SingleTxt"/>
        <w:rPr>
          <w:rFonts w:hint="eastAsia"/>
        </w:rPr>
      </w:pPr>
      <w:r>
        <w:rPr>
          <w:rFonts w:hint="eastAsia"/>
        </w:rPr>
        <w:tab/>
        <w:t>关于从事同等工作的妇女和男子之间薪酬差距的资料，首先应指出，佛得角共和国宪法第60条确定了“男女同工同酬”原则；此外，本国批准了国际劳工组织关于对男女工人同等价值的工作付予同等报酬的第100号公约。因此，任何对同种工作付予不同报酬的歧视性做法，在国家法律制度中都被认定为歧视。</w:t>
      </w:r>
    </w:p>
    <w:p w:rsidR="00000000" w:rsidRDefault="00000000">
      <w:pPr>
        <w:pStyle w:val="SingleTxt"/>
        <w:rPr>
          <w:rFonts w:hint="eastAsia"/>
        </w:rPr>
      </w:pPr>
      <w:r>
        <w:rPr>
          <w:rFonts w:hint="eastAsia"/>
        </w:rPr>
        <w:tab/>
        <w:t>可以肯定，公有部门不存在任何关于性别和薪酬的歧视。做同等工作要支付相同的薪金。</w:t>
      </w:r>
    </w:p>
    <w:p w:rsidR="00000000" w:rsidRDefault="00000000">
      <w:pPr>
        <w:pStyle w:val="SingleTxt"/>
        <w:rPr>
          <w:rFonts w:hint="eastAsia"/>
        </w:rPr>
      </w:pPr>
      <w:r>
        <w:rPr>
          <w:rFonts w:hint="eastAsia"/>
        </w:rPr>
        <w:tab/>
        <w:t>然而按照实际情况，私营部门没有关于男女做同等工作所得薪金的可资比较的确切统计数据。现有的数据显示，有些职业男子占绝大多数，如武装部队、水手及类似职业（男女比为157：1）、出租车和卡车司机（120：1）以及汽车机械师（103：1）。反之，下列职业妇女占绝大多数：家务工作（男女比为1：42）、裁缝、刺绣和其他类似职业（1：21）和中级幼儿教师（1：28）。男女比较均等的包括财会职员和其他类似职业（完全均等）以及医生（男女比为97：100）。（薪酬情况分析见问题18）。</w:t>
      </w:r>
    </w:p>
    <w:p w:rsidR="00000000" w:rsidRDefault="00000000">
      <w:pPr>
        <w:pStyle w:val="SingleTxt"/>
        <w:rPr>
          <w:rFonts w:hint="eastAsia"/>
        </w:rPr>
      </w:pPr>
      <w:r>
        <w:rPr>
          <w:rFonts w:hint="eastAsia"/>
        </w:rPr>
        <w:t>18.</w:t>
      </w:r>
      <w:r>
        <w:rPr>
          <w:rFonts w:hint="eastAsia"/>
        </w:rPr>
        <w:tab/>
      </w:r>
      <w:r>
        <w:rPr>
          <w:rFonts w:ascii="KaiTi_GB2312" w:eastAsia="KaiTi_GB2312" w:hint="eastAsia"/>
          <w:color w:val="0000FF"/>
        </w:rPr>
        <w:t>请提供关于妇女参与非正规部门情况的资料，包括对在正规经济部门就业的妇女人数与非正式经济部门妇女人数进行比较的资料</w:t>
      </w:r>
      <w:r>
        <w:rPr>
          <w:rFonts w:hint="eastAsia"/>
        </w:rPr>
        <w:t>。</w:t>
      </w:r>
    </w:p>
    <w:p w:rsidR="00000000" w:rsidRDefault="00000000">
      <w:pPr>
        <w:pStyle w:val="SingleTxt"/>
        <w:rPr>
          <w:rFonts w:hint="eastAsia"/>
        </w:rPr>
      </w:pPr>
      <w:r>
        <w:rPr>
          <w:rFonts w:hint="eastAsia"/>
        </w:rPr>
        <w:tab/>
        <w:t>关于妇女在非正规经济部门就业情况，没有按性别分列的确切统计数据，也无法详细比较正规经济部门就业的妇女人数与非正规经济部门的妇女人数。</w:t>
      </w:r>
    </w:p>
    <w:p w:rsidR="00000000" w:rsidRDefault="00000000">
      <w:pPr>
        <w:pStyle w:val="SingleTxt"/>
        <w:rPr>
          <w:rFonts w:hint="eastAsia"/>
          <w:spacing w:val="-2"/>
        </w:rPr>
      </w:pPr>
      <w:r>
        <w:rPr>
          <w:rFonts w:hint="eastAsia"/>
          <w:spacing w:val="-2"/>
        </w:rPr>
        <w:tab/>
        <w:t>然而，通过分析掌握的数据，可以大概解答委员会提出的问题。例如，根据2000年普查发表的数据，总就业人口中大约27.9％缺乏合格技能，而缺乏合格技能的妇女人数（37.1％）多于男子（20.1％）。因此可以说，妇女在缺乏合格技能的劳动力和低薪人口中所占比例较高（2000年普查，《人口的经济特点》，第69页）。</w:t>
      </w:r>
    </w:p>
    <w:p w:rsidR="00000000" w:rsidRDefault="00000000">
      <w:pPr>
        <w:pStyle w:val="SingleTxt"/>
        <w:rPr>
          <w:rFonts w:hint="eastAsia"/>
        </w:rPr>
      </w:pPr>
      <w:r>
        <w:rPr>
          <w:rFonts w:hint="eastAsia"/>
        </w:rPr>
        <w:tab/>
        <w:t>2003年还进行了一项研究，分析非正规经济部门和小额信贷。研究表明，小商业（86.4％）是小额信贷资助活动的主要内容，其他还有农业（7.9％）、加工业（</w:t>
      </w:r>
      <w:r>
        <w:t>4</w:t>
      </w:r>
      <w:r>
        <w:rPr>
          <w:rFonts w:hint="eastAsia"/>
        </w:rPr>
        <w:t>.8％）、服务业（2.2％）和渔业（0.5％）。从事这些活动的主要是妇女，占89.4％，而男子只有10.6％（《国家两性平等和公平计划》，第30页）。</w:t>
      </w:r>
    </w:p>
    <w:p w:rsidR="00000000" w:rsidRDefault="00000000">
      <w:pPr>
        <w:pStyle w:val="SingleTxt"/>
        <w:rPr>
          <w:rFonts w:hint="eastAsia"/>
        </w:rPr>
      </w:pPr>
      <w:r>
        <w:rPr>
          <w:rFonts w:hint="eastAsia"/>
        </w:rPr>
        <w:tab/>
        <w:t>因此可以说，妇女在缺乏合格技能的劳动力中所占比例很高，所以薪酬较低。</w:t>
      </w:r>
    </w:p>
    <w:p w:rsidR="00000000" w:rsidRDefault="00000000">
      <w:pPr>
        <w:pStyle w:val="SingleTxt"/>
        <w:spacing w:line="326" w:lineRule="exact"/>
        <w:rPr>
          <w:rFonts w:hint="eastAsia"/>
        </w:rPr>
      </w:pPr>
      <w:r>
        <w:rPr>
          <w:rFonts w:hint="eastAsia"/>
        </w:rPr>
        <w:tab/>
        <w:t>然而，应指出，佛得角共和国认识到，本国妇女占贫穷和受教育程度低人口的绝大多数。虽然小额信贷和其他创收活动带来的薪酬较少，但是政府制定多种方案（参见问题21）鼓励开展活动，期望通过这些活动提高妇女的经济能力，并通过采取此项政策促进解决更迫切的问题。然而，应承认，为改变表中的情况，需要制定若干长期目标，其中应包括教育投资；在这方面可以看到，各级教育已有大量女生。希望这能产生长期成果，特别是减少非正规经济和低薪酬阶层中的妇女人数。</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第12条</w:t>
      </w:r>
    </w:p>
    <w:p w:rsidR="00000000" w:rsidRDefault="00000000">
      <w:pPr>
        <w:pStyle w:val="SingleTxt"/>
        <w:rPr>
          <w:rFonts w:hint="eastAsia"/>
        </w:rPr>
      </w:pPr>
      <w:r>
        <w:rPr>
          <w:rFonts w:hint="eastAsia"/>
        </w:rPr>
        <w:t>19.</w:t>
      </w:r>
      <w:r>
        <w:rPr>
          <w:rFonts w:hint="eastAsia"/>
        </w:rPr>
        <w:tab/>
      </w:r>
      <w:r>
        <w:rPr>
          <w:rFonts w:ascii="KaiTi_GB2312" w:eastAsia="KaiTi_GB2312" w:hint="eastAsia"/>
          <w:color w:val="0000FF"/>
        </w:rPr>
        <w:t>请提供关于妇女感染艾滋病毒/艾滋病人数的资料，并说明是否将性别观点纳入现有防治艾滋病毒/艾滋病方案</w:t>
      </w:r>
      <w:r>
        <w:rPr>
          <w:rFonts w:hint="eastAsia"/>
        </w:rPr>
        <w:t>。</w:t>
      </w:r>
    </w:p>
    <w:p w:rsidR="00000000" w:rsidRDefault="00000000">
      <w:pPr>
        <w:pStyle w:val="SingleTxt"/>
        <w:rPr>
          <w:rFonts w:hint="eastAsia"/>
        </w:rPr>
      </w:pPr>
      <w:r>
        <w:rPr>
          <w:rFonts w:hint="eastAsia"/>
        </w:rPr>
        <w:tab/>
        <w:t>关于佛得角艾滋病毒/艾滋病情况的最新数据，见2004年4月卫生部编订的报告，特别是艾滋病防治方案编制的下表：</w:t>
      </w:r>
    </w:p>
    <w:p w:rsidR="00000000" w:rsidRDefault="00000000">
      <w:pPr>
        <w:pStyle w:val="SingleTxt"/>
        <w:rPr>
          <w:rFonts w:ascii="SimHei" w:eastAsia="SimHei" w:hint="eastAsia"/>
          <w:color w:val="FF0000"/>
        </w:rPr>
      </w:pPr>
      <w:r>
        <w:rPr>
          <w:rFonts w:ascii="SimHei" w:eastAsia="SimHei" w:hint="eastAsia"/>
          <w:color w:val="FF0000"/>
        </w:rPr>
        <w:t>1987-2003年佛得角艾滋病毒/艾滋病确认病例的发展情况简表</w:t>
      </w:r>
    </w:p>
    <w:tbl>
      <w:tblPr>
        <w:tblW w:w="0" w:type="auto"/>
        <w:tblInd w:w="1268" w:type="dxa"/>
        <w:tblLayout w:type="fixed"/>
        <w:tblCellMar>
          <w:left w:w="0" w:type="dxa"/>
          <w:right w:w="0" w:type="dxa"/>
        </w:tblCellMar>
        <w:tblLook w:val="0000" w:firstRow="0" w:lastRow="0" w:firstColumn="0" w:lastColumn="0" w:noHBand="0" w:noVBand="0"/>
      </w:tblPr>
      <w:tblGrid>
        <w:gridCol w:w="1830"/>
        <w:gridCol w:w="915"/>
        <w:gridCol w:w="915"/>
        <w:gridCol w:w="915"/>
        <w:gridCol w:w="915"/>
        <w:gridCol w:w="915"/>
        <w:gridCol w:w="916"/>
      </w:tblGrid>
      <w:tr w:rsidR="00000000">
        <w:tblPrEx>
          <w:tblCellMar>
            <w:top w:w="0" w:type="dxa"/>
            <w:bottom w:w="0" w:type="dxa"/>
          </w:tblCellMar>
        </w:tblPrEx>
        <w:trPr>
          <w:cantSplit/>
          <w:tblHeader/>
        </w:trPr>
        <w:tc>
          <w:tcPr>
            <w:tcW w:w="7321" w:type="dxa"/>
            <w:gridSpan w:val="7"/>
            <w:tcBorders>
              <w:top w:val="single" w:sz="2"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jc w:val="center"/>
              <w:rPr>
                <w:rFonts w:ascii="KaiTi_GB2312" w:eastAsia="KaiTi_GB2312" w:hint="eastAsia"/>
                <w:color w:val="0000FF"/>
                <w:sz w:val="14"/>
              </w:rPr>
            </w:pPr>
            <w:r>
              <w:rPr>
                <w:rFonts w:ascii="KaiTi_GB2312" w:eastAsia="KaiTi_GB2312" w:hint="eastAsia"/>
                <w:color w:val="0000FF"/>
                <w:sz w:val="14"/>
              </w:rPr>
              <w:t>艾滋病毒/艾滋病</w:t>
            </w:r>
          </w:p>
        </w:tc>
      </w:tr>
      <w:tr w:rsidR="00000000">
        <w:tblPrEx>
          <w:tblCellMar>
            <w:top w:w="0" w:type="dxa"/>
            <w:bottom w:w="0" w:type="dxa"/>
          </w:tblCellMar>
        </w:tblPrEx>
        <w:trPr>
          <w:cantSplit/>
          <w:tblHeader/>
        </w:trPr>
        <w:tc>
          <w:tcPr>
            <w:tcW w:w="1830" w:type="dxa"/>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rPr>
                <w:rFonts w:ascii="KaiTi_GB2312" w:eastAsia="KaiTi_GB2312" w:hint="eastAsia"/>
                <w:color w:val="0000FF"/>
                <w:sz w:val="14"/>
              </w:rPr>
            </w:pPr>
          </w:p>
        </w:tc>
        <w:tc>
          <w:tcPr>
            <w:tcW w:w="3660" w:type="dxa"/>
            <w:gridSpan w:val="4"/>
            <w:tcBorders>
              <w:top w:val="single" w:sz="4" w:space="0" w:color="auto"/>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jc w:val="center"/>
              <w:rPr>
                <w:rFonts w:ascii="KaiTi_GB2312" w:eastAsia="KaiTi_GB2312" w:hint="eastAsia"/>
                <w:color w:val="0000FF"/>
                <w:sz w:val="14"/>
              </w:rPr>
            </w:pPr>
            <w:r>
              <w:rPr>
                <w:rFonts w:ascii="KaiTi_GB2312" w:eastAsia="KaiTi_GB2312" w:hint="eastAsia"/>
                <w:color w:val="0000FF"/>
                <w:sz w:val="14"/>
              </w:rPr>
              <w:t>病例</w:t>
            </w:r>
          </w:p>
        </w:tc>
        <w:tc>
          <w:tcPr>
            <w:tcW w:w="915"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jc w:val="right"/>
              <w:rPr>
                <w:rFonts w:ascii="KaiTi_GB2312" w:eastAsia="KaiTi_GB2312"/>
                <w:color w:val="0000FF"/>
                <w:sz w:val="14"/>
              </w:rPr>
            </w:pPr>
            <w:r>
              <w:rPr>
                <w:rFonts w:ascii="KaiTi_GB2312" w:eastAsia="KaiTi_GB2312" w:hint="eastAsia"/>
                <w:color w:val="0000FF"/>
                <w:sz w:val="14"/>
              </w:rPr>
              <w:t>每十万人</w:t>
            </w:r>
          </w:p>
          <w:p w:rsidR="00000000" w:rsidRDefault="00000000">
            <w:pPr>
              <w:pStyle w:val="SingleTxt"/>
              <w:tabs>
                <w:tab w:val="left" w:pos="288"/>
                <w:tab w:val="left" w:pos="576"/>
                <w:tab w:val="left" w:pos="864"/>
                <w:tab w:val="left" w:pos="1152"/>
              </w:tabs>
              <w:spacing w:before="40" w:after="60" w:line="200" w:lineRule="exact"/>
              <w:ind w:left="0" w:right="40"/>
              <w:jc w:val="right"/>
              <w:rPr>
                <w:rFonts w:ascii="KaiTi_GB2312" w:eastAsia="KaiTi_GB2312" w:hint="eastAsia"/>
                <w:color w:val="0000FF"/>
                <w:sz w:val="14"/>
              </w:rPr>
            </w:pPr>
            <w:r>
              <w:rPr>
                <w:rFonts w:ascii="KaiTi_GB2312" w:eastAsia="KaiTi_GB2312" w:hint="eastAsia"/>
                <w:color w:val="0000FF"/>
                <w:sz w:val="14"/>
              </w:rPr>
              <w:t>发生率</w:t>
            </w:r>
          </w:p>
        </w:tc>
        <w:tc>
          <w:tcPr>
            <w:tcW w:w="916" w:type="dxa"/>
            <w:vMerge w:val="restart"/>
            <w:tcBorders>
              <w:top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jc w:val="right"/>
              <w:rPr>
                <w:rFonts w:ascii="KaiTi_GB2312" w:eastAsia="KaiTi_GB2312"/>
                <w:color w:val="0000FF"/>
                <w:sz w:val="14"/>
              </w:rPr>
            </w:pPr>
            <w:r>
              <w:rPr>
                <w:rFonts w:ascii="KaiTi_GB2312" w:eastAsia="KaiTi_GB2312" w:hint="eastAsia"/>
                <w:color w:val="0000FF"/>
                <w:sz w:val="14"/>
              </w:rPr>
              <w:t>每十万人</w:t>
            </w:r>
          </w:p>
          <w:p w:rsidR="00000000" w:rsidRDefault="00000000">
            <w:pPr>
              <w:pStyle w:val="SingleTxt"/>
              <w:tabs>
                <w:tab w:val="left" w:pos="288"/>
                <w:tab w:val="left" w:pos="576"/>
                <w:tab w:val="left" w:pos="864"/>
                <w:tab w:val="left" w:pos="1152"/>
              </w:tabs>
              <w:spacing w:before="40" w:after="60" w:line="200" w:lineRule="exact"/>
              <w:ind w:left="0" w:right="40"/>
              <w:jc w:val="right"/>
              <w:rPr>
                <w:rFonts w:ascii="KaiTi_GB2312" w:eastAsia="KaiTi_GB2312" w:hint="eastAsia"/>
                <w:color w:val="0000FF"/>
                <w:sz w:val="14"/>
              </w:rPr>
            </w:pPr>
            <w:r>
              <w:rPr>
                <w:rFonts w:ascii="KaiTi_GB2312" w:eastAsia="KaiTi_GB2312" w:hint="eastAsia"/>
                <w:color w:val="0000FF"/>
                <w:sz w:val="14"/>
              </w:rPr>
              <w:t>携带者</w:t>
            </w:r>
          </w:p>
        </w:tc>
      </w:tr>
      <w:tr w:rsidR="00000000">
        <w:tblPrEx>
          <w:tblCellMar>
            <w:top w:w="0" w:type="dxa"/>
            <w:bottom w:w="0" w:type="dxa"/>
          </w:tblCellMar>
        </w:tblPrEx>
        <w:trPr>
          <w:cantSplit/>
          <w:tblHeader/>
        </w:trPr>
        <w:tc>
          <w:tcPr>
            <w:tcW w:w="1830"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rPr>
                <w:rFonts w:ascii="KaiTi_GB2312" w:eastAsia="KaiTi_GB2312" w:hint="eastAsia"/>
                <w:color w:val="0000FF"/>
                <w:sz w:val="14"/>
              </w:rPr>
            </w:pPr>
            <w:r>
              <w:rPr>
                <w:rFonts w:ascii="KaiTi_GB2312" w:eastAsia="KaiTi_GB2312" w:hint="eastAsia"/>
                <w:color w:val="0000FF"/>
                <w:sz w:val="14"/>
              </w:rPr>
              <w:t>年份</w:t>
            </w:r>
          </w:p>
        </w:tc>
        <w:tc>
          <w:tcPr>
            <w:tcW w:w="91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jc w:val="right"/>
              <w:rPr>
                <w:rFonts w:ascii="KaiTi_GB2312" w:eastAsia="KaiTi_GB2312" w:hint="eastAsia"/>
                <w:color w:val="0000FF"/>
                <w:sz w:val="14"/>
              </w:rPr>
            </w:pPr>
            <w:r>
              <w:rPr>
                <w:rFonts w:ascii="KaiTi_GB2312" w:eastAsia="KaiTi_GB2312" w:hint="eastAsia"/>
                <w:color w:val="0000FF"/>
                <w:sz w:val="14"/>
              </w:rPr>
              <w:t>男性</w:t>
            </w:r>
          </w:p>
        </w:tc>
        <w:tc>
          <w:tcPr>
            <w:tcW w:w="91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jc w:val="right"/>
              <w:rPr>
                <w:rFonts w:ascii="KaiTi_GB2312" w:eastAsia="KaiTi_GB2312" w:hint="eastAsia"/>
                <w:color w:val="0000FF"/>
                <w:sz w:val="14"/>
              </w:rPr>
            </w:pPr>
            <w:r>
              <w:rPr>
                <w:rFonts w:ascii="KaiTi_GB2312" w:eastAsia="KaiTi_GB2312" w:hint="eastAsia"/>
                <w:color w:val="0000FF"/>
                <w:sz w:val="14"/>
              </w:rPr>
              <w:t>女性</w:t>
            </w:r>
          </w:p>
        </w:tc>
        <w:tc>
          <w:tcPr>
            <w:tcW w:w="91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jc w:val="right"/>
              <w:rPr>
                <w:rFonts w:ascii="KaiTi_GB2312" w:eastAsia="KaiTi_GB2312" w:hint="eastAsia"/>
                <w:color w:val="0000FF"/>
                <w:sz w:val="14"/>
              </w:rPr>
            </w:pPr>
            <w:r>
              <w:rPr>
                <w:rFonts w:ascii="KaiTi_GB2312" w:eastAsia="KaiTi_GB2312" w:hint="eastAsia"/>
                <w:color w:val="0000FF"/>
                <w:sz w:val="14"/>
              </w:rPr>
              <w:t>不明确</w:t>
            </w:r>
          </w:p>
        </w:tc>
        <w:tc>
          <w:tcPr>
            <w:tcW w:w="915" w:type="dxa"/>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jc w:val="right"/>
              <w:rPr>
                <w:rFonts w:ascii="KaiTi_GB2312" w:eastAsia="KaiTi_GB2312" w:hint="eastAsia"/>
                <w:color w:val="0000FF"/>
                <w:sz w:val="14"/>
              </w:rPr>
            </w:pPr>
            <w:r>
              <w:rPr>
                <w:rFonts w:ascii="KaiTi_GB2312" w:eastAsia="KaiTi_GB2312" w:hint="eastAsia"/>
                <w:color w:val="0000FF"/>
                <w:sz w:val="14"/>
              </w:rPr>
              <w:t>共计</w:t>
            </w:r>
          </w:p>
        </w:tc>
        <w:tc>
          <w:tcPr>
            <w:tcW w:w="915"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jc w:val="right"/>
              <w:rPr>
                <w:rFonts w:ascii="KaiTi_GB2312" w:eastAsia="KaiTi_GB2312" w:hint="eastAsia"/>
                <w:color w:val="0000FF"/>
                <w:sz w:val="14"/>
              </w:rPr>
            </w:pPr>
          </w:p>
        </w:tc>
        <w:tc>
          <w:tcPr>
            <w:tcW w:w="916" w:type="dxa"/>
            <w:vMerge/>
            <w:tcBorders>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before="40" w:after="60" w:line="200" w:lineRule="exact"/>
              <w:ind w:left="0" w:right="40"/>
              <w:jc w:val="right"/>
              <w:rPr>
                <w:rFonts w:ascii="KaiTi_GB2312" w:eastAsia="KaiTi_GB2312" w:hint="eastAsia"/>
                <w:color w:val="0000FF"/>
                <w:sz w:val="14"/>
              </w:rPr>
            </w:pPr>
          </w:p>
        </w:tc>
      </w:tr>
      <w:tr w:rsidR="00000000">
        <w:tblPrEx>
          <w:tblCellMar>
            <w:top w:w="0" w:type="dxa"/>
            <w:bottom w:w="0" w:type="dxa"/>
          </w:tblCellMar>
        </w:tblPrEx>
        <w:trPr>
          <w:cantSplit/>
          <w:trHeight w:hRule="exact" w:val="115"/>
          <w:tblHeader/>
        </w:trPr>
        <w:tc>
          <w:tcPr>
            <w:tcW w:w="183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rPr>
                <w:rFonts w:ascii="SimHei" w:hint="eastAsia"/>
                <w:color w:val="FF0000"/>
                <w:sz w:val="17"/>
              </w:rPr>
            </w:pPr>
          </w:p>
        </w:tc>
        <w:tc>
          <w:tcPr>
            <w:tcW w:w="91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hint="eastAsia"/>
                <w:color w:val="FF0000"/>
                <w:sz w:val="17"/>
              </w:rPr>
            </w:pPr>
          </w:p>
        </w:tc>
        <w:tc>
          <w:tcPr>
            <w:tcW w:w="91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hint="eastAsia"/>
                <w:color w:val="FF0000"/>
                <w:sz w:val="17"/>
              </w:rPr>
            </w:pPr>
          </w:p>
        </w:tc>
        <w:tc>
          <w:tcPr>
            <w:tcW w:w="91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hint="eastAsia"/>
                <w:color w:val="FF0000"/>
                <w:sz w:val="17"/>
              </w:rPr>
            </w:pPr>
          </w:p>
        </w:tc>
        <w:tc>
          <w:tcPr>
            <w:tcW w:w="91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hint="eastAsia"/>
                <w:color w:val="FF0000"/>
                <w:sz w:val="17"/>
              </w:rPr>
            </w:pPr>
          </w:p>
        </w:tc>
        <w:tc>
          <w:tcPr>
            <w:tcW w:w="915"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hint="eastAsia"/>
                <w:color w:val="FF0000"/>
                <w:sz w:val="17"/>
              </w:rPr>
            </w:pPr>
          </w:p>
        </w:tc>
        <w:tc>
          <w:tcPr>
            <w:tcW w:w="916"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60" w:line="280" w:lineRule="exact"/>
              <w:ind w:left="0" w:right="40"/>
              <w:jc w:val="right"/>
              <w:rPr>
                <w:rFonts w:ascii="SimHei" w:hint="eastAsia"/>
                <w:color w:val="FF0000"/>
                <w:sz w:val="17"/>
              </w:rPr>
            </w:pP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1987</w:t>
            </w:r>
          </w:p>
        </w:tc>
        <w:tc>
          <w:tcPr>
            <w:tcW w:w="915" w:type="dxa"/>
          </w:tcPr>
          <w:p w:rsidR="00000000" w:rsidRDefault="00000000">
            <w:pPr>
              <w:ind w:right="57"/>
              <w:jc w:val="right"/>
              <w:rPr>
                <w:sz w:val="17"/>
              </w:rPr>
            </w:pPr>
            <w:r>
              <w:rPr>
                <w:sz w:val="17"/>
              </w:rPr>
              <w:t>42</w:t>
            </w:r>
          </w:p>
        </w:tc>
        <w:tc>
          <w:tcPr>
            <w:tcW w:w="915" w:type="dxa"/>
          </w:tcPr>
          <w:p w:rsidR="00000000" w:rsidRDefault="00000000">
            <w:pPr>
              <w:ind w:right="57"/>
              <w:jc w:val="right"/>
              <w:rPr>
                <w:sz w:val="17"/>
              </w:rPr>
            </w:pPr>
            <w:r>
              <w:rPr>
                <w:sz w:val="17"/>
              </w:rPr>
              <w:t>19</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61</w:t>
            </w:r>
          </w:p>
        </w:tc>
        <w:tc>
          <w:tcPr>
            <w:tcW w:w="915" w:type="dxa"/>
          </w:tcPr>
          <w:p w:rsidR="00000000" w:rsidRDefault="00000000">
            <w:pPr>
              <w:ind w:right="57"/>
              <w:jc w:val="right"/>
              <w:rPr>
                <w:sz w:val="17"/>
              </w:rPr>
            </w:pPr>
            <w:r>
              <w:rPr>
                <w:sz w:val="17"/>
              </w:rPr>
              <w:t>18.7</w:t>
            </w:r>
          </w:p>
        </w:tc>
        <w:tc>
          <w:tcPr>
            <w:tcW w:w="916" w:type="dxa"/>
          </w:tcPr>
          <w:p w:rsidR="00000000" w:rsidRDefault="00000000">
            <w:pPr>
              <w:ind w:right="57"/>
              <w:jc w:val="right"/>
              <w:rPr>
                <w:rFonts w:hint="eastAsia"/>
                <w:sz w:val="17"/>
              </w:rPr>
            </w:pPr>
            <w:r>
              <w:rPr>
                <w:rFonts w:hint="eastAsia"/>
                <w:sz w:val="17"/>
              </w:rPr>
              <w:t>-</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1988</w:t>
            </w:r>
          </w:p>
        </w:tc>
        <w:tc>
          <w:tcPr>
            <w:tcW w:w="915" w:type="dxa"/>
          </w:tcPr>
          <w:p w:rsidR="00000000" w:rsidRDefault="00000000">
            <w:pPr>
              <w:ind w:right="57"/>
              <w:jc w:val="right"/>
              <w:rPr>
                <w:sz w:val="17"/>
              </w:rPr>
            </w:pPr>
            <w:r>
              <w:rPr>
                <w:sz w:val="17"/>
              </w:rPr>
              <w:t>20</w:t>
            </w:r>
          </w:p>
        </w:tc>
        <w:tc>
          <w:tcPr>
            <w:tcW w:w="915" w:type="dxa"/>
          </w:tcPr>
          <w:p w:rsidR="00000000" w:rsidRDefault="00000000">
            <w:pPr>
              <w:ind w:right="57"/>
              <w:jc w:val="right"/>
              <w:rPr>
                <w:sz w:val="17"/>
              </w:rPr>
            </w:pPr>
            <w:r>
              <w:rPr>
                <w:sz w:val="17"/>
              </w:rPr>
              <w:t>26</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46</w:t>
            </w:r>
          </w:p>
        </w:tc>
        <w:tc>
          <w:tcPr>
            <w:tcW w:w="915" w:type="dxa"/>
          </w:tcPr>
          <w:p w:rsidR="00000000" w:rsidRDefault="00000000">
            <w:pPr>
              <w:ind w:right="57"/>
              <w:jc w:val="right"/>
              <w:rPr>
                <w:sz w:val="17"/>
              </w:rPr>
            </w:pPr>
            <w:r>
              <w:rPr>
                <w:sz w:val="17"/>
              </w:rPr>
              <w:t>13.9</w:t>
            </w:r>
          </w:p>
        </w:tc>
        <w:tc>
          <w:tcPr>
            <w:tcW w:w="916" w:type="dxa"/>
          </w:tcPr>
          <w:p w:rsidR="00000000" w:rsidRDefault="00000000">
            <w:pPr>
              <w:ind w:right="57"/>
              <w:jc w:val="right"/>
              <w:rPr>
                <w:sz w:val="17"/>
              </w:rPr>
            </w:pPr>
            <w:r>
              <w:rPr>
                <w:sz w:val="17"/>
              </w:rPr>
              <w:t>31.3</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1989</w:t>
            </w:r>
          </w:p>
        </w:tc>
        <w:tc>
          <w:tcPr>
            <w:tcW w:w="915" w:type="dxa"/>
          </w:tcPr>
          <w:p w:rsidR="00000000" w:rsidRDefault="00000000">
            <w:pPr>
              <w:ind w:right="57"/>
              <w:jc w:val="right"/>
              <w:rPr>
                <w:sz w:val="17"/>
              </w:rPr>
            </w:pPr>
            <w:r>
              <w:rPr>
                <w:sz w:val="17"/>
              </w:rPr>
              <w:t>22</w:t>
            </w:r>
          </w:p>
        </w:tc>
        <w:tc>
          <w:tcPr>
            <w:tcW w:w="915" w:type="dxa"/>
          </w:tcPr>
          <w:p w:rsidR="00000000" w:rsidRDefault="00000000">
            <w:pPr>
              <w:ind w:right="57"/>
              <w:jc w:val="right"/>
              <w:rPr>
                <w:sz w:val="17"/>
              </w:rPr>
            </w:pPr>
            <w:r>
              <w:rPr>
                <w:sz w:val="17"/>
              </w:rPr>
              <w:t>31</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53</w:t>
            </w:r>
          </w:p>
        </w:tc>
        <w:tc>
          <w:tcPr>
            <w:tcW w:w="915" w:type="dxa"/>
          </w:tcPr>
          <w:p w:rsidR="00000000" w:rsidRDefault="00000000">
            <w:pPr>
              <w:ind w:right="57"/>
              <w:jc w:val="right"/>
              <w:rPr>
                <w:sz w:val="17"/>
              </w:rPr>
            </w:pPr>
            <w:r>
              <w:rPr>
                <w:sz w:val="17"/>
              </w:rPr>
              <w:t>15.7</w:t>
            </w:r>
          </w:p>
        </w:tc>
        <w:tc>
          <w:tcPr>
            <w:tcW w:w="916" w:type="dxa"/>
          </w:tcPr>
          <w:p w:rsidR="00000000" w:rsidRDefault="00000000">
            <w:pPr>
              <w:ind w:right="57"/>
              <w:jc w:val="right"/>
              <w:rPr>
                <w:sz w:val="17"/>
              </w:rPr>
            </w:pPr>
            <w:r>
              <w:rPr>
                <w:sz w:val="17"/>
              </w:rPr>
              <w:t>44.0</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1990</w:t>
            </w:r>
          </w:p>
        </w:tc>
        <w:tc>
          <w:tcPr>
            <w:tcW w:w="915" w:type="dxa"/>
          </w:tcPr>
          <w:p w:rsidR="00000000" w:rsidRDefault="00000000">
            <w:pPr>
              <w:ind w:right="57"/>
              <w:jc w:val="right"/>
              <w:rPr>
                <w:sz w:val="17"/>
              </w:rPr>
            </w:pPr>
            <w:r>
              <w:rPr>
                <w:sz w:val="17"/>
              </w:rPr>
              <w:t>24</w:t>
            </w:r>
          </w:p>
        </w:tc>
        <w:tc>
          <w:tcPr>
            <w:tcW w:w="915" w:type="dxa"/>
          </w:tcPr>
          <w:p w:rsidR="00000000" w:rsidRDefault="00000000">
            <w:pPr>
              <w:ind w:right="57"/>
              <w:jc w:val="right"/>
              <w:rPr>
                <w:sz w:val="17"/>
              </w:rPr>
            </w:pPr>
            <w:r>
              <w:rPr>
                <w:sz w:val="17"/>
              </w:rPr>
              <w:t>27</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51</w:t>
            </w:r>
          </w:p>
        </w:tc>
        <w:tc>
          <w:tcPr>
            <w:tcW w:w="915" w:type="dxa"/>
          </w:tcPr>
          <w:p w:rsidR="00000000" w:rsidRDefault="00000000">
            <w:pPr>
              <w:ind w:right="57"/>
              <w:jc w:val="right"/>
              <w:rPr>
                <w:sz w:val="17"/>
              </w:rPr>
            </w:pPr>
            <w:r>
              <w:rPr>
                <w:sz w:val="17"/>
              </w:rPr>
              <w:t>14.9</w:t>
            </w:r>
          </w:p>
        </w:tc>
        <w:tc>
          <w:tcPr>
            <w:tcW w:w="916" w:type="dxa"/>
          </w:tcPr>
          <w:p w:rsidR="00000000" w:rsidRDefault="00000000">
            <w:pPr>
              <w:ind w:right="57"/>
              <w:jc w:val="right"/>
              <w:rPr>
                <w:sz w:val="17"/>
              </w:rPr>
            </w:pPr>
            <w:r>
              <w:rPr>
                <w:sz w:val="17"/>
              </w:rPr>
              <w:t>54.7</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1991</w:t>
            </w:r>
          </w:p>
        </w:tc>
        <w:tc>
          <w:tcPr>
            <w:tcW w:w="915" w:type="dxa"/>
          </w:tcPr>
          <w:p w:rsidR="00000000" w:rsidRDefault="00000000">
            <w:pPr>
              <w:ind w:right="57"/>
              <w:jc w:val="right"/>
              <w:rPr>
                <w:sz w:val="17"/>
              </w:rPr>
            </w:pPr>
            <w:r>
              <w:rPr>
                <w:sz w:val="17"/>
              </w:rPr>
              <w:t>20</w:t>
            </w:r>
          </w:p>
        </w:tc>
        <w:tc>
          <w:tcPr>
            <w:tcW w:w="915" w:type="dxa"/>
          </w:tcPr>
          <w:p w:rsidR="00000000" w:rsidRDefault="00000000">
            <w:pPr>
              <w:ind w:right="57"/>
              <w:jc w:val="right"/>
              <w:rPr>
                <w:sz w:val="17"/>
              </w:rPr>
            </w:pPr>
            <w:r>
              <w:rPr>
                <w:sz w:val="17"/>
              </w:rPr>
              <w:t>13</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33</w:t>
            </w:r>
          </w:p>
        </w:tc>
        <w:tc>
          <w:tcPr>
            <w:tcW w:w="915" w:type="dxa"/>
          </w:tcPr>
          <w:p w:rsidR="00000000" w:rsidRDefault="00000000">
            <w:pPr>
              <w:ind w:right="57"/>
              <w:jc w:val="right"/>
              <w:rPr>
                <w:sz w:val="17"/>
              </w:rPr>
            </w:pPr>
            <w:r>
              <w:rPr>
                <w:sz w:val="17"/>
              </w:rPr>
              <w:t>9.5</w:t>
            </w:r>
          </w:p>
        </w:tc>
        <w:tc>
          <w:tcPr>
            <w:tcW w:w="916" w:type="dxa"/>
          </w:tcPr>
          <w:p w:rsidR="00000000" w:rsidRDefault="00000000">
            <w:pPr>
              <w:ind w:right="57"/>
              <w:jc w:val="right"/>
              <w:rPr>
                <w:sz w:val="17"/>
              </w:rPr>
            </w:pPr>
            <w:r>
              <w:rPr>
                <w:sz w:val="17"/>
              </w:rPr>
              <w:t>60.8</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1992</w:t>
            </w:r>
          </w:p>
        </w:tc>
        <w:tc>
          <w:tcPr>
            <w:tcW w:w="915" w:type="dxa"/>
          </w:tcPr>
          <w:p w:rsidR="00000000" w:rsidRDefault="00000000">
            <w:pPr>
              <w:ind w:right="57"/>
              <w:jc w:val="right"/>
              <w:rPr>
                <w:sz w:val="17"/>
              </w:rPr>
            </w:pPr>
            <w:r>
              <w:rPr>
                <w:sz w:val="17"/>
              </w:rPr>
              <w:t>40</w:t>
            </w:r>
          </w:p>
        </w:tc>
        <w:tc>
          <w:tcPr>
            <w:tcW w:w="915" w:type="dxa"/>
          </w:tcPr>
          <w:p w:rsidR="00000000" w:rsidRDefault="00000000">
            <w:pPr>
              <w:ind w:right="57"/>
              <w:jc w:val="right"/>
              <w:rPr>
                <w:sz w:val="17"/>
              </w:rPr>
            </w:pPr>
            <w:r>
              <w:rPr>
                <w:sz w:val="17"/>
              </w:rPr>
              <w:t>19</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59</w:t>
            </w:r>
          </w:p>
        </w:tc>
        <w:tc>
          <w:tcPr>
            <w:tcW w:w="915" w:type="dxa"/>
          </w:tcPr>
          <w:p w:rsidR="00000000" w:rsidRDefault="00000000">
            <w:pPr>
              <w:ind w:right="57"/>
              <w:jc w:val="right"/>
              <w:rPr>
                <w:sz w:val="17"/>
              </w:rPr>
            </w:pPr>
            <w:r>
              <w:rPr>
                <w:sz w:val="17"/>
              </w:rPr>
              <w:t>16.6</w:t>
            </w:r>
          </w:p>
        </w:tc>
        <w:tc>
          <w:tcPr>
            <w:tcW w:w="916" w:type="dxa"/>
          </w:tcPr>
          <w:p w:rsidR="00000000" w:rsidRDefault="00000000">
            <w:pPr>
              <w:ind w:right="57"/>
              <w:jc w:val="right"/>
              <w:rPr>
                <w:sz w:val="17"/>
              </w:rPr>
            </w:pPr>
            <w:r>
              <w:rPr>
                <w:sz w:val="17"/>
              </w:rPr>
              <w:t>74.1</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1993</w:t>
            </w:r>
          </w:p>
        </w:tc>
        <w:tc>
          <w:tcPr>
            <w:tcW w:w="915" w:type="dxa"/>
          </w:tcPr>
          <w:p w:rsidR="00000000" w:rsidRDefault="00000000">
            <w:pPr>
              <w:ind w:right="57"/>
              <w:jc w:val="right"/>
              <w:rPr>
                <w:sz w:val="17"/>
              </w:rPr>
            </w:pPr>
            <w:r>
              <w:rPr>
                <w:sz w:val="17"/>
              </w:rPr>
              <w:t>17</w:t>
            </w:r>
          </w:p>
        </w:tc>
        <w:tc>
          <w:tcPr>
            <w:tcW w:w="915" w:type="dxa"/>
          </w:tcPr>
          <w:p w:rsidR="00000000" w:rsidRDefault="00000000">
            <w:pPr>
              <w:ind w:right="57"/>
              <w:jc w:val="right"/>
              <w:rPr>
                <w:sz w:val="17"/>
              </w:rPr>
            </w:pPr>
            <w:r>
              <w:rPr>
                <w:sz w:val="17"/>
              </w:rPr>
              <w:t>17</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34</w:t>
            </w:r>
          </w:p>
        </w:tc>
        <w:tc>
          <w:tcPr>
            <w:tcW w:w="915" w:type="dxa"/>
          </w:tcPr>
          <w:p w:rsidR="00000000" w:rsidRDefault="00000000">
            <w:pPr>
              <w:ind w:right="57"/>
              <w:jc w:val="right"/>
              <w:rPr>
                <w:sz w:val="17"/>
              </w:rPr>
            </w:pPr>
            <w:r>
              <w:rPr>
                <w:sz w:val="17"/>
              </w:rPr>
              <w:t>9.3</w:t>
            </w:r>
          </w:p>
        </w:tc>
        <w:tc>
          <w:tcPr>
            <w:tcW w:w="916" w:type="dxa"/>
          </w:tcPr>
          <w:p w:rsidR="00000000" w:rsidRDefault="00000000">
            <w:pPr>
              <w:ind w:right="57"/>
              <w:jc w:val="right"/>
              <w:rPr>
                <w:sz w:val="17"/>
              </w:rPr>
            </w:pPr>
            <w:r>
              <w:rPr>
                <w:sz w:val="17"/>
              </w:rPr>
              <w:t>76.9</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1994</w:t>
            </w:r>
          </w:p>
        </w:tc>
        <w:tc>
          <w:tcPr>
            <w:tcW w:w="915" w:type="dxa"/>
          </w:tcPr>
          <w:p w:rsidR="00000000" w:rsidRDefault="00000000">
            <w:pPr>
              <w:ind w:right="57"/>
              <w:jc w:val="right"/>
              <w:rPr>
                <w:sz w:val="17"/>
              </w:rPr>
            </w:pPr>
            <w:r>
              <w:rPr>
                <w:sz w:val="17"/>
              </w:rPr>
              <w:t>10</w:t>
            </w:r>
          </w:p>
        </w:tc>
        <w:tc>
          <w:tcPr>
            <w:tcW w:w="915" w:type="dxa"/>
          </w:tcPr>
          <w:p w:rsidR="00000000" w:rsidRDefault="00000000">
            <w:pPr>
              <w:ind w:right="57"/>
              <w:jc w:val="right"/>
              <w:rPr>
                <w:sz w:val="17"/>
              </w:rPr>
            </w:pPr>
            <w:r>
              <w:rPr>
                <w:sz w:val="17"/>
              </w:rPr>
              <w:t>11</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21</w:t>
            </w:r>
          </w:p>
        </w:tc>
        <w:tc>
          <w:tcPr>
            <w:tcW w:w="915" w:type="dxa"/>
          </w:tcPr>
          <w:p w:rsidR="00000000" w:rsidRDefault="00000000">
            <w:pPr>
              <w:ind w:right="57"/>
              <w:jc w:val="right"/>
              <w:rPr>
                <w:sz w:val="17"/>
              </w:rPr>
            </w:pPr>
            <w:r>
              <w:rPr>
                <w:sz w:val="17"/>
              </w:rPr>
              <w:t>5.6</w:t>
            </w:r>
          </w:p>
        </w:tc>
        <w:tc>
          <w:tcPr>
            <w:tcW w:w="916" w:type="dxa"/>
          </w:tcPr>
          <w:p w:rsidR="00000000" w:rsidRDefault="00000000">
            <w:pPr>
              <w:ind w:right="57"/>
              <w:jc w:val="right"/>
              <w:rPr>
                <w:sz w:val="17"/>
              </w:rPr>
            </w:pPr>
            <w:r>
              <w:rPr>
                <w:sz w:val="17"/>
              </w:rPr>
              <w:t>78.0</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1995</w:t>
            </w:r>
          </w:p>
        </w:tc>
        <w:tc>
          <w:tcPr>
            <w:tcW w:w="915" w:type="dxa"/>
          </w:tcPr>
          <w:p w:rsidR="00000000" w:rsidRDefault="00000000">
            <w:pPr>
              <w:ind w:right="57"/>
              <w:jc w:val="right"/>
              <w:rPr>
                <w:sz w:val="17"/>
              </w:rPr>
            </w:pPr>
            <w:r>
              <w:rPr>
                <w:sz w:val="17"/>
              </w:rPr>
              <w:t>17</w:t>
            </w:r>
          </w:p>
        </w:tc>
        <w:tc>
          <w:tcPr>
            <w:tcW w:w="915" w:type="dxa"/>
          </w:tcPr>
          <w:p w:rsidR="00000000" w:rsidRDefault="00000000">
            <w:pPr>
              <w:ind w:right="57"/>
              <w:jc w:val="right"/>
              <w:rPr>
                <w:sz w:val="17"/>
              </w:rPr>
            </w:pPr>
            <w:r>
              <w:rPr>
                <w:sz w:val="17"/>
              </w:rPr>
              <w:t>20</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37</w:t>
            </w:r>
          </w:p>
        </w:tc>
        <w:tc>
          <w:tcPr>
            <w:tcW w:w="915" w:type="dxa"/>
          </w:tcPr>
          <w:p w:rsidR="00000000" w:rsidRDefault="00000000">
            <w:pPr>
              <w:ind w:right="57"/>
              <w:jc w:val="right"/>
              <w:rPr>
                <w:sz w:val="17"/>
              </w:rPr>
            </w:pPr>
            <w:r>
              <w:rPr>
                <w:sz w:val="17"/>
              </w:rPr>
              <w:t>9.7</w:t>
            </w:r>
          </w:p>
        </w:tc>
        <w:tc>
          <w:tcPr>
            <w:tcW w:w="916" w:type="dxa"/>
          </w:tcPr>
          <w:p w:rsidR="00000000" w:rsidRDefault="00000000">
            <w:pPr>
              <w:ind w:right="57"/>
              <w:jc w:val="right"/>
              <w:rPr>
                <w:sz w:val="17"/>
              </w:rPr>
            </w:pPr>
            <w:r>
              <w:rPr>
                <w:sz w:val="17"/>
              </w:rPr>
              <w:t>83.2</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1996</w:t>
            </w:r>
          </w:p>
        </w:tc>
        <w:tc>
          <w:tcPr>
            <w:tcW w:w="915" w:type="dxa"/>
          </w:tcPr>
          <w:p w:rsidR="00000000" w:rsidRDefault="00000000">
            <w:pPr>
              <w:ind w:right="57"/>
              <w:jc w:val="right"/>
              <w:rPr>
                <w:sz w:val="17"/>
              </w:rPr>
            </w:pPr>
            <w:r>
              <w:rPr>
                <w:sz w:val="17"/>
              </w:rPr>
              <w:t>16</w:t>
            </w:r>
          </w:p>
        </w:tc>
        <w:tc>
          <w:tcPr>
            <w:tcW w:w="915" w:type="dxa"/>
          </w:tcPr>
          <w:p w:rsidR="00000000" w:rsidRDefault="00000000">
            <w:pPr>
              <w:ind w:right="57"/>
              <w:jc w:val="right"/>
              <w:rPr>
                <w:sz w:val="17"/>
              </w:rPr>
            </w:pPr>
            <w:r>
              <w:rPr>
                <w:sz w:val="17"/>
              </w:rPr>
              <w:t>19</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35</w:t>
            </w:r>
          </w:p>
        </w:tc>
        <w:tc>
          <w:tcPr>
            <w:tcW w:w="915" w:type="dxa"/>
          </w:tcPr>
          <w:p w:rsidR="00000000" w:rsidRDefault="00000000">
            <w:pPr>
              <w:ind w:right="57"/>
              <w:jc w:val="right"/>
              <w:rPr>
                <w:sz w:val="17"/>
              </w:rPr>
            </w:pPr>
            <w:r>
              <w:rPr>
                <w:sz w:val="17"/>
              </w:rPr>
              <w:t>9.0</w:t>
            </w:r>
          </w:p>
        </w:tc>
        <w:tc>
          <w:tcPr>
            <w:tcW w:w="916" w:type="dxa"/>
          </w:tcPr>
          <w:p w:rsidR="00000000" w:rsidRDefault="00000000">
            <w:pPr>
              <w:ind w:right="57"/>
              <w:jc w:val="right"/>
              <w:rPr>
                <w:sz w:val="17"/>
              </w:rPr>
            </w:pPr>
            <w:r>
              <w:rPr>
                <w:sz w:val="17"/>
              </w:rPr>
              <w:t>85.6</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1997</w:t>
            </w:r>
          </w:p>
        </w:tc>
        <w:tc>
          <w:tcPr>
            <w:tcW w:w="915" w:type="dxa"/>
          </w:tcPr>
          <w:p w:rsidR="00000000" w:rsidRDefault="00000000">
            <w:pPr>
              <w:ind w:right="57"/>
              <w:jc w:val="right"/>
              <w:rPr>
                <w:sz w:val="17"/>
              </w:rPr>
            </w:pPr>
            <w:r>
              <w:rPr>
                <w:sz w:val="17"/>
              </w:rPr>
              <w:t>15</w:t>
            </w:r>
          </w:p>
        </w:tc>
        <w:tc>
          <w:tcPr>
            <w:tcW w:w="915" w:type="dxa"/>
          </w:tcPr>
          <w:p w:rsidR="00000000" w:rsidRDefault="00000000">
            <w:pPr>
              <w:ind w:right="57"/>
              <w:jc w:val="right"/>
              <w:rPr>
                <w:sz w:val="17"/>
              </w:rPr>
            </w:pPr>
            <w:r>
              <w:rPr>
                <w:sz w:val="17"/>
              </w:rPr>
              <w:t>19</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34</w:t>
            </w:r>
          </w:p>
        </w:tc>
        <w:tc>
          <w:tcPr>
            <w:tcW w:w="915" w:type="dxa"/>
          </w:tcPr>
          <w:p w:rsidR="00000000" w:rsidRDefault="00000000">
            <w:pPr>
              <w:ind w:right="57"/>
              <w:jc w:val="right"/>
              <w:rPr>
                <w:sz w:val="17"/>
              </w:rPr>
            </w:pPr>
            <w:r>
              <w:rPr>
                <w:sz w:val="17"/>
              </w:rPr>
              <w:t>8.6</w:t>
            </w:r>
          </w:p>
        </w:tc>
        <w:tc>
          <w:tcPr>
            <w:tcW w:w="916" w:type="dxa"/>
          </w:tcPr>
          <w:p w:rsidR="00000000" w:rsidRDefault="00000000">
            <w:pPr>
              <w:ind w:right="57"/>
              <w:jc w:val="right"/>
              <w:rPr>
                <w:sz w:val="17"/>
              </w:rPr>
            </w:pPr>
            <w:r>
              <w:rPr>
                <w:sz w:val="17"/>
              </w:rPr>
              <w:t>87.0</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1998</w:t>
            </w:r>
          </w:p>
        </w:tc>
        <w:tc>
          <w:tcPr>
            <w:tcW w:w="915" w:type="dxa"/>
          </w:tcPr>
          <w:p w:rsidR="00000000" w:rsidRDefault="00000000">
            <w:pPr>
              <w:ind w:right="57"/>
              <w:jc w:val="right"/>
              <w:rPr>
                <w:sz w:val="17"/>
              </w:rPr>
            </w:pPr>
            <w:r>
              <w:rPr>
                <w:sz w:val="17"/>
              </w:rPr>
              <w:t>56</w:t>
            </w:r>
          </w:p>
        </w:tc>
        <w:tc>
          <w:tcPr>
            <w:tcW w:w="915" w:type="dxa"/>
          </w:tcPr>
          <w:p w:rsidR="00000000" w:rsidRDefault="00000000">
            <w:pPr>
              <w:ind w:right="57"/>
              <w:jc w:val="right"/>
              <w:rPr>
                <w:sz w:val="17"/>
              </w:rPr>
            </w:pPr>
            <w:r>
              <w:rPr>
                <w:sz w:val="17"/>
              </w:rPr>
              <w:t>33</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89</w:t>
            </w:r>
          </w:p>
        </w:tc>
        <w:tc>
          <w:tcPr>
            <w:tcW w:w="915" w:type="dxa"/>
          </w:tcPr>
          <w:p w:rsidR="00000000" w:rsidRDefault="00000000">
            <w:pPr>
              <w:ind w:right="57"/>
              <w:jc w:val="right"/>
              <w:rPr>
                <w:sz w:val="17"/>
              </w:rPr>
            </w:pPr>
            <w:r>
              <w:rPr>
                <w:sz w:val="17"/>
              </w:rPr>
              <w:t>22.0</w:t>
            </w:r>
          </w:p>
        </w:tc>
        <w:tc>
          <w:tcPr>
            <w:tcW w:w="916" w:type="dxa"/>
          </w:tcPr>
          <w:p w:rsidR="00000000" w:rsidRDefault="00000000">
            <w:pPr>
              <w:ind w:right="57"/>
              <w:jc w:val="right"/>
              <w:rPr>
                <w:sz w:val="17"/>
              </w:rPr>
            </w:pPr>
            <w:r>
              <w:rPr>
                <w:sz w:val="17"/>
              </w:rPr>
              <w:t>101.2</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1999</w:t>
            </w:r>
          </w:p>
        </w:tc>
        <w:tc>
          <w:tcPr>
            <w:tcW w:w="915" w:type="dxa"/>
          </w:tcPr>
          <w:p w:rsidR="00000000" w:rsidRDefault="00000000">
            <w:pPr>
              <w:ind w:right="57"/>
              <w:jc w:val="right"/>
              <w:rPr>
                <w:sz w:val="17"/>
              </w:rPr>
            </w:pPr>
            <w:r>
              <w:rPr>
                <w:sz w:val="17"/>
              </w:rPr>
              <w:t>42</w:t>
            </w:r>
          </w:p>
        </w:tc>
        <w:tc>
          <w:tcPr>
            <w:tcW w:w="915" w:type="dxa"/>
          </w:tcPr>
          <w:p w:rsidR="00000000" w:rsidRDefault="00000000">
            <w:pPr>
              <w:ind w:right="57"/>
              <w:jc w:val="right"/>
              <w:rPr>
                <w:sz w:val="17"/>
              </w:rPr>
            </w:pPr>
            <w:r>
              <w:rPr>
                <w:sz w:val="17"/>
              </w:rPr>
              <w:t>52</w:t>
            </w:r>
          </w:p>
        </w:tc>
        <w:tc>
          <w:tcPr>
            <w:tcW w:w="915" w:type="dxa"/>
          </w:tcPr>
          <w:p w:rsidR="00000000" w:rsidRDefault="00000000">
            <w:pPr>
              <w:ind w:right="57"/>
              <w:jc w:val="right"/>
              <w:rPr>
                <w:sz w:val="17"/>
              </w:rPr>
            </w:pPr>
            <w:r>
              <w:rPr>
                <w:sz w:val="17"/>
              </w:rPr>
              <w:t>6</w:t>
            </w:r>
          </w:p>
        </w:tc>
        <w:tc>
          <w:tcPr>
            <w:tcW w:w="915" w:type="dxa"/>
          </w:tcPr>
          <w:p w:rsidR="00000000" w:rsidRDefault="00000000">
            <w:pPr>
              <w:ind w:right="57"/>
              <w:jc w:val="right"/>
              <w:rPr>
                <w:sz w:val="17"/>
              </w:rPr>
            </w:pPr>
            <w:r>
              <w:rPr>
                <w:sz w:val="17"/>
              </w:rPr>
              <w:t>100</w:t>
            </w:r>
          </w:p>
        </w:tc>
        <w:tc>
          <w:tcPr>
            <w:tcW w:w="915" w:type="dxa"/>
          </w:tcPr>
          <w:p w:rsidR="00000000" w:rsidRDefault="00000000">
            <w:pPr>
              <w:ind w:right="57"/>
              <w:jc w:val="right"/>
              <w:rPr>
                <w:sz w:val="17"/>
              </w:rPr>
            </w:pPr>
            <w:r>
              <w:rPr>
                <w:sz w:val="17"/>
              </w:rPr>
              <w:t>24.2</w:t>
            </w:r>
          </w:p>
        </w:tc>
        <w:tc>
          <w:tcPr>
            <w:tcW w:w="916" w:type="dxa"/>
          </w:tcPr>
          <w:p w:rsidR="00000000" w:rsidRDefault="00000000">
            <w:pPr>
              <w:ind w:right="57"/>
              <w:jc w:val="right"/>
              <w:rPr>
                <w:sz w:val="17"/>
              </w:rPr>
            </w:pPr>
            <w:r>
              <w:rPr>
                <w:sz w:val="17"/>
              </w:rPr>
              <w:t>117.4</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2000</w:t>
            </w:r>
          </w:p>
        </w:tc>
        <w:tc>
          <w:tcPr>
            <w:tcW w:w="915" w:type="dxa"/>
          </w:tcPr>
          <w:p w:rsidR="00000000" w:rsidRDefault="00000000">
            <w:pPr>
              <w:ind w:right="57"/>
              <w:jc w:val="right"/>
              <w:rPr>
                <w:sz w:val="17"/>
              </w:rPr>
            </w:pPr>
            <w:r>
              <w:rPr>
                <w:sz w:val="17"/>
              </w:rPr>
              <w:t>44</w:t>
            </w:r>
          </w:p>
        </w:tc>
        <w:tc>
          <w:tcPr>
            <w:tcW w:w="915" w:type="dxa"/>
          </w:tcPr>
          <w:p w:rsidR="00000000" w:rsidRDefault="00000000">
            <w:pPr>
              <w:ind w:right="57"/>
              <w:jc w:val="right"/>
              <w:rPr>
                <w:sz w:val="17"/>
              </w:rPr>
            </w:pPr>
            <w:r>
              <w:rPr>
                <w:sz w:val="17"/>
              </w:rPr>
              <w:t>42</w:t>
            </w:r>
          </w:p>
        </w:tc>
        <w:tc>
          <w:tcPr>
            <w:tcW w:w="915" w:type="dxa"/>
          </w:tcPr>
          <w:p w:rsidR="00000000" w:rsidRDefault="00000000">
            <w:pPr>
              <w:ind w:right="57"/>
              <w:jc w:val="right"/>
              <w:rPr>
                <w:sz w:val="17"/>
              </w:rPr>
            </w:pPr>
            <w:r>
              <w:rPr>
                <w:sz w:val="17"/>
              </w:rPr>
              <w:t>28</w:t>
            </w:r>
          </w:p>
        </w:tc>
        <w:tc>
          <w:tcPr>
            <w:tcW w:w="915" w:type="dxa"/>
          </w:tcPr>
          <w:p w:rsidR="00000000" w:rsidRDefault="00000000">
            <w:pPr>
              <w:ind w:right="57"/>
              <w:jc w:val="right"/>
              <w:rPr>
                <w:sz w:val="17"/>
              </w:rPr>
            </w:pPr>
            <w:r>
              <w:rPr>
                <w:sz w:val="17"/>
              </w:rPr>
              <w:t>114</w:t>
            </w:r>
          </w:p>
        </w:tc>
        <w:tc>
          <w:tcPr>
            <w:tcW w:w="915" w:type="dxa"/>
          </w:tcPr>
          <w:p w:rsidR="00000000" w:rsidRDefault="00000000">
            <w:pPr>
              <w:ind w:right="57"/>
              <w:jc w:val="right"/>
              <w:rPr>
                <w:sz w:val="17"/>
              </w:rPr>
            </w:pPr>
            <w:r>
              <w:rPr>
                <w:sz w:val="17"/>
              </w:rPr>
              <w:t>26.2</w:t>
            </w:r>
          </w:p>
        </w:tc>
        <w:tc>
          <w:tcPr>
            <w:tcW w:w="916" w:type="dxa"/>
          </w:tcPr>
          <w:p w:rsidR="00000000" w:rsidRDefault="00000000">
            <w:pPr>
              <w:ind w:right="57"/>
              <w:jc w:val="right"/>
              <w:rPr>
                <w:sz w:val="17"/>
              </w:rPr>
            </w:pPr>
            <w:r>
              <w:rPr>
                <w:sz w:val="17"/>
              </w:rPr>
              <w:t>130.2</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2001</w:t>
            </w:r>
          </w:p>
        </w:tc>
        <w:tc>
          <w:tcPr>
            <w:tcW w:w="915" w:type="dxa"/>
          </w:tcPr>
          <w:p w:rsidR="00000000" w:rsidRDefault="00000000">
            <w:pPr>
              <w:ind w:right="57"/>
              <w:jc w:val="right"/>
              <w:rPr>
                <w:sz w:val="17"/>
              </w:rPr>
            </w:pPr>
            <w:r>
              <w:rPr>
                <w:sz w:val="17"/>
              </w:rPr>
              <w:t>71</w:t>
            </w:r>
          </w:p>
        </w:tc>
        <w:tc>
          <w:tcPr>
            <w:tcW w:w="915" w:type="dxa"/>
          </w:tcPr>
          <w:p w:rsidR="00000000" w:rsidRDefault="00000000">
            <w:pPr>
              <w:ind w:right="57"/>
              <w:jc w:val="right"/>
              <w:rPr>
                <w:sz w:val="17"/>
              </w:rPr>
            </w:pPr>
            <w:r>
              <w:rPr>
                <w:sz w:val="17"/>
              </w:rPr>
              <w:t>63</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134</w:t>
            </w:r>
          </w:p>
        </w:tc>
        <w:tc>
          <w:tcPr>
            <w:tcW w:w="915" w:type="dxa"/>
          </w:tcPr>
          <w:p w:rsidR="00000000" w:rsidRDefault="00000000">
            <w:pPr>
              <w:ind w:right="57"/>
              <w:jc w:val="right"/>
              <w:rPr>
                <w:sz w:val="17"/>
              </w:rPr>
            </w:pPr>
            <w:r>
              <w:rPr>
                <w:sz w:val="17"/>
              </w:rPr>
              <w:t>30.3</w:t>
            </w:r>
          </w:p>
        </w:tc>
        <w:tc>
          <w:tcPr>
            <w:tcW w:w="916" w:type="dxa"/>
          </w:tcPr>
          <w:p w:rsidR="00000000" w:rsidRDefault="00000000">
            <w:pPr>
              <w:ind w:right="57"/>
              <w:jc w:val="right"/>
              <w:rPr>
                <w:sz w:val="17"/>
              </w:rPr>
            </w:pPr>
            <w:r>
              <w:rPr>
                <w:sz w:val="17"/>
              </w:rPr>
              <w:t>149.8</w:t>
            </w:r>
          </w:p>
        </w:tc>
      </w:tr>
      <w:tr w:rsidR="00000000">
        <w:tblPrEx>
          <w:tblCellMar>
            <w:top w:w="0" w:type="dxa"/>
            <w:bottom w:w="0" w:type="dxa"/>
          </w:tblCellMar>
        </w:tblPrEx>
        <w:trPr>
          <w:cantSplit/>
        </w:trPr>
        <w:tc>
          <w:tcPr>
            <w:tcW w:w="1830" w:type="dxa"/>
          </w:tcPr>
          <w:p w:rsidR="00000000" w:rsidRDefault="00000000">
            <w:pPr>
              <w:ind w:right="57"/>
              <w:rPr>
                <w:rFonts w:hAnsi="SimSun"/>
                <w:sz w:val="17"/>
              </w:rPr>
            </w:pPr>
            <w:r>
              <w:rPr>
                <w:rFonts w:hAnsi="SimSun"/>
                <w:sz w:val="17"/>
              </w:rPr>
              <w:t>2002</w:t>
            </w:r>
          </w:p>
        </w:tc>
        <w:tc>
          <w:tcPr>
            <w:tcW w:w="915" w:type="dxa"/>
          </w:tcPr>
          <w:p w:rsidR="00000000" w:rsidRDefault="00000000">
            <w:pPr>
              <w:ind w:right="57"/>
              <w:jc w:val="right"/>
              <w:rPr>
                <w:sz w:val="17"/>
              </w:rPr>
            </w:pPr>
            <w:r>
              <w:rPr>
                <w:sz w:val="17"/>
              </w:rPr>
              <w:t>79</w:t>
            </w:r>
          </w:p>
        </w:tc>
        <w:tc>
          <w:tcPr>
            <w:tcW w:w="915" w:type="dxa"/>
          </w:tcPr>
          <w:p w:rsidR="00000000" w:rsidRDefault="00000000">
            <w:pPr>
              <w:ind w:right="57"/>
              <w:jc w:val="right"/>
              <w:rPr>
                <w:sz w:val="17"/>
              </w:rPr>
            </w:pPr>
            <w:r>
              <w:rPr>
                <w:sz w:val="17"/>
              </w:rPr>
              <w:t>72</w:t>
            </w:r>
          </w:p>
        </w:tc>
        <w:tc>
          <w:tcPr>
            <w:tcW w:w="915" w:type="dxa"/>
          </w:tcPr>
          <w:p w:rsidR="00000000" w:rsidRDefault="00000000">
            <w:pPr>
              <w:ind w:right="57"/>
              <w:jc w:val="right"/>
              <w:rPr>
                <w:sz w:val="17"/>
              </w:rPr>
            </w:pPr>
            <w:r>
              <w:rPr>
                <w:sz w:val="17"/>
              </w:rPr>
              <w:t>0</w:t>
            </w:r>
          </w:p>
        </w:tc>
        <w:tc>
          <w:tcPr>
            <w:tcW w:w="915" w:type="dxa"/>
          </w:tcPr>
          <w:p w:rsidR="00000000" w:rsidRDefault="00000000">
            <w:pPr>
              <w:ind w:right="57"/>
              <w:jc w:val="right"/>
              <w:rPr>
                <w:sz w:val="17"/>
              </w:rPr>
            </w:pPr>
            <w:r>
              <w:rPr>
                <w:sz w:val="17"/>
              </w:rPr>
              <w:t>151</w:t>
            </w:r>
          </w:p>
        </w:tc>
        <w:tc>
          <w:tcPr>
            <w:tcW w:w="915" w:type="dxa"/>
          </w:tcPr>
          <w:p w:rsidR="00000000" w:rsidRDefault="00000000">
            <w:pPr>
              <w:ind w:right="57"/>
              <w:jc w:val="right"/>
              <w:rPr>
                <w:sz w:val="17"/>
              </w:rPr>
            </w:pPr>
            <w:r>
              <w:rPr>
                <w:sz w:val="17"/>
              </w:rPr>
              <w:t>33.5</w:t>
            </w:r>
          </w:p>
        </w:tc>
        <w:tc>
          <w:tcPr>
            <w:tcW w:w="916" w:type="dxa"/>
          </w:tcPr>
          <w:p w:rsidR="00000000" w:rsidRDefault="00000000">
            <w:pPr>
              <w:ind w:right="57"/>
              <w:jc w:val="right"/>
              <w:rPr>
                <w:sz w:val="17"/>
              </w:rPr>
            </w:pPr>
            <w:r>
              <w:rPr>
                <w:sz w:val="17"/>
              </w:rPr>
              <w:t>168.7</w:t>
            </w:r>
          </w:p>
        </w:tc>
      </w:tr>
      <w:tr w:rsidR="00000000">
        <w:tblPrEx>
          <w:tblCellMar>
            <w:top w:w="0" w:type="dxa"/>
            <w:bottom w:w="0" w:type="dxa"/>
          </w:tblCellMar>
        </w:tblPrEx>
        <w:trPr>
          <w:cantSplit/>
        </w:trPr>
        <w:tc>
          <w:tcPr>
            <w:tcW w:w="1830" w:type="dxa"/>
            <w:tcBorders>
              <w:bottom w:val="single" w:sz="4" w:space="0" w:color="auto"/>
            </w:tcBorders>
          </w:tcPr>
          <w:p w:rsidR="00000000" w:rsidRDefault="00000000">
            <w:pPr>
              <w:ind w:right="57"/>
              <w:rPr>
                <w:rFonts w:hAnsi="SimSun"/>
                <w:sz w:val="17"/>
              </w:rPr>
            </w:pPr>
            <w:r>
              <w:rPr>
                <w:rFonts w:hAnsi="SimSun"/>
                <w:sz w:val="17"/>
              </w:rPr>
              <w:t>2003</w:t>
            </w:r>
            <w:r>
              <w:rPr>
                <w:rStyle w:val="EndnoteReference"/>
                <w:rFonts w:hAnsi="SimSun"/>
                <w:color w:val="auto"/>
                <w:sz w:val="18"/>
              </w:rPr>
              <w:t>*</w:t>
            </w:r>
          </w:p>
        </w:tc>
        <w:tc>
          <w:tcPr>
            <w:tcW w:w="915" w:type="dxa"/>
            <w:tcBorders>
              <w:bottom w:val="single" w:sz="4" w:space="0" w:color="auto"/>
            </w:tcBorders>
          </w:tcPr>
          <w:p w:rsidR="00000000" w:rsidRDefault="00000000">
            <w:pPr>
              <w:ind w:right="57"/>
              <w:jc w:val="right"/>
              <w:rPr>
                <w:sz w:val="17"/>
              </w:rPr>
            </w:pPr>
            <w:r>
              <w:rPr>
                <w:sz w:val="17"/>
              </w:rPr>
              <w:t>85</w:t>
            </w:r>
          </w:p>
        </w:tc>
        <w:tc>
          <w:tcPr>
            <w:tcW w:w="915" w:type="dxa"/>
            <w:tcBorders>
              <w:bottom w:val="single" w:sz="4" w:space="0" w:color="auto"/>
            </w:tcBorders>
          </w:tcPr>
          <w:p w:rsidR="00000000" w:rsidRDefault="00000000">
            <w:pPr>
              <w:ind w:right="57"/>
              <w:jc w:val="right"/>
              <w:rPr>
                <w:sz w:val="17"/>
              </w:rPr>
            </w:pPr>
            <w:r>
              <w:rPr>
                <w:sz w:val="17"/>
              </w:rPr>
              <w:t>82</w:t>
            </w:r>
          </w:p>
        </w:tc>
        <w:tc>
          <w:tcPr>
            <w:tcW w:w="915" w:type="dxa"/>
            <w:tcBorders>
              <w:bottom w:val="single" w:sz="4" w:space="0" w:color="auto"/>
            </w:tcBorders>
          </w:tcPr>
          <w:p w:rsidR="00000000" w:rsidRDefault="00000000">
            <w:pPr>
              <w:ind w:right="57"/>
              <w:jc w:val="right"/>
              <w:rPr>
                <w:sz w:val="17"/>
              </w:rPr>
            </w:pPr>
            <w:r>
              <w:rPr>
                <w:sz w:val="17"/>
              </w:rPr>
              <w:t>2</w:t>
            </w:r>
          </w:p>
        </w:tc>
        <w:tc>
          <w:tcPr>
            <w:tcW w:w="915" w:type="dxa"/>
            <w:tcBorders>
              <w:bottom w:val="single" w:sz="4" w:space="0" w:color="auto"/>
            </w:tcBorders>
          </w:tcPr>
          <w:p w:rsidR="00000000" w:rsidRDefault="00000000">
            <w:pPr>
              <w:ind w:right="57"/>
              <w:jc w:val="right"/>
              <w:rPr>
                <w:sz w:val="17"/>
              </w:rPr>
            </w:pPr>
            <w:r>
              <w:rPr>
                <w:sz w:val="17"/>
              </w:rPr>
              <w:t>169</w:t>
            </w:r>
          </w:p>
        </w:tc>
        <w:tc>
          <w:tcPr>
            <w:tcW w:w="915" w:type="dxa"/>
            <w:tcBorders>
              <w:bottom w:val="single" w:sz="4" w:space="0" w:color="auto"/>
            </w:tcBorders>
          </w:tcPr>
          <w:p w:rsidR="00000000" w:rsidRDefault="00000000">
            <w:pPr>
              <w:ind w:right="57"/>
              <w:jc w:val="right"/>
              <w:rPr>
                <w:sz w:val="17"/>
              </w:rPr>
            </w:pPr>
            <w:r>
              <w:rPr>
                <w:sz w:val="17"/>
              </w:rPr>
              <w:t>36.8</w:t>
            </w:r>
          </w:p>
        </w:tc>
        <w:tc>
          <w:tcPr>
            <w:tcW w:w="916" w:type="dxa"/>
            <w:tcBorders>
              <w:bottom w:val="single" w:sz="4" w:space="0" w:color="auto"/>
            </w:tcBorders>
          </w:tcPr>
          <w:p w:rsidR="00000000" w:rsidRDefault="00000000">
            <w:pPr>
              <w:ind w:right="57"/>
              <w:jc w:val="right"/>
              <w:rPr>
                <w:sz w:val="17"/>
              </w:rPr>
            </w:pPr>
            <w:r>
              <w:rPr>
                <w:sz w:val="17"/>
              </w:rPr>
              <w:t>193.4</w:t>
            </w:r>
          </w:p>
        </w:tc>
      </w:tr>
      <w:tr w:rsidR="00000000">
        <w:tblPrEx>
          <w:tblCellMar>
            <w:top w:w="0" w:type="dxa"/>
            <w:bottom w:w="0" w:type="dxa"/>
          </w:tblCellMar>
        </w:tblPrEx>
        <w:trPr>
          <w:cantSplit/>
        </w:trPr>
        <w:tc>
          <w:tcPr>
            <w:tcW w:w="1830" w:type="dxa"/>
            <w:tcBorders>
              <w:top w:val="single" w:sz="4" w:space="0" w:color="auto"/>
              <w:bottom w:val="single" w:sz="4" w:space="0" w:color="auto"/>
            </w:tcBorders>
          </w:tcPr>
          <w:p w:rsidR="00000000" w:rsidRDefault="00000000">
            <w:pPr>
              <w:ind w:right="57"/>
              <w:rPr>
                <w:rFonts w:hAnsi="SimSun" w:hint="eastAsia"/>
                <w:sz w:val="17"/>
              </w:rPr>
            </w:pPr>
            <w:r>
              <w:rPr>
                <w:rFonts w:hAnsi="SimSun" w:hint="eastAsia"/>
                <w:sz w:val="17"/>
              </w:rPr>
              <w:t>不明确</w:t>
            </w:r>
          </w:p>
        </w:tc>
        <w:tc>
          <w:tcPr>
            <w:tcW w:w="915" w:type="dxa"/>
            <w:tcBorders>
              <w:top w:val="single" w:sz="4" w:space="0" w:color="auto"/>
              <w:bottom w:val="single" w:sz="4" w:space="0" w:color="auto"/>
            </w:tcBorders>
          </w:tcPr>
          <w:p w:rsidR="00000000" w:rsidRDefault="00000000">
            <w:pPr>
              <w:ind w:right="57"/>
              <w:jc w:val="right"/>
              <w:rPr>
                <w:rFonts w:hint="eastAsia"/>
                <w:sz w:val="17"/>
              </w:rPr>
            </w:pPr>
            <w:r>
              <w:rPr>
                <w:rFonts w:hint="eastAsia"/>
                <w:sz w:val="17"/>
              </w:rPr>
              <w:t>-</w:t>
            </w:r>
          </w:p>
        </w:tc>
        <w:tc>
          <w:tcPr>
            <w:tcW w:w="915" w:type="dxa"/>
            <w:tcBorders>
              <w:top w:val="single" w:sz="4" w:space="0" w:color="auto"/>
              <w:bottom w:val="single" w:sz="4" w:space="0" w:color="auto"/>
            </w:tcBorders>
          </w:tcPr>
          <w:p w:rsidR="00000000" w:rsidRDefault="00000000">
            <w:pPr>
              <w:ind w:right="57"/>
              <w:jc w:val="right"/>
              <w:rPr>
                <w:rFonts w:hint="eastAsia"/>
                <w:sz w:val="17"/>
              </w:rPr>
            </w:pPr>
            <w:r>
              <w:rPr>
                <w:rFonts w:hint="eastAsia"/>
                <w:sz w:val="17"/>
              </w:rPr>
              <w:t>-</w:t>
            </w:r>
          </w:p>
        </w:tc>
        <w:tc>
          <w:tcPr>
            <w:tcW w:w="915" w:type="dxa"/>
            <w:tcBorders>
              <w:top w:val="single" w:sz="4" w:space="0" w:color="auto"/>
              <w:bottom w:val="single" w:sz="4" w:space="0" w:color="auto"/>
            </w:tcBorders>
          </w:tcPr>
          <w:p w:rsidR="00000000" w:rsidRDefault="00000000">
            <w:pPr>
              <w:ind w:right="57"/>
              <w:jc w:val="right"/>
              <w:rPr>
                <w:sz w:val="17"/>
              </w:rPr>
            </w:pPr>
            <w:r>
              <w:rPr>
                <w:sz w:val="17"/>
              </w:rPr>
              <w:t>8</w:t>
            </w:r>
          </w:p>
        </w:tc>
        <w:tc>
          <w:tcPr>
            <w:tcW w:w="915" w:type="dxa"/>
            <w:tcBorders>
              <w:top w:val="single" w:sz="4" w:space="0" w:color="auto"/>
              <w:bottom w:val="single" w:sz="4" w:space="0" w:color="auto"/>
            </w:tcBorders>
          </w:tcPr>
          <w:p w:rsidR="00000000" w:rsidRDefault="00000000">
            <w:pPr>
              <w:ind w:right="57"/>
              <w:jc w:val="right"/>
              <w:rPr>
                <w:sz w:val="17"/>
              </w:rPr>
            </w:pPr>
            <w:r>
              <w:rPr>
                <w:sz w:val="17"/>
              </w:rPr>
              <w:t>8</w:t>
            </w:r>
          </w:p>
        </w:tc>
        <w:tc>
          <w:tcPr>
            <w:tcW w:w="915" w:type="dxa"/>
            <w:tcBorders>
              <w:top w:val="single" w:sz="4" w:space="0" w:color="auto"/>
              <w:bottom w:val="single" w:sz="4" w:space="0" w:color="auto"/>
            </w:tcBorders>
          </w:tcPr>
          <w:p w:rsidR="00000000" w:rsidRDefault="00000000">
            <w:pPr>
              <w:ind w:right="57"/>
              <w:jc w:val="right"/>
              <w:rPr>
                <w:rFonts w:hint="eastAsia"/>
                <w:sz w:val="17"/>
              </w:rPr>
            </w:pPr>
            <w:r>
              <w:rPr>
                <w:rFonts w:hint="eastAsia"/>
                <w:sz w:val="17"/>
              </w:rPr>
              <w:t>-</w:t>
            </w:r>
          </w:p>
        </w:tc>
        <w:tc>
          <w:tcPr>
            <w:tcW w:w="916" w:type="dxa"/>
            <w:tcBorders>
              <w:top w:val="single" w:sz="4" w:space="0" w:color="auto"/>
              <w:bottom w:val="single" w:sz="4" w:space="0" w:color="auto"/>
            </w:tcBorders>
          </w:tcPr>
          <w:p w:rsidR="00000000" w:rsidRDefault="00000000">
            <w:pPr>
              <w:ind w:right="57"/>
              <w:jc w:val="right"/>
              <w:rPr>
                <w:rFonts w:hint="eastAsia"/>
                <w:sz w:val="17"/>
              </w:rPr>
            </w:pPr>
            <w:r>
              <w:rPr>
                <w:rFonts w:hint="eastAsia"/>
                <w:sz w:val="17"/>
              </w:rPr>
              <w:t>-</w:t>
            </w:r>
          </w:p>
        </w:tc>
      </w:tr>
      <w:tr w:rsidR="00000000">
        <w:tblPrEx>
          <w:tblCellMar>
            <w:top w:w="0" w:type="dxa"/>
            <w:bottom w:w="0" w:type="dxa"/>
          </w:tblCellMar>
        </w:tblPrEx>
        <w:trPr>
          <w:cantSplit/>
        </w:trPr>
        <w:tc>
          <w:tcPr>
            <w:tcW w:w="1830" w:type="dxa"/>
            <w:tcBorders>
              <w:top w:val="single" w:sz="4" w:space="0" w:color="auto"/>
              <w:bottom w:val="single" w:sz="12" w:space="0" w:color="auto"/>
            </w:tcBorders>
          </w:tcPr>
          <w:p w:rsidR="00000000" w:rsidRDefault="00000000">
            <w:pPr>
              <w:tabs>
                <w:tab w:val="left" w:pos="322"/>
              </w:tabs>
              <w:ind w:right="57"/>
              <w:rPr>
                <w:rFonts w:ascii="SimHei" w:eastAsia="SimHei" w:hint="eastAsia"/>
                <w:b/>
                <w:bCs/>
                <w:color w:val="FF0000"/>
                <w:sz w:val="17"/>
              </w:rPr>
            </w:pPr>
            <w:r>
              <w:rPr>
                <w:rFonts w:ascii="SimHei" w:eastAsia="SimHei" w:hint="eastAsia"/>
                <w:b/>
                <w:bCs/>
                <w:color w:val="FF0000"/>
                <w:sz w:val="17"/>
              </w:rPr>
              <w:tab/>
              <w:t>共计</w:t>
            </w:r>
          </w:p>
        </w:tc>
        <w:tc>
          <w:tcPr>
            <w:tcW w:w="915" w:type="dxa"/>
            <w:tcBorders>
              <w:top w:val="single" w:sz="4" w:space="0" w:color="auto"/>
              <w:bottom w:val="single" w:sz="12" w:space="0" w:color="auto"/>
            </w:tcBorders>
          </w:tcPr>
          <w:p w:rsidR="00000000" w:rsidRDefault="00000000">
            <w:pPr>
              <w:ind w:right="57"/>
              <w:jc w:val="right"/>
              <w:rPr>
                <w:rFonts w:ascii="SimHei" w:eastAsia="SimHei"/>
                <w:b/>
                <w:bCs/>
                <w:color w:val="FF0000"/>
                <w:sz w:val="17"/>
              </w:rPr>
            </w:pPr>
            <w:r>
              <w:rPr>
                <w:rFonts w:ascii="SimHei" w:eastAsia="SimHei"/>
                <w:b/>
                <w:bCs/>
                <w:color w:val="FF0000"/>
                <w:sz w:val="17"/>
              </w:rPr>
              <w:t>620</w:t>
            </w:r>
          </w:p>
        </w:tc>
        <w:tc>
          <w:tcPr>
            <w:tcW w:w="915" w:type="dxa"/>
            <w:tcBorders>
              <w:top w:val="single" w:sz="4" w:space="0" w:color="auto"/>
              <w:bottom w:val="single" w:sz="12" w:space="0" w:color="auto"/>
            </w:tcBorders>
          </w:tcPr>
          <w:p w:rsidR="00000000" w:rsidRDefault="00000000">
            <w:pPr>
              <w:ind w:right="57"/>
              <w:jc w:val="right"/>
              <w:rPr>
                <w:rFonts w:ascii="SimHei" w:eastAsia="SimHei"/>
                <w:b/>
                <w:bCs/>
                <w:color w:val="FF0000"/>
                <w:sz w:val="17"/>
              </w:rPr>
            </w:pPr>
            <w:r>
              <w:rPr>
                <w:rFonts w:ascii="SimHei" w:eastAsia="SimHei"/>
                <w:b/>
                <w:bCs/>
                <w:color w:val="FF0000"/>
                <w:sz w:val="17"/>
              </w:rPr>
              <w:t>656</w:t>
            </w:r>
          </w:p>
        </w:tc>
        <w:tc>
          <w:tcPr>
            <w:tcW w:w="915" w:type="dxa"/>
            <w:tcBorders>
              <w:top w:val="single" w:sz="4" w:space="0" w:color="auto"/>
              <w:bottom w:val="single" w:sz="12" w:space="0" w:color="auto"/>
            </w:tcBorders>
          </w:tcPr>
          <w:p w:rsidR="00000000" w:rsidRDefault="00000000">
            <w:pPr>
              <w:ind w:right="57"/>
              <w:jc w:val="right"/>
              <w:rPr>
                <w:rFonts w:ascii="SimHei" w:eastAsia="SimHei"/>
                <w:b/>
                <w:bCs/>
                <w:color w:val="FF0000"/>
                <w:sz w:val="17"/>
              </w:rPr>
            </w:pPr>
            <w:r>
              <w:rPr>
                <w:rFonts w:ascii="SimHei" w:eastAsia="SimHei"/>
                <w:b/>
                <w:bCs/>
                <w:color w:val="FF0000"/>
                <w:sz w:val="17"/>
              </w:rPr>
              <w:t>44</w:t>
            </w:r>
          </w:p>
        </w:tc>
        <w:tc>
          <w:tcPr>
            <w:tcW w:w="915" w:type="dxa"/>
            <w:tcBorders>
              <w:top w:val="single" w:sz="4" w:space="0" w:color="auto"/>
              <w:bottom w:val="single" w:sz="12" w:space="0" w:color="auto"/>
            </w:tcBorders>
          </w:tcPr>
          <w:p w:rsidR="00000000" w:rsidRDefault="00000000">
            <w:pPr>
              <w:ind w:right="57"/>
              <w:jc w:val="right"/>
              <w:rPr>
                <w:rFonts w:ascii="SimHei" w:eastAsia="SimHei"/>
                <w:b/>
                <w:bCs/>
                <w:color w:val="FF0000"/>
                <w:sz w:val="17"/>
              </w:rPr>
            </w:pPr>
            <w:r>
              <w:rPr>
                <w:rFonts w:ascii="SimHei" w:eastAsia="SimHei"/>
                <w:b/>
                <w:bCs/>
                <w:color w:val="FF0000"/>
                <w:sz w:val="17"/>
              </w:rPr>
              <w:t>1 229</w:t>
            </w:r>
          </w:p>
        </w:tc>
        <w:tc>
          <w:tcPr>
            <w:tcW w:w="915" w:type="dxa"/>
            <w:tcBorders>
              <w:top w:val="single" w:sz="4" w:space="0" w:color="auto"/>
              <w:bottom w:val="single" w:sz="12" w:space="0" w:color="auto"/>
            </w:tcBorders>
          </w:tcPr>
          <w:p w:rsidR="00000000" w:rsidRDefault="00000000">
            <w:pPr>
              <w:ind w:right="57"/>
              <w:jc w:val="right"/>
              <w:rPr>
                <w:rFonts w:ascii="SimHei" w:eastAsia="SimHei"/>
                <w:b/>
                <w:bCs/>
                <w:color w:val="FF0000"/>
                <w:sz w:val="17"/>
              </w:rPr>
            </w:pPr>
            <w:r>
              <w:rPr>
                <w:rFonts w:ascii="SimHei" w:eastAsia="SimHei"/>
                <w:b/>
                <w:bCs/>
                <w:color w:val="FF0000"/>
                <w:sz w:val="17"/>
              </w:rPr>
              <w:t>272.8</w:t>
            </w:r>
          </w:p>
        </w:tc>
        <w:tc>
          <w:tcPr>
            <w:tcW w:w="916" w:type="dxa"/>
            <w:tcBorders>
              <w:top w:val="single" w:sz="4" w:space="0" w:color="auto"/>
              <w:bottom w:val="single" w:sz="12" w:space="0" w:color="auto"/>
            </w:tcBorders>
          </w:tcPr>
          <w:p w:rsidR="00000000" w:rsidRDefault="00000000">
            <w:pPr>
              <w:ind w:right="57"/>
              <w:jc w:val="right"/>
              <w:rPr>
                <w:rFonts w:ascii="SimHei" w:eastAsia="SimHei" w:hint="eastAsia"/>
                <w:b/>
                <w:bCs/>
                <w:color w:val="FF0000"/>
                <w:sz w:val="17"/>
              </w:rPr>
            </w:pPr>
            <w:r>
              <w:rPr>
                <w:rFonts w:ascii="SimHei" w:eastAsia="SimHei" w:hint="eastAsia"/>
                <w:b/>
                <w:bCs/>
                <w:color w:val="FF0000"/>
                <w:sz w:val="17"/>
              </w:rPr>
              <w:t>-</w:t>
            </w:r>
          </w:p>
        </w:tc>
      </w:tr>
    </w:tbl>
    <w:p w:rsidR="00000000" w:rsidRDefault="00000000">
      <w:pPr>
        <w:pStyle w:val="SingleTxt"/>
        <w:spacing w:after="0" w:line="140" w:lineRule="exact"/>
        <w:rPr>
          <w:rFonts w:hint="eastAsia"/>
          <w:sz w:val="10"/>
        </w:rPr>
      </w:pPr>
    </w:p>
    <w:p w:rsidR="00000000" w:rsidRDefault="00000000">
      <w:pPr>
        <w:pStyle w:val="SingleTxt"/>
        <w:spacing w:after="80" w:line="280" w:lineRule="exact"/>
        <w:rPr>
          <w:rFonts w:hint="eastAsia"/>
        </w:rPr>
      </w:pPr>
      <w:r>
        <w:rPr>
          <w:rStyle w:val="EndnoteReference"/>
          <w:rFonts w:hint="eastAsia"/>
          <w:sz w:val="18"/>
        </w:rPr>
        <w:t>*</w:t>
      </w:r>
      <w:r>
        <w:rPr>
          <w:rFonts w:hint="eastAsia"/>
        </w:rPr>
        <w:t xml:space="preserve"> </w:t>
      </w:r>
      <w:r>
        <w:rPr>
          <w:rFonts w:hint="eastAsia"/>
          <w:sz w:val="18"/>
        </w:rPr>
        <w:t>2003年：临时数据。</w:t>
      </w:r>
    </w:p>
    <w:p w:rsidR="00000000" w:rsidRDefault="00000000">
      <w:pPr>
        <w:pStyle w:val="SingleTxt"/>
        <w:spacing w:after="120"/>
        <w:rPr>
          <w:rFonts w:hint="eastAsia"/>
          <w:sz w:val="18"/>
        </w:rPr>
      </w:pPr>
      <w:r>
        <w:rPr>
          <w:rFonts w:ascii="KaiTi_GB2312" w:eastAsia="KaiTi_GB2312" w:hint="eastAsia"/>
          <w:color w:val="0000FF"/>
          <w:sz w:val="18"/>
        </w:rPr>
        <w:t>资料来源</w:t>
      </w:r>
      <w:r>
        <w:rPr>
          <w:rFonts w:hint="eastAsia"/>
          <w:sz w:val="18"/>
        </w:rPr>
        <w:t>：卫生部，艾滋病防治方案。</w:t>
      </w:r>
    </w:p>
    <w:p w:rsidR="00000000" w:rsidRDefault="00000000">
      <w:pPr>
        <w:pStyle w:val="SingleTxt"/>
        <w:spacing w:after="0" w:line="140" w:lineRule="exact"/>
        <w:rPr>
          <w:rFonts w:hint="eastAsia"/>
          <w:sz w:val="10"/>
        </w:rPr>
      </w:pPr>
    </w:p>
    <w:p w:rsidR="00000000" w:rsidRDefault="00000000">
      <w:pPr>
        <w:pStyle w:val="SingleTxt"/>
        <w:spacing w:line="326" w:lineRule="exact"/>
        <w:rPr>
          <w:rFonts w:hint="eastAsia"/>
        </w:rPr>
      </w:pPr>
      <w:r>
        <w:rPr>
          <w:rFonts w:hint="eastAsia"/>
        </w:rPr>
        <w:tab/>
        <w:t>现有的艾滋病毒/艾滋病防治方案已经纳入了性别观点。在宣传方案方面，已经通过宣传活动提请注意妇女与艾滋病毒/艾滋病问题，尤其的是妇女在生理上更容易受感染（因为妇女与男子相比更有可能在一次无保护的性交中感染病毒）、多个性伙伴的危险、艾滋病对担任户主的贫穷妇女的特别影响以及母婴纵向传播的危险等等。在卫生保健机构，孕妇可免费接受艾滋病毒检测，并可免费获得抗逆病毒药品。</w:t>
      </w:r>
    </w:p>
    <w:p w:rsidR="00000000" w:rsidRDefault="00000000">
      <w:pPr>
        <w:pStyle w:val="SingleTxt"/>
        <w:rPr>
          <w:rFonts w:hint="eastAsia"/>
        </w:rPr>
      </w:pPr>
      <w:r>
        <w:rPr>
          <w:rFonts w:hint="eastAsia"/>
        </w:rPr>
        <w:tab/>
        <w:t>在这方面，佛得角还实施了《葡萄牙语国家共同体（葡语共同体）成员国之间关于防治艾滋病的合作协定》（12月22日《第17/2003号法令》）；该协定纳入了性别观点，规定葡语共同体防治艾滋病方案要注意性别问题及其与艾滋病毒/艾滋病流行病的联系（第3条）；该方案特别重视母婴问题，要限制病毒的纵向传播并确保对感染艾滋病毒/艾滋病的母亲给予护理。</w:t>
      </w:r>
    </w:p>
    <w:p w:rsidR="00000000" w:rsidRDefault="00000000">
      <w:pPr>
        <w:pStyle w:val="SingleTxt"/>
        <w:rPr>
          <w:rFonts w:hint="eastAsia"/>
        </w:rPr>
      </w:pPr>
      <w:r>
        <w:rPr>
          <w:rFonts w:hint="eastAsia"/>
        </w:rPr>
        <w:tab/>
        <w:t>目前正在起草的新文件，将确定《2006-2010年国家多部门防治艾滋病毒/艾滋病战略计划》的优先工作领域、目标、战略和行动，并在各行动领域中纳入性别观点。该计划的优先领域包括：防止艾滋病毒的传播；艾滋病毒/艾滋病感染者的生活质量；公有和私营部门及民间社会的参与；管理与协调《计划》的形式。根据确定的行动领域，《计划》制定了下列一般目标：通过保障普及相关手段，减少艾滋病毒的传播；改善艾滋病毒/艾滋病感染者的生活质量；加强各机构（包括卫生机构、市政、社区团体、非政府组织和其他私营实体）的参与，以便它们将《计划》纳入工作范围，对国家多部门防治艾滋病毒/艾滋病工作进行管理和协调。</w:t>
      </w:r>
    </w:p>
    <w:p w:rsidR="00000000" w:rsidRDefault="00000000">
      <w:pPr>
        <w:pStyle w:val="SingleTxt"/>
        <w:rPr>
          <w:rFonts w:hint="eastAsia"/>
        </w:rPr>
      </w:pPr>
      <w:r>
        <w:rPr>
          <w:rFonts w:hint="eastAsia"/>
        </w:rPr>
        <w:tab/>
        <w:t>在制定这些《计划》目标时，考虑到了性别问题。性别观点包括下列行动：</w:t>
      </w:r>
      <w:r>
        <w:t>(</w:t>
      </w:r>
      <w:r>
        <w:rPr>
          <w:rFonts w:hint="eastAsia"/>
        </w:rPr>
        <w:t>a</w:t>
      </w:r>
      <w:r>
        <w:t xml:space="preserve">) </w:t>
      </w:r>
      <w:r>
        <w:rPr>
          <w:rFonts w:hint="eastAsia"/>
        </w:rPr>
        <w:t>防止艾滋病毒在城市或农村妇女中的母婴传播（在这方面计划采取多种其他行动，如：通过生殖健康中心向妇女提供卫生保健、通过医院和其他保健中心提供检测、制定专门面向妇女的产前医疗检查和分娩护理宣传方案；确保普及卫生保健，加强医院早期诊断感染</w:t>
      </w:r>
      <w:r>
        <w:rPr>
          <w:rFonts w:hint="eastAsia"/>
          <w:spacing w:val="2"/>
        </w:rPr>
        <w:t>艾滋病毒/艾滋病母亲的能力；确保向感染者提供全面帮助，给予血清反应阳性的母亲及其家人心理、法律和营养方面的帮助）；</w:t>
      </w:r>
      <w:r>
        <w:rPr>
          <w:spacing w:val="2"/>
        </w:rPr>
        <w:t>(</w:t>
      </w:r>
      <w:r>
        <w:rPr>
          <w:rFonts w:hint="eastAsia"/>
          <w:spacing w:val="2"/>
        </w:rPr>
        <w:t>b</w:t>
      </w:r>
      <w:r>
        <w:rPr>
          <w:spacing w:val="2"/>
        </w:rPr>
        <w:t xml:space="preserve">) </w:t>
      </w:r>
      <w:r>
        <w:rPr>
          <w:rFonts w:hint="eastAsia"/>
          <w:spacing w:val="2"/>
        </w:rPr>
        <w:t>促进为降低妇女感染艾滋病脆弱性创造有利的道德和法律环境；</w:t>
      </w:r>
      <w:r>
        <w:rPr>
          <w:spacing w:val="2"/>
        </w:rPr>
        <w:t>(</w:t>
      </w:r>
      <w:r>
        <w:rPr>
          <w:rFonts w:hint="eastAsia"/>
          <w:spacing w:val="2"/>
        </w:rPr>
        <w:t>c</w:t>
      </w:r>
      <w:r>
        <w:rPr>
          <w:spacing w:val="2"/>
        </w:rPr>
        <w:t xml:space="preserve">) </w:t>
      </w:r>
      <w:r>
        <w:rPr>
          <w:rFonts w:hint="eastAsia"/>
          <w:spacing w:val="2"/>
        </w:rPr>
        <w:t>确保血清反应</w:t>
      </w:r>
      <w:r>
        <w:rPr>
          <w:rFonts w:hint="eastAsia"/>
        </w:rPr>
        <w:t>阳性的妇女和母亲及其子女、特别是生活困难的，获得医疗、心理和营养等全面照顾；</w:t>
      </w:r>
      <w:r>
        <w:t>(</w:t>
      </w:r>
      <w:r>
        <w:rPr>
          <w:rFonts w:hint="eastAsia"/>
        </w:rPr>
        <w:t>d</w:t>
      </w:r>
      <w:r>
        <w:t xml:space="preserve">) </w:t>
      </w:r>
      <w:r>
        <w:rPr>
          <w:rFonts w:hint="eastAsia"/>
        </w:rPr>
        <w:t>防治艾滋病协调委员会与国家减贫委员会之间开展合作，资助面向特别脆弱妇女的项目；</w:t>
      </w:r>
      <w:r>
        <w:t>(</w:t>
      </w:r>
      <w:r>
        <w:rPr>
          <w:rFonts w:hint="eastAsia"/>
        </w:rPr>
        <w:t>e</w:t>
      </w:r>
      <w:r>
        <w:t xml:space="preserve">) </w:t>
      </w:r>
      <w:r>
        <w:rPr>
          <w:rFonts w:hint="eastAsia"/>
        </w:rPr>
        <w:t>促进落实专门面向性工作者和吸毒者的工作，以降低其脆弱性；</w:t>
      </w:r>
      <w:r>
        <w:t>(</w:t>
      </w:r>
      <w:r>
        <w:rPr>
          <w:rFonts w:hint="eastAsia"/>
        </w:rPr>
        <w:t>f</w:t>
      </w:r>
      <w:r>
        <w:t xml:space="preserve">) </w:t>
      </w:r>
      <w:r>
        <w:rPr>
          <w:rFonts w:hint="eastAsia"/>
        </w:rPr>
        <w:t>防治艾滋病协调委员会和世界报刊协会开展合作，共同保护被认为易受艾滋病毒/艾滋病危害的妇女的权利。</w:t>
      </w:r>
    </w:p>
    <w:p w:rsidR="00000000" w:rsidRDefault="00000000">
      <w:pPr>
        <w:pStyle w:val="SingleTxt"/>
        <w:rPr>
          <w:rFonts w:hint="eastAsia"/>
        </w:rPr>
      </w:pPr>
      <w:r>
        <w:rPr>
          <w:rFonts w:hint="eastAsia"/>
        </w:rPr>
        <w:t>20.</w:t>
      </w:r>
      <w:r>
        <w:rPr>
          <w:rFonts w:hint="eastAsia"/>
        </w:rPr>
        <w:tab/>
      </w:r>
      <w:r>
        <w:rPr>
          <w:rFonts w:ascii="KaiTi_GB2312" w:eastAsia="KaiTi_GB2312" w:hint="eastAsia"/>
          <w:color w:val="0000FF"/>
        </w:rPr>
        <w:t>据报告称，“1990年至2000年期间，全国和农村地区的平均生育数分别从5.2个和5.7个减少到3.4个和4.8个……[从而表明]在农村地区开展计划生育方案更困难，农村妇女的计划生育意识不那么强”（见第398段）。请说明采取了哪些措施以确保妇女，尤其是农村妇女，利用价格可承受的生殖和性健康服务以及教育方案</w:t>
      </w:r>
      <w:r>
        <w:rPr>
          <w:rFonts w:hint="eastAsia"/>
        </w:rPr>
        <w:t>。</w:t>
      </w:r>
    </w:p>
    <w:p w:rsidR="00000000" w:rsidRDefault="00000000">
      <w:pPr>
        <w:pStyle w:val="SingleTxt"/>
        <w:rPr>
          <w:rFonts w:hint="eastAsia"/>
        </w:rPr>
      </w:pPr>
      <w:r>
        <w:rPr>
          <w:rFonts w:hint="eastAsia"/>
        </w:rPr>
        <w:tab/>
        <w:t>虽然从1998年完成的《人口和生殖健康调查》可以看出，生活在城市中心之外的妇女获得的生殖健康保健较少，但现在已经在各级开展了工作，以确保主要居住在郊区和农村的妇女可以更好地获得生殖和性健康保健。</w:t>
      </w:r>
    </w:p>
    <w:p w:rsidR="00000000" w:rsidRDefault="00000000">
      <w:pPr>
        <w:pStyle w:val="SingleTxt"/>
        <w:rPr>
          <w:rFonts w:hint="eastAsia"/>
        </w:rPr>
      </w:pPr>
      <w:r>
        <w:rPr>
          <w:rFonts w:hint="eastAsia"/>
        </w:rPr>
        <w:tab/>
        <w:t>在这方面，首先向农村妇女更好地宣传了生殖健康保健的重要性、可以采用的避孕办法、产前保健、性传播疾病（特别是艾滋病毒/艾滋病）、儿童保健和免疫接种等等。这项工作主要是通过非政府组织在妇女地位协会支持下开展宣传活动完成的，见问题6所述。</w:t>
      </w:r>
    </w:p>
    <w:p w:rsidR="00000000" w:rsidRDefault="00000000">
      <w:pPr>
        <w:pStyle w:val="SingleTxt"/>
      </w:pPr>
      <w:r>
        <w:rPr>
          <w:rFonts w:hint="eastAsia"/>
        </w:rPr>
        <w:tab/>
        <w:t>除了更好地进行宣传，另一项工作是确保农村妇女通过农村现有的卫生保健机构（如基础医疗队和卫生所）更好地获得避孕办法。此外，农村妇女还争取到城市中心所设机构和现有的流动医疗队获得保健服务（1998年《人口和生殖健康调查》，第65页）。</w:t>
      </w:r>
    </w:p>
    <w:p w:rsidR="00000000" w:rsidRDefault="00000000">
      <w:pPr>
        <w:pStyle w:val="SingleTxt"/>
        <w:rPr>
          <w:rFonts w:ascii="SimHei" w:eastAsia="SimHei" w:hint="eastAsia"/>
          <w:color w:val="FF0000"/>
        </w:rPr>
      </w:pPr>
      <w:r>
        <w:rPr>
          <w:rFonts w:ascii="SimHei" w:eastAsia="SimHei" w:hint="eastAsia"/>
          <w:color w:val="FF0000"/>
        </w:rPr>
        <w:t>第13条</w:t>
      </w:r>
    </w:p>
    <w:p w:rsidR="00000000" w:rsidRDefault="00000000">
      <w:pPr>
        <w:pStyle w:val="SingleTxt"/>
        <w:rPr>
          <w:rFonts w:ascii="SimHei" w:eastAsia="SimHei" w:hint="eastAsia"/>
          <w:color w:val="FF0000"/>
          <w:spacing w:val="-2"/>
        </w:rPr>
      </w:pPr>
      <w:r>
        <w:rPr>
          <w:rFonts w:hint="eastAsia"/>
          <w:spacing w:val="-2"/>
        </w:rPr>
        <w:t>21.</w:t>
      </w:r>
      <w:r>
        <w:rPr>
          <w:rFonts w:ascii="SimHei" w:eastAsia="SimHei" w:hint="eastAsia"/>
          <w:color w:val="FF0000"/>
          <w:spacing w:val="-2"/>
        </w:rPr>
        <w:tab/>
      </w:r>
      <w:r>
        <w:rPr>
          <w:rFonts w:ascii="KaiTi_GB2312" w:eastAsia="KaiTi_GB2312" w:hint="eastAsia"/>
          <w:color w:val="0000FF"/>
          <w:spacing w:val="-2"/>
        </w:rPr>
        <w:t>鉴于大约40.1％的家庭户主为妇女，而且妇女为户主的家庭通常是贫困家庭（见第17段和第44段），请说明已经或者计划采取哪些措施以赋予妇女经济能力</w:t>
      </w:r>
      <w:r>
        <w:rPr>
          <w:rFonts w:hint="eastAsia"/>
          <w:spacing w:val="-2"/>
        </w:rPr>
        <w:t>。</w:t>
      </w:r>
    </w:p>
    <w:p w:rsidR="00000000" w:rsidRDefault="00000000">
      <w:pPr>
        <w:pStyle w:val="SingleTxt"/>
        <w:spacing w:line="326" w:lineRule="exact"/>
        <w:rPr>
          <w:rFonts w:hint="eastAsia"/>
        </w:rPr>
      </w:pPr>
      <w:r>
        <w:tab/>
      </w:r>
      <w:r>
        <w:rPr>
          <w:rFonts w:hint="eastAsia"/>
        </w:rPr>
        <w:t>目前有三个机构正在开展赋予妇女经济能力的工作，即国家减贫方案、成人扫盲和教育总局以及就业与职业培训协会。</w:t>
      </w:r>
    </w:p>
    <w:p w:rsidR="00000000" w:rsidRDefault="00000000">
      <w:pPr>
        <w:pStyle w:val="SingleTxt"/>
        <w:spacing w:line="326" w:lineRule="exact"/>
        <w:rPr>
          <w:rFonts w:hint="eastAsia"/>
        </w:rPr>
      </w:pPr>
      <w:r>
        <w:tab/>
      </w:r>
      <w:r>
        <w:rPr>
          <w:rFonts w:hint="eastAsia"/>
        </w:rPr>
        <w:t>国家减贫方案的工作有多种形式，其中之一是增强能力、帮助获得小额信贷以及发展创收活动；就此，国家减贫方案与成人扫盲和教育总局多次开展了合作。在这些行动中，国家减贫方案促进推广的培训活动包括烹饪、电工、做面包、农业和畜牧等。这些活动主要面向农村居民，并特别是妇女受训。</w:t>
      </w:r>
    </w:p>
    <w:p w:rsidR="00000000" w:rsidRDefault="00000000">
      <w:pPr>
        <w:pStyle w:val="SingleTxt"/>
        <w:spacing w:line="326" w:lineRule="exact"/>
        <w:rPr>
          <w:rFonts w:hint="eastAsia"/>
        </w:rPr>
      </w:pPr>
      <w:r>
        <w:rPr>
          <w:rFonts w:hint="eastAsia"/>
        </w:rPr>
        <w:tab/>
        <w:t>成人扫盲与教育总局从90年代再度启动成人扫盲与教育问题以来，已被视为本国社会、经济、政治和文化的一个参与性框架。也就是说，应将这一机构理解为与社区共同制定和落实系列行动以解决社区日常关切问题的途径。此类行动包括阅读、书写、计算以及学习管理创收活动的基本知识。因此，该机构属于面向成人的校外教育行动，不仅包括扫盲，而且包括职业培训。一般来讲，成人扫盲与教育总局的任务是促进两级校外教育，即：(a) 成人初级教育，包括扫盲、“扫盲后”和其他继续教育活动，以提高文化水平；(b) 学徒和职业培训活动，以提高从事某种职业的能力。因此，成人扫盲与教育总局不仅积极促进扫盲（在这方面制定了大量行动计划和目标，以消除成人文盲），而且积极开展职业培训（包括各种职业培训，如理发、裁缝、管道工、民用建筑、烹饪、电工、家政、木工等）和社区培训（包括有关环境保护、个人卫生和食品管理等的培训）。任何培训的所有这些课程都对全体男女公民开放，而且有更多妇女参加课程。应指出，这些课程主要在农村提供。</w:t>
      </w:r>
    </w:p>
    <w:p w:rsidR="00000000" w:rsidRDefault="00000000">
      <w:pPr>
        <w:pStyle w:val="SingleTxt"/>
        <w:spacing w:line="326" w:lineRule="exact"/>
        <w:rPr>
          <w:rFonts w:hint="eastAsia"/>
        </w:rPr>
      </w:pPr>
      <w:r>
        <w:rPr>
          <w:rFonts w:hint="eastAsia"/>
        </w:rPr>
        <w:tab/>
        <w:t>就业与职业培训协会也协助开展促进提高男女能力并对其进行培训的行动，定期举办下列培训：机械、宾馆服务、管道工、电工、设备搬运、建筑工（泥水工）、铁匠和厨师等。这些培训是公开举行的，对男女在同等参与条件下开放（协会制定了招收政策）。就业与职业培训协会将惠益妇女、残疾人和长期失业者的行动作为优先事项。可以看到，即使是一般为认为属于典型男性职业（机械师、铁匠和管道工等）的课程，也积极鼓励妇女参加，从而使参加这些课程的妇女人数切实有所增加，虽然总数还有限。还可以看到，大部分青年在完成学业后已经找到了工作；实际上，就业与职业培训协会试图与企业共同努力，确定企业的需要，并找出具备进入就业市场理想条件的青年。这项工作一般是通过让青年进行实习完成的。本国设有五个就业中心，还在其他地方设有若干培训点，以便覆盖全国范围。</w:t>
      </w:r>
    </w:p>
    <w:p w:rsidR="00000000" w:rsidRDefault="00000000">
      <w:pPr>
        <w:pStyle w:val="SingleTxt"/>
        <w:rPr>
          <w:rFonts w:hint="eastAsia"/>
        </w:rPr>
      </w:pPr>
      <w:r>
        <w:rPr>
          <w:rFonts w:hint="eastAsia"/>
        </w:rPr>
        <w:tab/>
        <w:t>值得一提的还有非政府组织、特别是佛得角妇女组织MORABI协会的工作；它们利用小额信贷为民众提供帮助，促进佛得角妇女、特别是通过传统方式难以获得信贷的妇女户主融入社会并提高其社会地位，并帮助妇女参与所在社区及全国的经济、社会、文化和政治发展过程。所有这些活动旨在帮助城市和农村的妇女及弱势群体，为发展创收活动创造环境，并在组织和管理/核算、确定、执行和实施项目方面，开展技术职业培训和援助活动。发放此类信贷的条件如下：项目应有经济和财务可行性；有利于创造就业和创收；发展的活动不得危害环境，应完全合法。获得信贷的项目和企业一般属于下列活动部门：小商业、家庭渔业、鱼类保存和销售、农业和渔业、手工业、小工业、服务业等。</w:t>
      </w:r>
    </w:p>
    <w:p w:rsidR="00000000" w:rsidRDefault="00000000">
      <w:pPr>
        <w:pStyle w:val="SingleTxt"/>
        <w:rPr>
          <w:rFonts w:hint="eastAsia"/>
        </w:rPr>
      </w:pPr>
      <w:r>
        <w:rPr>
          <w:rFonts w:hint="eastAsia"/>
        </w:rPr>
        <w:t>22.</w:t>
      </w:r>
      <w:r>
        <w:rPr>
          <w:rFonts w:ascii="KaiTi_GB2312" w:eastAsia="KaiTi_GB2312" w:hint="eastAsia"/>
          <w:color w:val="0000FF"/>
        </w:rPr>
        <w:tab/>
        <w:t>据报告称，2003年建立的国家减贫委员会“……为处境不利的人提供支助，以帮助他们进入劳动力市场；这是一项全国范围方案的一部分。但是，一些次级方案只在17个地方市镇中的7个市镇得到实施”（见第402段）。是否已经作出努力以确保类似的次级方案在所有的市镇都得到实施</w:t>
      </w:r>
      <w:r>
        <w:rPr>
          <w:rFonts w:hint="eastAsia"/>
        </w:rPr>
        <w:t>？</w:t>
      </w:r>
    </w:p>
    <w:p w:rsidR="00000000" w:rsidRDefault="00000000">
      <w:pPr>
        <w:pStyle w:val="SingleTxt"/>
        <w:rPr>
          <w:rFonts w:hint="eastAsia"/>
        </w:rPr>
      </w:pPr>
      <w:r>
        <w:rPr>
          <w:rFonts w:hint="eastAsia"/>
        </w:rPr>
        <w:tab/>
        <w:t>是。国家减贫方案是全国性的，旨在覆盖本国所有的岛和市县。鉴于贫穷问题严重，减贫是《2002-2005年国家发展计划》和《增长与减贫战略》中佛得角政府所定发展政策的优先目标之一，应制定一项方案，促进落实所有面向最贫穷人口的措施。</w:t>
      </w:r>
    </w:p>
    <w:p w:rsidR="00000000" w:rsidRDefault="00000000">
      <w:pPr>
        <w:pStyle w:val="SingleTxt"/>
        <w:rPr>
          <w:rFonts w:hint="eastAsia"/>
        </w:rPr>
      </w:pPr>
      <w:r>
        <w:rPr>
          <w:rFonts w:hint="eastAsia"/>
        </w:rPr>
        <w:tab/>
        <w:t>该方案由三个次级方案组成：(a) 社会部门发展项目；(b) 农村减贫方案；(c) 提高弱势群体社会经济地位项目。第一个次级方案的工作重点是，建设社会基础设施（社会服务中心、幼儿园、小学、基础保健站和医疗设施等）以及支持经济活动的基础设施（公路、市场和市立屠宰场等），以便创造就业和调整劳动密集型工作安排。第二个和最后一个次级方案的工作范围涉及多个领域，如社会动员、职业培训、扫盲、最贫穷农村社区供水和排污基础设施建设、社会住房、促进家庭渔业、灌溉农业、手工业、小渔业和农渔产品加工销售方面的创收活动和“自营职业”（经修订的4月11日第9/2005号决议）。</w:t>
      </w:r>
    </w:p>
    <w:p w:rsidR="00000000" w:rsidRDefault="00000000">
      <w:pPr>
        <w:pStyle w:val="SingleTxt"/>
        <w:rPr>
          <w:rFonts w:hint="eastAsia"/>
        </w:rPr>
      </w:pPr>
      <w:r>
        <w:rPr>
          <w:rFonts w:hint="eastAsia"/>
        </w:rPr>
        <w:tab/>
        <w:t>在方案框架下，在17个市确定了230个贫困区。然而，应指出，为落实发展这些项目（更具体来讲这些次级方案），首先签署了贷款协定，确定其覆盖范围，即首先进行分析研究，确定哪些地区最贫困、当地的需要与打算发展的活动类型以及其他指标的发展情况。因此，有些项目的实施将涉及全国各市，有些则根据确定的需要只在若干地区实施。</w:t>
      </w:r>
    </w:p>
    <w:p w:rsidR="00000000" w:rsidRDefault="00000000">
      <w:pPr>
        <w:pStyle w:val="SingleTxt"/>
        <w:rPr>
          <w:rFonts w:ascii="SimHei" w:eastAsia="SimHei" w:hint="eastAsia"/>
          <w:color w:val="FF0000"/>
        </w:rPr>
      </w:pPr>
      <w:r>
        <w:rPr>
          <w:rFonts w:ascii="SimHei" w:eastAsia="SimHei" w:hint="eastAsia"/>
          <w:color w:val="FF0000"/>
        </w:rPr>
        <w:t>第14条</w:t>
      </w:r>
    </w:p>
    <w:p w:rsidR="00000000" w:rsidRDefault="00000000">
      <w:pPr>
        <w:pStyle w:val="SingleTxt"/>
        <w:rPr>
          <w:rFonts w:hint="eastAsia"/>
        </w:rPr>
      </w:pPr>
      <w:r>
        <w:rPr>
          <w:rFonts w:hint="eastAsia"/>
        </w:rPr>
        <w:t>23.</w:t>
      </w:r>
      <w:r>
        <w:rPr>
          <w:rFonts w:hint="eastAsia"/>
        </w:rPr>
        <w:tab/>
      </w:r>
      <w:r>
        <w:rPr>
          <w:rFonts w:ascii="KaiTi_GB2312" w:eastAsia="KaiTi_GB2312" w:hint="eastAsia"/>
          <w:color w:val="0000FF"/>
        </w:rPr>
        <w:t>请表明政府是否制定了农村发展政策，而且其中是否特别包括专门侧重农村妇女的内容，以使她们有更多的机会利用教育、医疗、经济机会并参与发展规划方面的决策进程，包括在地方一级。还请提供对农村妇女与男子在上述领域的状况进行比较的统计资料</w:t>
      </w:r>
      <w:r>
        <w:rPr>
          <w:rFonts w:hint="eastAsia"/>
        </w:rPr>
        <w:t>。</w:t>
      </w:r>
    </w:p>
    <w:p w:rsidR="00000000" w:rsidRDefault="00000000">
      <w:pPr>
        <w:pStyle w:val="SingleTxt"/>
        <w:rPr>
          <w:rFonts w:hint="eastAsia"/>
          <w:spacing w:val="-2"/>
        </w:rPr>
      </w:pPr>
      <w:r>
        <w:rPr>
          <w:rFonts w:hint="eastAsia"/>
          <w:spacing w:val="-2"/>
        </w:rPr>
        <w:tab/>
        <w:t>实际上，佛得角政府已制定了农村发展政策，其中考虑到了性别问题。例如，在农业、环境和渔业部制定的计划和行动中，该部门纳入了这个问题。其主要目的是，通过创造法律、社会、体制和经济环境，提高发展行动的效力与影响；这一环境将有利于男子和妇女在同等条件下获得和掌握资源与服务以及进行决策，从而促进发展（《性别观点纳入政策与项目的战略表》，第14页）。还制定并通过了其他一些和这项部门措施有关的战略文件，其中含有促进两性平等与公平的展望。在这方面，《国家两性平等和公平计划》承认，农村妇女在很多方面受到各种约束，包括教育水平、社会文化原因造成的经济情况、医疗保健和生活条件等；该计划还在行动战略中制定了有计划、有步骤的行动，要求所有行动者共同合作和参与，在所有部门横行贯彻两性平等问题。这样，我们将在各领域（包括各部委和部门）最广泛地考虑到妇女问题，以便更好地协调行动、特别是面向农村妇女的行动。</w:t>
      </w:r>
    </w:p>
    <w:p w:rsidR="00000000" w:rsidRDefault="00000000">
      <w:pPr>
        <w:pStyle w:val="SingleTxt"/>
        <w:rPr>
          <w:rFonts w:hint="eastAsia"/>
        </w:rPr>
      </w:pPr>
      <w:r>
        <w:rPr>
          <w:rFonts w:hint="eastAsia"/>
        </w:rPr>
        <w:tab/>
        <w:t>在政府将实施的政策中，还有一项重要文件是2005-2007年《增长和减贫战略》。这份文件说明政府如何打算消除贫穷，即采取结合各种行动的横向方针，使旨在促进经济增长的政策更加密切。这一重要文件将妇女确定为敏感群体，并因本国长期缺水，荒漠化越来越严重而将农业生产定为脆弱部门。上述文件指出，虽然男女都是赤贫如洗，区别不大，但妇女是最弱势的群体，她们的失业率高于男子两倍，说明在这方面应采取具体行动（4月11日第9/2005号决议）。</w:t>
      </w:r>
    </w:p>
    <w:p w:rsidR="00000000" w:rsidRDefault="00000000">
      <w:pPr>
        <w:pStyle w:val="SingleTxt"/>
        <w:rPr>
          <w:rFonts w:hint="eastAsia"/>
        </w:rPr>
      </w:pPr>
      <w:r>
        <w:rPr>
          <w:rFonts w:hint="eastAsia"/>
        </w:rPr>
        <w:tab/>
        <w:t>根据佛得角现有的数据和指标，比较城乡男子和妇女可以发现，佛得角人口的性别组成如下：妇女占51.9％，男子占48.1％；在农村，妇女占52.2％，男子占47.8％；在城市，妇女占51.6％，男子占48.4％。</w:t>
      </w:r>
    </w:p>
    <w:p w:rsidR="00000000" w:rsidRDefault="00000000">
      <w:pPr>
        <w:pStyle w:val="SingleTxt"/>
        <w:rPr>
          <w:rFonts w:hint="eastAsia"/>
        </w:rPr>
      </w:pPr>
      <w:r>
        <w:rPr>
          <w:rFonts w:hint="eastAsia"/>
        </w:rPr>
        <w:tab/>
        <w:t>受教育情况见下表：</w:t>
      </w:r>
    </w:p>
    <w:p w:rsidR="00000000" w:rsidRDefault="00000000">
      <w:pPr>
        <w:pStyle w:val="SingleTxt"/>
        <w:rPr>
          <w:rFonts w:hint="eastAsia"/>
        </w:rPr>
      </w:pPr>
      <w:r>
        <w:rPr>
          <w:rFonts w:ascii="SimHei" w:eastAsia="SimHei" w:hint="eastAsia"/>
          <w:color w:val="FF0000"/>
        </w:rPr>
        <w:t>按性别、住所和上学情况分列的4岁及以上常住人口人数及比例</w:t>
      </w:r>
    </w:p>
    <w:tbl>
      <w:tblPr>
        <w:tblW w:w="7371" w:type="dxa"/>
        <w:tblInd w:w="1260" w:type="dxa"/>
        <w:tblLayout w:type="fixed"/>
        <w:tblCellMar>
          <w:left w:w="0" w:type="dxa"/>
          <w:right w:w="0" w:type="dxa"/>
        </w:tblCellMar>
        <w:tblLook w:val="0000" w:firstRow="0" w:lastRow="0" w:firstColumn="0" w:lastColumn="0" w:noHBand="0" w:noVBand="0"/>
      </w:tblPr>
      <w:tblGrid>
        <w:gridCol w:w="1844"/>
        <w:gridCol w:w="921"/>
        <w:gridCol w:w="873"/>
        <w:gridCol w:w="48"/>
        <w:gridCol w:w="921"/>
        <w:gridCol w:w="848"/>
        <w:gridCol w:w="74"/>
        <w:gridCol w:w="921"/>
        <w:gridCol w:w="921"/>
      </w:tblGrid>
      <w:tr w:rsidR="00000000">
        <w:tblPrEx>
          <w:tblCellMar>
            <w:top w:w="0" w:type="dxa"/>
            <w:bottom w:w="0" w:type="dxa"/>
          </w:tblCellMar>
        </w:tblPrEx>
        <w:trPr>
          <w:cantSplit/>
          <w:tblHeader/>
        </w:trPr>
        <w:tc>
          <w:tcPr>
            <w:tcW w:w="1844" w:type="dxa"/>
            <w:vMerge w:val="restart"/>
            <w:tcBorders>
              <w:top w:val="single" w:sz="4" w:space="0" w:color="auto"/>
            </w:tcBorders>
            <w:vAlign w:val="bottom"/>
          </w:tcPr>
          <w:p w:rsidR="00000000" w:rsidRDefault="00000000">
            <w:pPr>
              <w:tabs>
                <w:tab w:val="left" w:pos="360"/>
                <w:tab w:val="left" w:pos="720"/>
                <w:tab w:val="left" w:pos="1080"/>
                <w:tab w:val="left" w:pos="1440"/>
              </w:tabs>
              <w:spacing w:before="40" w:after="40" w:line="200" w:lineRule="exact"/>
              <w:ind w:right="101"/>
              <w:rPr>
                <w:rFonts w:ascii="KaiTi_GB2312" w:eastAsia="KaiTi_GB2312"/>
                <w:color w:val="0000FF"/>
                <w:sz w:val="14"/>
                <w:szCs w:val="14"/>
              </w:rPr>
            </w:pPr>
            <w:r>
              <w:rPr>
                <w:rFonts w:ascii="KaiTi_GB2312" w:eastAsia="KaiTi_GB2312" w:hint="eastAsia"/>
                <w:color w:val="0000FF"/>
                <w:sz w:val="14"/>
                <w:szCs w:val="14"/>
              </w:rPr>
              <w:t>住所</w:t>
            </w:r>
          </w:p>
        </w:tc>
        <w:tc>
          <w:tcPr>
            <w:tcW w:w="1794" w:type="dxa"/>
            <w:gridSpan w:val="2"/>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40" w:after="40" w:line="200" w:lineRule="exact"/>
              <w:ind w:right="101"/>
              <w:jc w:val="center"/>
              <w:rPr>
                <w:rFonts w:ascii="KaiTi_GB2312" w:eastAsia="KaiTi_GB2312"/>
                <w:color w:val="0000FF"/>
                <w:sz w:val="14"/>
                <w:szCs w:val="14"/>
              </w:rPr>
            </w:pPr>
            <w:r>
              <w:rPr>
                <w:rFonts w:ascii="KaiTi_GB2312" w:eastAsia="KaiTi_GB2312" w:hint="eastAsia"/>
                <w:color w:val="0000FF"/>
                <w:sz w:val="14"/>
                <w:szCs w:val="14"/>
              </w:rPr>
              <w:t>男女总共</w:t>
            </w:r>
          </w:p>
        </w:tc>
        <w:tc>
          <w:tcPr>
            <w:tcW w:w="48" w:type="dxa"/>
            <w:tcBorders>
              <w:top w:val="single" w:sz="4" w:space="0" w:color="auto"/>
            </w:tcBorders>
            <w:vAlign w:val="bottom"/>
          </w:tcPr>
          <w:p w:rsidR="00000000" w:rsidRDefault="00000000">
            <w:pPr>
              <w:tabs>
                <w:tab w:val="left" w:pos="360"/>
                <w:tab w:val="left" w:pos="720"/>
                <w:tab w:val="left" w:pos="1080"/>
                <w:tab w:val="left" w:pos="1440"/>
              </w:tabs>
              <w:spacing w:before="40" w:after="40" w:line="200" w:lineRule="exact"/>
              <w:ind w:right="101"/>
              <w:jc w:val="center"/>
              <w:rPr>
                <w:rFonts w:ascii="KaiTi_GB2312" w:eastAsia="KaiTi_GB2312"/>
                <w:color w:val="0000FF"/>
                <w:sz w:val="14"/>
                <w:szCs w:val="14"/>
              </w:rPr>
            </w:pPr>
          </w:p>
        </w:tc>
        <w:tc>
          <w:tcPr>
            <w:tcW w:w="1769" w:type="dxa"/>
            <w:gridSpan w:val="2"/>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40" w:after="40" w:line="200" w:lineRule="exact"/>
              <w:ind w:right="101"/>
              <w:jc w:val="center"/>
              <w:rPr>
                <w:rFonts w:ascii="KaiTi_GB2312" w:eastAsia="KaiTi_GB2312"/>
                <w:color w:val="0000FF"/>
                <w:sz w:val="14"/>
                <w:szCs w:val="14"/>
              </w:rPr>
            </w:pPr>
            <w:r>
              <w:rPr>
                <w:rFonts w:ascii="KaiTi_GB2312" w:eastAsia="KaiTi_GB2312" w:hint="eastAsia"/>
                <w:color w:val="0000FF"/>
                <w:sz w:val="14"/>
                <w:szCs w:val="14"/>
              </w:rPr>
              <w:t>男性</w:t>
            </w:r>
          </w:p>
        </w:tc>
        <w:tc>
          <w:tcPr>
            <w:tcW w:w="74" w:type="dxa"/>
            <w:tcBorders>
              <w:top w:val="single" w:sz="4" w:space="0" w:color="auto"/>
            </w:tcBorders>
            <w:vAlign w:val="bottom"/>
          </w:tcPr>
          <w:p w:rsidR="00000000" w:rsidRDefault="00000000">
            <w:pPr>
              <w:tabs>
                <w:tab w:val="left" w:pos="360"/>
                <w:tab w:val="left" w:pos="720"/>
                <w:tab w:val="left" w:pos="1080"/>
                <w:tab w:val="left" w:pos="1440"/>
              </w:tabs>
              <w:spacing w:before="40" w:after="40" w:line="200" w:lineRule="exact"/>
              <w:ind w:right="101"/>
              <w:jc w:val="center"/>
              <w:rPr>
                <w:rFonts w:ascii="KaiTi_GB2312" w:eastAsia="KaiTi_GB2312"/>
                <w:color w:val="0000FF"/>
                <w:sz w:val="14"/>
                <w:szCs w:val="14"/>
              </w:rPr>
            </w:pPr>
          </w:p>
        </w:tc>
        <w:tc>
          <w:tcPr>
            <w:tcW w:w="1842" w:type="dxa"/>
            <w:gridSpan w:val="2"/>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40" w:after="40" w:line="200" w:lineRule="exact"/>
              <w:ind w:right="101"/>
              <w:jc w:val="center"/>
              <w:rPr>
                <w:rFonts w:ascii="KaiTi_GB2312" w:eastAsia="KaiTi_GB2312"/>
                <w:color w:val="0000FF"/>
                <w:sz w:val="14"/>
                <w:szCs w:val="14"/>
              </w:rPr>
            </w:pPr>
            <w:r>
              <w:rPr>
                <w:rFonts w:ascii="KaiTi_GB2312" w:eastAsia="KaiTi_GB2312" w:hint="eastAsia"/>
                <w:color w:val="0000FF"/>
                <w:sz w:val="14"/>
                <w:szCs w:val="14"/>
              </w:rPr>
              <w:t>女性</w:t>
            </w:r>
          </w:p>
        </w:tc>
      </w:tr>
      <w:tr w:rsidR="00000000">
        <w:tblPrEx>
          <w:tblCellMar>
            <w:top w:w="0" w:type="dxa"/>
            <w:bottom w:w="0" w:type="dxa"/>
          </w:tblCellMar>
        </w:tblPrEx>
        <w:trPr>
          <w:cantSplit/>
          <w:tblHeader/>
        </w:trPr>
        <w:tc>
          <w:tcPr>
            <w:tcW w:w="1844" w:type="dxa"/>
            <w:vMerge/>
            <w:tcBorders>
              <w:bottom w:val="single" w:sz="12" w:space="0" w:color="auto"/>
            </w:tcBorders>
            <w:vAlign w:val="bottom"/>
          </w:tcPr>
          <w:p w:rsidR="00000000" w:rsidRDefault="00000000">
            <w:pPr>
              <w:tabs>
                <w:tab w:val="left" w:pos="360"/>
                <w:tab w:val="left" w:pos="720"/>
                <w:tab w:val="left" w:pos="1080"/>
                <w:tab w:val="left" w:pos="1440"/>
              </w:tabs>
              <w:spacing w:before="40" w:after="40" w:line="200" w:lineRule="exact"/>
              <w:ind w:right="40"/>
              <w:rPr>
                <w:rFonts w:ascii="KaiTi_GB2312" w:eastAsia="KaiTi_GB2312"/>
                <w:color w:val="0000FF"/>
                <w:sz w:val="14"/>
                <w:szCs w:val="14"/>
              </w:rPr>
            </w:pPr>
          </w:p>
        </w:tc>
        <w:tc>
          <w:tcPr>
            <w:tcW w:w="921" w:type="dxa"/>
            <w:tcBorders>
              <w:bottom w:val="single" w:sz="12" w:space="0" w:color="auto"/>
            </w:tcBorders>
            <w:vAlign w:val="bottom"/>
          </w:tcPr>
          <w:p w:rsidR="00000000" w:rsidRDefault="00000000">
            <w:pPr>
              <w:tabs>
                <w:tab w:val="left" w:pos="360"/>
                <w:tab w:val="left" w:pos="720"/>
                <w:tab w:val="left" w:pos="1080"/>
                <w:tab w:val="left" w:pos="1440"/>
              </w:tabs>
              <w:spacing w:before="40" w:after="40" w:line="200" w:lineRule="exact"/>
              <w:ind w:right="102"/>
              <w:jc w:val="right"/>
              <w:rPr>
                <w:rFonts w:ascii="KaiTi_GB2312" w:eastAsia="KaiTi_GB2312"/>
                <w:color w:val="0000FF"/>
                <w:sz w:val="14"/>
                <w:szCs w:val="14"/>
              </w:rPr>
            </w:pPr>
            <w:r>
              <w:rPr>
                <w:rFonts w:ascii="KaiTi_GB2312" w:eastAsia="KaiTi_GB2312" w:hint="eastAsia"/>
                <w:color w:val="0000FF"/>
                <w:sz w:val="14"/>
                <w:szCs w:val="14"/>
              </w:rPr>
              <w:t>人数</w:t>
            </w:r>
          </w:p>
        </w:tc>
        <w:tc>
          <w:tcPr>
            <w:tcW w:w="921" w:type="dxa"/>
            <w:gridSpan w:val="2"/>
            <w:tcBorders>
              <w:bottom w:val="single" w:sz="12" w:space="0" w:color="auto"/>
            </w:tcBorders>
            <w:vAlign w:val="bottom"/>
          </w:tcPr>
          <w:p w:rsidR="00000000" w:rsidRDefault="00000000">
            <w:pPr>
              <w:tabs>
                <w:tab w:val="left" w:pos="360"/>
                <w:tab w:val="left" w:pos="720"/>
                <w:tab w:val="left" w:pos="1080"/>
                <w:tab w:val="left" w:pos="1440"/>
              </w:tabs>
              <w:spacing w:before="40" w:after="40" w:line="200" w:lineRule="exact"/>
              <w:ind w:right="102"/>
              <w:jc w:val="right"/>
              <w:rPr>
                <w:rFonts w:ascii="KaiTi_GB2312" w:eastAsia="KaiTi_GB2312"/>
                <w:color w:val="0000FF"/>
                <w:sz w:val="14"/>
                <w:szCs w:val="14"/>
              </w:rPr>
            </w:pPr>
            <w:r>
              <w:rPr>
                <w:rFonts w:ascii="KaiTi_GB2312" w:eastAsia="KaiTi_GB2312" w:hint="eastAsia"/>
                <w:color w:val="0000FF"/>
                <w:sz w:val="14"/>
                <w:szCs w:val="14"/>
              </w:rPr>
              <w:t>％</w:t>
            </w:r>
          </w:p>
        </w:tc>
        <w:tc>
          <w:tcPr>
            <w:tcW w:w="921" w:type="dxa"/>
            <w:tcBorders>
              <w:bottom w:val="single" w:sz="12" w:space="0" w:color="auto"/>
            </w:tcBorders>
            <w:vAlign w:val="bottom"/>
          </w:tcPr>
          <w:p w:rsidR="00000000" w:rsidRDefault="00000000">
            <w:pPr>
              <w:tabs>
                <w:tab w:val="left" w:pos="360"/>
                <w:tab w:val="left" w:pos="720"/>
                <w:tab w:val="left" w:pos="1080"/>
                <w:tab w:val="left" w:pos="1440"/>
              </w:tabs>
              <w:spacing w:before="40" w:after="40" w:line="200" w:lineRule="exact"/>
              <w:ind w:right="102"/>
              <w:jc w:val="right"/>
              <w:rPr>
                <w:rFonts w:ascii="KaiTi_GB2312" w:eastAsia="KaiTi_GB2312"/>
                <w:color w:val="0000FF"/>
                <w:sz w:val="14"/>
                <w:szCs w:val="14"/>
              </w:rPr>
            </w:pPr>
            <w:r>
              <w:rPr>
                <w:rFonts w:ascii="KaiTi_GB2312" w:eastAsia="KaiTi_GB2312" w:hint="eastAsia"/>
                <w:color w:val="0000FF"/>
                <w:sz w:val="14"/>
                <w:szCs w:val="14"/>
              </w:rPr>
              <w:t>人数</w:t>
            </w:r>
          </w:p>
        </w:tc>
        <w:tc>
          <w:tcPr>
            <w:tcW w:w="922" w:type="dxa"/>
            <w:gridSpan w:val="2"/>
            <w:tcBorders>
              <w:bottom w:val="single" w:sz="12" w:space="0" w:color="auto"/>
            </w:tcBorders>
            <w:vAlign w:val="bottom"/>
          </w:tcPr>
          <w:p w:rsidR="00000000" w:rsidRDefault="00000000">
            <w:pPr>
              <w:tabs>
                <w:tab w:val="left" w:pos="360"/>
                <w:tab w:val="left" w:pos="720"/>
                <w:tab w:val="left" w:pos="1080"/>
                <w:tab w:val="left" w:pos="1440"/>
              </w:tabs>
              <w:spacing w:before="40" w:after="40" w:line="200" w:lineRule="exact"/>
              <w:ind w:right="102"/>
              <w:jc w:val="right"/>
              <w:rPr>
                <w:rFonts w:ascii="KaiTi_GB2312" w:eastAsia="KaiTi_GB2312"/>
                <w:color w:val="0000FF"/>
                <w:sz w:val="14"/>
                <w:szCs w:val="14"/>
              </w:rPr>
            </w:pPr>
            <w:r>
              <w:rPr>
                <w:rFonts w:ascii="KaiTi_GB2312" w:eastAsia="KaiTi_GB2312" w:hint="eastAsia"/>
                <w:color w:val="0000FF"/>
                <w:sz w:val="14"/>
                <w:szCs w:val="14"/>
              </w:rPr>
              <w:t>％</w:t>
            </w:r>
          </w:p>
        </w:tc>
        <w:tc>
          <w:tcPr>
            <w:tcW w:w="921" w:type="dxa"/>
            <w:tcBorders>
              <w:top w:val="single" w:sz="4" w:space="0" w:color="auto"/>
              <w:bottom w:val="single" w:sz="12" w:space="0" w:color="auto"/>
            </w:tcBorders>
            <w:vAlign w:val="bottom"/>
          </w:tcPr>
          <w:p w:rsidR="00000000" w:rsidRDefault="00000000">
            <w:pPr>
              <w:tabs>
                <w:tab w:val="left" w:pos="360"/>
                <w:tab w:val="left" w:pos="720"/>
                <w:tab w:val="left" w:pos="1080"/>
                <w:tab w:val="left" w:pos="1440"/>
              </w:tabs>
              <w:spacing w:before="40" w:after="40" w:line="200" w:lineRule="exact"/>
              <w:ind w:right="102"/>
              <w:jc w:val="right"/>
              <w:rPr>
                <w:rFonts w:ascii="KaiTi_GB2312" w:eastAsia="KaiTi_GB2312"/>
                <w:color w:val="0000FF"/>
                <w:sz w:val="14"/>
                <w:szCs w:val="14"/>
              </w:rPr>
            </w:pPr>
            <w:r>
              <w:rPr>
                <w:rFonts w:ascii="KaiTi_GB2312" w:eastAsia="KaiTi_GB2312" w:hint="eastAsia"/>
                <w:color w:val="0000FF"/>
                <w:sz w:val="14"/>
                <w:szCs w:val="14"/>
              </w:rPr>
              <w:t>人数</w:t>
            </w:r>
          </w:p>
        </w:tc>
        <w:tc>
          <w:tcPr>
            <w:tcW w:w="921" w:type="dxa"/>
            <w:tcBorders>
              <w:top w:val="single" w:sz="4" w:space="0" w:color="auto"/>
              <w:bottom w:val="single" w:sz="12" w:space="0" w:color="auto"/>
            </w:tcBorders>
            <w:vAlign w:val="bottom"/>
          </w:tcPr>
          <w:p w:rsidR="00000000" w:rsidRDefault="00000000">
            <w:pPr>
              <w:tabs>
                <w:tab w:val="left" w:pos="360"/>
                <w:tab w:val="left" w:pos="720"/>
                <w:tab w:val="left" w:pos="1080"/>
                <w:tab w:val="left" w:pos="1440"/>
              </w:tabs>
              <w:spacing w:before="40" w:after="40" w:line="200" w:lineRule="exact"/>
              <w:ind w:right="102"/>
              <w:jc w:val="right"/>
              <w:rPr>
                <w:rFonts w:ascii="KaiTi_GB2312" w:eastAsia="KaiTi_GB2312"/>
                <w:color w:val="0000FF"/>
                <w:sz w:val="14"/>
                <w:szCs w:val="14"/>
              </w:rPr>
            </w:pPr>
            <w:r>
              <w:rPr>
                <w:rFonts w:ascii="KaiTi_GB2312" w:eastAsia="KaiTi_GB2312" w:hint="eastAsia"/>
                <w:color w:val="0000FF"/>
                <w:sz w:val="14"/>
                <w:szCs w:val="14"/>
              </w:rPr>
              <w:t>％</w:t>
            </w:r>
          </w:p>
        </w:tc>
      </w:tr>
      <w:tr w:rsidR="00000000">
        <w:tblPrEx>
          <w:tblCellMar>
            <w:top w:w="0" w:type="dxa"/>
            <w:bottom w:w="0" w:type="dxa"/>
          </w:tblCellMar>
        </w:tblPrEx>
        <w:trPr>
          <w:cantSplit/>
        </w:trPr>
        <w:tc>
          <w:tcPr>
            <w:tcW w:w="1844" w:type="dxa"/>
            <w:tcBorders>
              <w:top w:val="single" w:sz="12"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04" w:lineRule="exact"/>
              <w:ind w:right="40"/>
              <w:rPr>
                <w:rFonts w:ascii="SimHei" w:eastAsia="SimHei"/>
                <w:b/>
                <w:bCs/>
                <w:color w:val="FF0000"/>
                <w:sz w:val="17"/>
                <w:szCs w:val="17"/>
              </w:rPr>
            </w:pPr>
            <w:r>
              <w:rPr>
                <w:rFonts w:ascii="SimHei" w:eastAsia="SimHei" w:hint="eastAsia"/>
                <w:b/>
                <w:bCs/>
                <w:color w:val="FF0000"/>
                <w:sz w:val="17"/>
                <w:szCs w:val="17"/>
              </w:rPr>
              <w:t>城市</w:t>
            </w:r>
          </w:p>
        </w:tc>
        <w:tc>
          <w:tcPr>
            <w:tcW w:w="921" w:type="dxa"/>
            <w:tcBorders>
              <w:top w:val="single" w:sz="12"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209.699</w:t>
            </w:r>
          </w:p>
        </w:tc>
        <w:tc>
          <w:tcPr>
            <w:tcW w:w="921" w:type="dxa"/>
            <w:gridSpan w:val="2"/>
            <w:tcBorders>
              <w:top w:val="single" w:sz="12"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100</w:t>
            </w:r>
          </w:p>
        </w:tc>
        <w:tc>
          <w:tcPr>
            <w:tcW w:w="921" w:type="dxa"/>
            <w:tcBorders>
              <w:top w:val="single" w:sz="12"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100.936</w:t>
            </w:r>
          </w:p>
        </w:tc>
        <w:tc>
          <w:tcPr>
            <w:tcW w:w="922" w:type="dxa"/>
            <w:gridSpan w:val="2"/>
            <w:tcBorders>
              <w:top w:val="single" w:sz="12"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100</w:t>
            </w:r>
          </w:p>
        </w:tc>
        <w:tc>
          <w:tcPr>
            <w:tcW w:w="921" w:type="dxa"/>
            <w:tcBorders>
              <w:top w:val="single" w:sz="12"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108.763</w:t>
            </w:r>
          </w:p>
        </w:tc>
        <w:tc>
          <w:tcPr>
            <w:tcW w:w="921" w:type="dxa"/>
            <w:tcBorders>
              <w:top w:val="single" w:sz="12"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100</w:t>
            </w:r>
          </w:p>
        </w:tc>
      </w:tr>
      <w:tr w:rsidR="00000000">
        <w:tblPrEx>
          <w:tblCellMar>
            <w:top w:w="0" w:type="dxa"/>
            <w:bottom w:w="0" w:type="dxa"/>
          </w:tblCellMar>
        </w:tblPrEx>
        <w:trPr>
          <w:cantSplit/>
        </w:trPr>
        <w:tc>
          <w:tcPr>
            <w:tcW w:w="1844" w:type="dxa"/>
            <w:tcBorders>
              <w:top w:val="single" w:sz="4" w:space="0" w:color="auto"/>
            </w:tcBorders>
            <w:vAlign w:val="bottom"/>
          </w:tcPr>
          <w:p w:rsidR="00000000" w:rsidRDefault="00000000">
            <w:pPr>
              <w:tabs>
                <w:tab w:val="left" w:pos="360"/>
                <w:tab w:val="left" w:pos="720"/>
                <w:tab w:val="left" w:pos="1080"/>
                <w:tab w:val="left" w:pos="1440"/>
              </w:tabs>
              <w:spacing w:before="60" w:after="60" w:line="204" w:lineRule="exact"/>
              <w:ind w:right="40"/>
              <w:rPr>
                <w:rFonts w:ascii="Times New Roman"/>
                <w:sz w:val="17"/>
                <w:szCs w:val="17"/>
              </w:rPr>
            </w:pPr>
            <w:r>
              <w:rPr>
                <w:rFonts w:hint="eastAsia"/>
                <w:sz w:val="17"/>
                <w:szCs w:val="17"/>
              </w:rPr>
              <w:t>正在上学</w:t>
            </w:r>
          </w:p>
        </w:tc>
        <w:tc>
          <w:tcPr>
            <w:tcW w:w="921" w:type="dxa"/>
            <w:tcBorders>
              <w:top w:val="single" w:sz="4" w:space="0" w:color="auto"/>
            </w:tcBorders>
          </w:tcPr>
          <w:p w:rsidR="00000000" w:rsidRDefault="00000000">
            <w:pPr>
              <w:spacing w:before="60" w:after="60" w:line="204" w:lineRule="exact"/>
              <w:ind w:right="57"/>
              <w:jc w:val="right"/>
              <w:rPr>
                <w:sz w:val="17"/>
                <w:szCs w:val="17"/>
                <w:lang w:val="fr-FR"/>
              </w:rPr>
            </w:pPr>
            <w:r>
              <w:rPr>
                <w:sz w:val="17"/>
                <w:szCs w:val="17"/>
                <w:lang w:val="fr-FR"/>
              </w:rPr>
              <w:t>81.380</w:t>
            </w:r>
          </w:p>
        </w:tc>
        <w:tc>
          <w:tcPr>
            <w:tcW w:w="921" w:type="dxa"/>
            <w:gridSpan w:val="2"/>
            <w:tcBorders>
              <w:top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38.8</w:t>
            </w:r>
          </w:p>
        </w:tc>
        <w:tc>
          <w:tcPr>
            <w:tcW w:w="921" w:type="dxa"/>
            <w:tcBorders>
              <w:top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39.493</w:t>
            </w:r>
          </w:p>
        </w:tc>
        <w:tc>
          <w:tcPr>
            <w:tcW w:w="922" w:type="dxa"/>
            <w:gridSpan w:val="2"/>
            <w:tcBorders>
              <w:top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39.1</w:t>
            </w:r>
          </w:p>
        </w:tc>
        <w:tc>
          <w:tcPr>
            <w:tcW w:w="921" w:type="dxa"/>
            <w:tcBorders>
              <w:top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41.887</w:t>
            </w:r>
          </w:p>
        </w:tc>
        <w:tc>
          <w:tcPr>
            <w:tcW w:w="921" w:type="dxa"/>
            <w:tcBorders>
              <w:top w:val="single" w:sz="4" w:space="0" w:color="auto"/>
            </w:tcBorders>
          </w:tcPr>
          <w:p w:rsidR="00000000" w:rsidRDefault="00000000">
            <w:pPr>
              <w:spacing w:before="60" w:after="60" w:line="204" w:lineRule="exact"/>
              <w:ind w:right="57"/>
              <w:jc w:val="right"/>
              <w:rPr>
                <w:sz w:val="17"/>
                <w:szCs w:val="17"/>
                <w:lang w:val="fr-FR"/>
              </w:rPr>
            </w:pPr>
            <w:r>
              <w:rPr>
                <w:sz w:val="17"/>
                <w:szCs w:val="17"/>
                <w:lang w:val="fr-FR"/>
              </w:rPr>
              <w:t>38.5</w:t>
            </w:r>
          </w:p>
        </w:tc>
      </w:tr>
      <w:tr w:rsidR="00000000">
        <w:tblPrEx>
          <w:tblCellMar>
            <w:top w:w="0" w:type="dxa"/>
            <w:bottom w:w="0" w:type="dxa"/>
          </w:tblCellMar>
        </w:tblPrEx>
        <w:trPr>
          <w:cantSplit/>
        </w:trPr>
        <w:tc>
          <w:tcPr>
            <w:tcW w:w="1844" w:type="dxa"/>
            <w:vAlign w:val="bottom"/>
          </w:tcPr>
          <w:p w:rsidR="00000000" w:rsidRDefault="00000000">
            <w:pPr>
              <w:tabs>
                <w:tab w:val="left" w:pos="360"/>
                <w:tab w:val="left" w:pos="720"/>
                <w:tab w:val="left" w:pos="1080"/>
                <w:tab w:val="left" w:pos="1440"/>
              </w:tabs>
              <w:spacing w:before="60" w:after="60" w:line="204" w:lineRule="exact"/>
              <w:ind w:right="40"/>
              <w:rPr>
                <w:rFonts w:ascii="Times New Roman"/>
                <w:sz w:val="17"/>
                <w:szCs w:val="17"/>
              </w:rPr>
            </w:pPr>
            <w:r>
              <w:rPr>
                <w:rFonts w:hint="eastAsia"/>
                <w:sz w:val="17"/>
                <w:szCs w:val="17"/>
              </w:rPr>
              <w:t>上过学</w:t>
            </w:r>
          </w:p>
        </w:tc>
        <w:tc>
          <w:tcPr>
            <w:tcW w:w="921" w:type="dxa"/>
          </w:tcPr>
          <w:p w:rsidR="00000000" w:rsidRDefault="00000000">
            <w:pPr>
              <w:spacing w:before="60" w:after="60" w:line="204" w:lineRule="exact"/>
              <w:ind w:right="57"/>
              <w:jc w:val="right"/>
              <w:rPr>
                <w:sz w:val="17"/>
                <w:szCs w:val="17"/>
                <w:lang w:val="fr-FR"/>
              </w:rPr>
            </w:pPr>
            <w:r>
              <w:rPr>
                <w:sz w:val="17"/>
                <w:szCs w:val="17"/>
                <w:lang w:val="fr-FR"/>
              </w:rPr>
              <w:t>101.517</w:t>
            </w:r>
          </w:p>
        </w:tc>
        <w:tc>
          <w:tcPr>
            <w:tcW w:w="921" w:type="dxa"/>
            <w:gridSpan w:val="2"/>
          </w:tcPr>
          <w:p w:rsidR="00000000" w:rsidRDefault="00000000">
            <w:pPr>
              <w:spacing w:before="60" w:after="60" w:line="204" w:lineRule="exact"/>
              <w:ind w:right="57"/>
              <w:jc w:val="right"/>
              <w:rPr>
                <w:bCs/>
                <w:sz w:val="17"/>
                <w:szCs w:val="17"/>
                <w:lang w:val="fr-FR"/>
              </w:rPr>
            </w:pPr>
            <w:r>
              <w:rPr>
                <w:bCs/>
                <w:sz w:val="17"/>
                <w:szCs w:val="17"/>
                <w:lang w:val="fr-FR"/>
              </w:rPr>
              <w:t>4.4</w:t>
            </w:r>
          </w:p>
        </w:tc>
        <w:tc>
          <w:tcPr>
            <w:tcW w:w="921" w:type="dxa"/>
          </w:tcPr>
          <w:p w:rsidR="00000000" w:rsidRDefault="00000000">
            <w:pPr>
              <w:spacing w:before="60" w:after="60" w:line="204" w:lineRule="exact"/>
              <w:ind w:right="57"/>
              <w:jc w:val="right"/>
              <w:rPr>
                <w:bCs/>
                <w:sz w:val="17"/>
                <w:szCs w:val="17"/>
                <w:lang w:val="fr-FR"/>
              </w:rPr>
            </w:pPr>
            <w:r>
              <w:rPr>
                <w:bCs/>
                <w:sz w:val="17"/>
                <w:szCs w:val="17"/>
                <w:lang w:val="fr-FR"/>
              </w:rPr>
              <w:t>52.416</w:t>
            </w:r>
          </w:p>
        </w:tc>
        <w:tc>
          <w:tcPr>
            <w:tcW w:w="922" w:type="dxa"/>
            <w:gridSpan w:val="2"/>
          </w:tcPr>
          <w:p w:rsidR="00000000" w:rsidRDefault="00000000">
            <w:pPr>
              <w:spacing w:before="60" w:after="60" w:line="204" w:lineRule="exact"/>
              <w:ind w:right="57"/>
              <w:jc w:val="right"/>
              <w:rPr>
                <w:bCs/>
                <w:sz w:val="17"/>
                <w:szCs w:val="17"/>
                <w:lang w:val="fr-FR"/>
              </w:rPr>
            </w:pPr>
            <w:r>
              <w:rPr>
                <w:bCs/>
                <w:sz w:val="17"/>
                <w:szCs w:val="17"/>
                <w:lang w:val="fr-FR"/>
              </w:rPr>
              <w:t>51.9</w:t>
            </w:r>
          </w:p>
        </w:tc>
        <w:tc>
          <w:tcPr>
            <w:tcW w:w="921" w:type="dxa"/>
          </w:tcPr>
          <w:p w:rsidR="00000000" w:rsidRDefault="00000000">
            <w:pPr>
              <w:spacing w:before="60" w:after="60" w:line="204" w:lineRule="exact"/>
              <w:ind w:right="57"/>
              <w:jc w:val="right"/>
              <w:rPr>
                <w:bCs/>
                <w:sz w:val="17"/>
                <w:szCs w:val="17"/>
                <w:lang w:val="fr-FR"/>
              </w:rPr>
            </w:pPr>
            <w:r>
              <w:rPr>
                <w:bCs/>
                <w:sz w:val="17"/>
                <w:szCs w:val="17"/>
                <w:lang w:val="fr-FR"/>
              </w:rPr>
              <w:t>49.101</w:t>
            </w:r>
          </w:p>
        </w:tc>
        <w:tc>
          <w:tcPr>
            <w:tcW w:w="921" w:type="dxa"/>
          </w:tcPr>
          <w:p w:rsidR="00000000" w:rsidRDefault="00000000">
            <w:pPr>
              <w:spacing w:before="60" w:after="60" w:line="204" w:lineRule="exact"/>
              <w:ind w:right="57"/>
              <w:jc w:val="right"/>
              <w:rPr>
                <w:sz w:val="17"/>
                <w:szCs w:val="17"/>
                <w:lang w:val="fr-FR"/>
              </w:rPr>
            </w:pPr>
            <w:r>
              <w:rPr>
                <w:sz w:val="17"/>
                <w:szCs w:val="17"/>
                <w:lang w:val="fr-FR"/>
              </w:rPr>
              <w:t>45.1</w:t>
            </w:r>
          </w:p>
        </w:tc>
      </w:tr>
      <w:tr w:rsidR="00000000">
        <w:tblPrEx>
          <w:tblCellMar>
            <w:top w:w="0" w:type="dxa"/>
            <w:bottom w:w="0" w:type="dxa"/>
          </w:tblCellMar>
        </w:tblPrEx>
        <w:trPr>
          <w:cantSplit/>
        </w:trPr>
        <w:tc>
          <w:tcPr>
            <w:tcW w:w="1844" w:type="dxa"/>
            <w:tcBorders>
              <w:bottom w:val="single" w:sz="4" w:space="0" w:color="auto"/>
            </w:tcBorders>
            <w:vAlign w:val="bottom"/>
          </w:tcPr>
          <w:p w:rsidR="00000000" w:rsidRDefault="00000000">
            <w:pPr>
              <w:tabs>
                <w:tab w:val="left" w:pos="360"/>
                <w:tab w:val="left" w:pos="720"/>
                <w:tab w:val="left" w:pos="1080"/>
                <w:tab w:val="left" w:pos="1440"/>
              </w:tabs>
              <w:spacing w:before="60" w:after="60" w:line="204" w:lineRule="exact"/>
              <w:ind w:right="40"/>
              <w:rPr>
                <w:rFonts w:ascii="Times New Roman"/>
                <w:sz w:val="17"/>
                <w:szCs w:val="17"/>
              </w:rPr>
            </w:pPr>
            <w:r>
              <w:rPr>
                <w:rFonts w:hint="eastAsia"/>
                <w:sz w:val="17"/>
                <w:szCs w:val="17"/>
              </w:rPr>
              <w:t>从未上学</w:t>
            </w:r>
          </w:p>
        </w:tc>
        <w:tc>
          <w:tcPr>
            <w:tcW w:w="921" w:type="dxa"/>
            <w:tcBorders>
              <w:bottom w:val="single" w:sz="4" w:space="0" w:color="auto"/>
            </w:tcBorders>
          </w:tcPr>
          <w:p w:rsidR="00000000" w:rsidRDefault="00000000">
            <w:pPr>
              <w:spacing w:before="60" w:after="60" w:line="204" w:lineRule="exact"/>
              <w:ind w:right="57"/>
              <w:jc w:val="right"/>
              <w:rPr>
                <w:sz w:val="17"/>
                <w:szCs w:val="17"/>
                <w:lang w:val="fr-FR"/>
              </w:rPr>
            </w:pPr>
            <w:r>
              <w:rPr>
                <w:sz w:val="17"/>
                <w:szCs w:val="17"/>
                <w:lang w:val="fr-FR"/>
              </w:rPr>
              <w:t>26.802</w:t>
            </w:r>
          </w:p>
        </w:tc>
        <w:tc>
          <w:tcPr>
            <w:tcW w:w="921" w:type="dxa"/>
            <w:gridSpan w:val="2"/>
            <w:tcBorders>
              <w:bottom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12.8</w:t>
            </w:r>
          </w:p>
        </w:tc>
        <w:tc>
          <w:tcPr>
            <w:tcW w:w="921" w:type="dxa"/>
            <w:tcBorders>
              <w:bottom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9.027</w:t>
            </w:r>
          </w:p>
        </w:tc>
        <w:tc>
          <w:tcPr>
            <w:tcW w:w="922" w:type="dxa"/>
            <w:gridSpan w:val="2"/>
            <w:tcBorders>
              <w:bottom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8.9</w:t>
            </w:r>
          </w:p>
        </w:tc>
        <w:tc>
          <w:tcPr>
            <w:tcW w:w="921" w:type="dxa"/>
            <w:tcBorders>
              <w:bottom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17.775</w:t>
            </w:r>
          </w:p>
        </w:tc>
        <w:tc>
          <w:tcPr>
            <w:tcW w:w="921" w:type="dxa"/>
            <w:tcBorders>
              <w:bottom w:val="single" w:sz="4" w:space="0" w:color="auto"/>
            </w:tcBorders>
          </w:tcPr>
          <w:p w:rsidR="00000000" w:rsidRDefault="00000000">
            <w:pPr>
              <w:spacing w:before="60" w:after="60" w:line="204" w:lineRule="exact"/>
              <w:ind w:right="57"/>
              <w:jc w:val="right"/>
              <w:rPr>
                <w:sz w:val="17"/>
                <w:szCs w:val="17"/>
                <w:lang w:val="fr-FR"/>
              </w:rPr>
            </w:pPr>
            <w:r>
              <w:rPr>
                <w:sz w:val="17"/>
                <w:szCs w:val="17"/>
                <w:lang w:val="fr-FR"/>
              </w:rPr>
              <w:t>16.3</w:t>
            </w:r>
          </w:p>
        </w:tc>
      </w:tr>
      <w:tr w:rsidR="00000000">
        <w:tblPrEx>
          <w:tblCellMar>
            <w:top w:w="0" w:type="dxa"/>
            <w:bottom w:w="0" w:type="dxa"/>
          </w:tblCellMar>
        </w:tblPrEx>
        <w:trPr>
          <w:cantSplit/>
        </w:trPr>
        <w:tc>
          <w:tcPr>
            <w:tcW w:w="1844" w:type="dxa"/>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04" w:lineRule="exact"/>
              <w:ind w:right="40"/>
              <w:rPr>
                <w:rFonts w:ascii="SimHei" w:eastAsia="SimHei"/>
                <w:b/>
                <w:bCs/>
                <w:color w:val="FF0000"/>
                <w:sz w:val="17"/>
                <w:szCs w:val="17"/>
              </w:rPr>
            </w:pPr>
            <w:r>
              <w:rPr>
                <w:rFonts w:ascii="SimHei" w:eastAsia="SimHei" w:hint="eastAsia"/>
                <w:b/>
                <w:bCs/>
                <w:color w:val="FF0000"/>
                <w:sz w:val="17"/>
                <w:szCs w:val="17"/>
              </w:rPr>
              <w:t>农村</w:t>
            </w:r>
          </w:p>
        </w:tc>
        <w:tc>
          <w:tcPr>
            <w:tcW w:w="921" w:type="dxa"/>
            <w:tcBorders>
              <w:top w:val="single" w:sz="4"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177.657</w:t>
            </w:r>
          </w:p>
        </w:tc>
        <w:tc>
          <w:tcPr>
            <w:tcW w:w="921" w:type="dxa"/>
            <w:gridSpan w:val="2"/>
            <w:tcBorders>
              <w:top w:val="single" w:sz="4"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100</w:t>
            </w:r>
          </w:p>
        </w:tc>
        <w:tc>
          <w:tcPr>
            <w:tcW w:w="921" w:type="dxa"/>
            <w:tcBorders>
              <w:top w:val="single" w:sz="4"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84.332</w:t>
            </w:r>
          </w:p>
        </w:tc>
        <w:tc>
          <w:tcPr>
            <w:tcW w:w="922" w:type="dxa"/>
            <w:gridSpan w:val="2"/>
            <w:tcBorders>
              <w:top w:val="single" w:sz="4"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100</w:t>
            </w:r>
          </w:p>
        </w:tc>
        <w:tc>
          <w:tcPr>
            <w:tcW w:w="921" w:type="dxa"/>
            <w:tcBorders>
              <w:top w:val="single" w:sz="4"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93.325</w:t>
            </w:r>
          </w:p>
        </w:tc>
        <w:tc>
          <w:tcPr>
            <w:tcW w:w="921" w:type="dxa"/>
            <w:tcBorders>
              <w:top w:val="single" w:sz="4" w:space="0" w:color="auto"/>
              <w:bottom w:val="single" w:sz="4" w:space="0" w:color="auto"/>
            </w:tcBorders>
          </w:tcPr>
          <w:p w:rsidR="00000000" w:rsidRDefault="00000000">
            <w:pPr>
              <w:spacing w:before="60" w:after="60" w:line="204" w:lineRule="exact"/>
              <w:ind w:right="57"/>
              <w:jc w:val="right"/>
              <w:rPr>
                <w:rFonts w:ascii="SimHei" w:eastAsia="SimHei"/>
                <w:b/>
                <w:bCs/>
                <w:color w:val="FF0000"/>
                <w:sz w:val="17"/>
                <w:szCs w:val="17"/>
                <w:lang w:val="fr-FR"/>
              </w:rPr>
            </w:pPr>
            <w:r>
              <w:rPr>
                <w:rFonts w:ascii="SimHei" w:eastAsia="SimHei"/>
                <w:b/>
                <w:bCs/>
                <w:color w:val="FF0000"/>
                <w:sz w:val="17"/>
                <w:szCs w:val="17"/>
                <w:lang w:val="fr-FR"/>
              </w:rPr>
              <w:t>100</w:t>
            </w:r>
          </w:p>
        </w:tc>
      </w:tr>
      <w:tr w:rsidR="00000000">
        <w:tblPrEx>
          <w:tblCellMar>
            <w:top w:w="0" w:type="dxa"/>
            <w:bottom w:w="0" w:type="dxa"/>
          </w:tblCellMar>
        </w:tblPrEx>
        <w:trPr>
          <w:cantSplit/>
        </w:trPr>
        <w:tc>
          <w:tcPr>
            <w:tcW w:w="1844" w:type="dxa"/>
            <w:tcBorders>
              <w:top w:val="single" w:sz="4" w:space="0" w:color="auto"/>
            </w:tcBorders>
            <w:vAlign w:val="bottom"/>
          </w:tcPr>
          <w:p w:rsidR="00000000" w:rsidRDefault="00000000">
            <w:pPr>
              <w:tabs>
                <w:tab w:val="left" w:pos="360"/>
                <w:tab w:val="left" w:pos="720"/>
                <w:tab w:val="left" w:pos="1080"/>
                <w:tab w:val="left" w:pos="1440"/>
              </w:tabs>
              <w:spacing w:before="60" w:after="60" w:line="204" w:lineRule="exact"/>
              <w:ind w:right="40"/>
              <w:rPr>
                <w:rFonts w:ascii="Times New Roman"/>
                <w:sz w:val="17"/>
                <w:szCs w:val="17"/>
              </w:rPr>
            </w:pPr>
            <w:r>
              <w:rPr>
                <w:rFonts w:hint="eastAsia"/>
                <w:sz w:val="17"/>
                <w:szCs w:val="17"/>
              </w:rPr>
              <w:t>正在上学</w:t>
            </w:r>
          </w:p>
        </w:tc>
        <w:tc>
          <w:tcPr>
            <w:tcW w:w="921" w:type="dxa"/>
            <w:tcBorders>
              <w:top w:val="single" w:sz="4" w:space="0" w:color="auto"/>
            </w:tcBorders>
          </w:tcPr>
          <w:p w:rsidR="00000000" w:rsidRDefault="00000000">
            <w:pPr>
              <w:spacing w:before="60" w:after="60" w:line="204" w:lineRule="exact"/>
              <w:ind w:right="57"/>
              <w:jc w:val="right"/>
              <w:rPr>
                <w:sz w:val="17"/>
                <w:szCs w:val="17"/>
                <w:lang w:val="fr-FR"/>
              </w:rPr>
            </w:pPr>
            <w:r>
              <w:rPr>
                <w:sz w:val="17"/>
                <w:szCs w:val="17"/>
                <w:lang w:val="fr-FR"/>
              </w:rPr>
              <w:t>65.706</w:t>
            </w:r>
          </w:p>
        </w:tc>
        <w:tc>
          <w:tcPr>
            <w:tcW w:w="921" w:type="dxa"/>
            <w:gridSpan w:val="2"/>
            <w:tcBorders>
              <w:top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37.0</w:t>
            </w:r>
          </w:p>
        </w:tc>
        <w:tc>
          <w:tcPr>
            <w:tcW w:w="921" w:type="dxa"/>
            <w:tcBorders>
              <w:top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33.014</w:t>
            </w:r>
          </w:p>
        </w:tc>
        <w:tc>
          <w:tcPr>
            <w:tcW w:w="922" w:type="dxa"/>
            <w:gridSpan w:val="2"/>
            <w:tcBorders>
              <w:top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39.1</w:t>
            </w:r>
          </w:p>
        </w:tc>
        <w:tc>
          <w:tcPr>
            <w:tcW w:w="921" w:type="dxa"/>
            <w:tcBorders>
              <w:top w:val="single" w:sz="4"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32.692</w:t>
            </w:r>
          </w:p>
        </w:tc>
        <w:tc>
          <w:tcPr>
            <w:tcW w:w="921" w:type="dxa"/>
            <w:tcBorders>
              <w:top w:val="single" w:sz="4" w:space="0" w:color="auto"/>
            </w:tcBorders>
          </w:tcPr>
          <w:p w:rsidR="00000000" w:rsidRDefault="00000000">
            <w:pPr>
              <w:spacing w:before="60" w:after="60" w:line="204" w:lineRule="exact"/>
              <w:ind w:right="57"/>
              <w:jc w:val="right"/>
              <w:rPr>
                <w:sz w:val="17"/>
                <w:szCs w:val="17"/>
                <w:lang w:val="fr-FR"/>
              </w:rPr>
            </w:pPr>
            <w:r>
              <w:rPr>
                <w:sz w:val="17"/>
                <w:szCs w:val="17"/>
                <w:lang w:val="fr-FR"/>
              </w:rPr>
              <w:t>35.0</w:t>
            </w:r>
          </w:p>
        </w:tc>
      </w:tr>
      <w:tr w:rsidR="00000000">
        <w:tblPrEx>
          <w:tblCellMar>
            <w:top w:w="0" w:type="dxa"/>
            <w:bottom w:w="0" w:type="dxa"/>
          </w:tblCellMar>
        </w:tblPrEx>
        <w:trPr>
          <w:cantSplit/>
        </w:trPr>
        <w:tc>
          <w:tcPr>
            <w:tcW w:w="1844" w:type="dxa"/>
            <w:vAlign w:val="bottom"/>
          </w:tcPr>
          <w:p w:rsidR="00000000" w:rsidRDefault="00000000">
            <w:pPr>
              <w:tabs>
                <w:tab w:val="left" w:pos="360"/>
                <w:tab w:val="left" w:pos="720"/>
                <w:tab w:val="left" w:pos="1080"/>
                <w:tab w:val="left" w:pos="1440"/>
              </w:tabs>
              <w:spacing w:before="60" w:after="60" w:line="204" w:lineRule="exact"/>
              <w:ind w:right="40"/>
              <w:rPr>
                <w:rFonts w:ascii="Times New Roman"/>
                <w:sz w:val="17"/>
                <w:szCs w:val="17"/>
              </w:rPr>
            </w:pPr>
            <w:r>
              <w:rPr>
                <w:rFonts w:hint="eastAsia"/>
                <w:sz w:val="17"/>
                <w:szCs w:val="17"/>
              </w:rPr>
              <w:t>上过学</w:t>
            </w:r>
          </w:p>
        </w:tc>
        <w:tc>
          <w:tcPr>
            <w:tcW w:w="921" w:type="dxa"/>
          </w:tcPr>
          <w:p w:rsidR="00000000" w:rsidRDefault="00000000">
            <w:pPr>
              <w:spacing w:before="60" w:after="60" w:line="204" w:lineRule="exact"/>
              <w:ind w:right="57"/>
              <w:jc w:val="right"/>
              <w:rPr>
                <w:sz w:val="17"/>
                <w:szCs w:val="17"/>
                <w:lang w:val="fr-FR"/>
              </w:rPr>
            </w:pPr>
            <w:r>
              <w:rPr>
                <w:sz w:val="17"/>
                <w:szCs w:val="17"/>
                <w:lang w:val="fr-FR"/>
              </w:rPr>
              <w:t>72.999</w:t>
            </w:r>
          </w:p>
        </w:tc>
        <w:tc>
          <w:tcPr>
            <w:tcW w:w="921" w:type="dxa"/>
            <w:gridSpan w:val="2"/>
          </w:tcPr>
          <w:p w:rsidR="00000000" w:rsidRDefault="00000000">
            <w:pPr>
              <w:spacing w:before="60" w:after="60" w:line="204" w:lineRule="exact"/>
              <w:ind w:right="57"/>
              <w:jc w:val="right"/>
              <w:rPr>
                <w:bCs/>
                <w:sz w:val="17"/>
                <w:szCs w:val="17"/>
                <w:lang w:val="fr-FR"/>
              </w:rPr>
            </w:pPr>
            <w:r>
              <w:rPr>
                <w:bCs/>
                <w:sz w:val="17"/>
                <w:szCs w:val="17"/>
                <w:lang w:val="fr-FR"/>
              </w:rPr>
              <w:t>41.1</w:t>
            </w:r>
          </w:p>
        </w:tc>
        <w:tc>
          <w:tcPr>
            <w:tcW w:w="921" w:type="dxa"/>
          </w:tcPr>
          <w:p w:rsidR="00000000" w:rsidRDefault="00000000">
            <w:pPr>
              <w:spacing w:before="60" w:after="60" w:line="204" w:lineRule="exact"/>
              <w:ind w:right="57"/>
              <w:jc w:val="right"/>
              <w:rPr>
                <w:bCs/>
                <w:sz w:val="17"/>
                <w:szCs w:val="17"/>
                <w:lang w:val="fr-FR"/>
              </w:rPr>
            </w:pPr>
            <w:r>
              <w:rPr>
                <w:bCs/>
                <w:sz w:val="17"/>
                <w:szCs w:val="17"/>
                <w:lang w:val="fr-FR"/>
              </w:rPr>
              <w:t>37.685</w:t>
            </w:r>
          </w:p>
        </w:tc>
        <w:tc>
          <w:tcPr>
            <w:tcW w:w="922" w:type="dxa"/>
            <w:gridSpan w:val="2"/>
          </w:tcPr>
          <w:p w:rsidR="00000000" w:rsidRDefault="00000000">
            <w:pPr>
              <w:spacing w:before="60" w:after="60" w:line="204" w:lineRule="exact"/>
              <w:ind w:right="57"/>
              <w:jc w:val="right"/>
              <w:rPr>
                <w:bCs/>
                <w:sz w:val="17"/>
                <w:szCs w:val="17"/>
                <w:lang w:val="fr-FR"/>
              </w:rPr>
            </w:pPr>
            <w:r>
              <w:rPr>
                <w:bCs/>
                <w:sz w:val="17"/>
                <w:szCs w:val="17"/>
                <w:lang w:val="fr-FR"/>
              </w:rPr>
              <w:t>44.7</w:t>
            </w:r>
          </w:p>
        </w:tc>
        <w:tc>
          <w:tcPr>
            <w:tcW w:w="921" w:type="dxa"/>
          </w:tcPr>
          <w:p w:rsidR="00000000" w:rsidRDefault="00000000">
            <w:pPr>
              <w:spacing w:before="60" w:after="60" w:line="204" w:lineRule="exact"/>
              <w:ind w:right="57"/>
              <w:jc w:val="right"/>
              <w:rPr>
                <w:bCs/>
                <w:sz w:val="17"/>
                <w:szCs w:val="17"/>
                <w:lang w:val="fr-FR"/>
              </w:rPr>
            </w:pPr>
            <w:r>
              <w:rPr>
                <w:bCs/>
                <w:sz w:val="17"/>
                <w:szCs w:val="17"/>
                <w:lang w:val="fr-FR"/>
              </w:rPr>
              <w:t>35.314</w:t>
            </w:r>
          </w:p>
        </w:tc>
        <w:tc>
          <w:tcPr>
            <w:tcW w:w="921" w:type="dxa"/>
          </w:tcPr>
          <w:p w:rsidR="00000000" w:rsidRDefault="00000000">
            <w:pPr>
              <w:spacing w:before="60" w:after="60" w:line="204" w:lineRule="exact"/>
              <w:ind w:right="57"/>
              <w:jc w:val="right"/>
              <w:rPr>
                <w:sz w:val="17"/>
                <w:szCs w:val="17"/>
                <w:lang w:val="fr-FR"/>
              </w:rPr>
            </w:pPr>
            <w:r>
              <w:rPr>
                <w:sz w:val="17"/>
                <w:szCs w:val="17"/>
                <w:lang w:val="fr-FR"/>
              </w:rPr>
              <w:t>37.8</w:t>
            </w:r>
          </w:p>
        </w:tc>
      </w:tr>
      <w:tr w:rsidR="00000000">
        <w:tblPrEx>
          <w:tblCellMar>
            <w:top w:w="0" w:type="dxa"/>
            <w:bottom w:w="0" w:type="dxa"/>
          </w:tblCellMar>
        </w:tblPrEx>
        <w:trPr>
          <w:cantSplit/>
        </w:trPr>
        <w:tc>
          <w:tcPr>
            <w:tcW w:w="1844" w:type="dxa"/>
            <w:tcBorders>
              <w:bottom w:val="single" w:sz="12" w:space="0" w:color="auto"/>
            </w:tcBorders>
            <w:vAlign w:val="bottom"/>
          </w:tcPr>
          <w:p w:rsidR="00000000" w:rsidRDefault="00000000">
            <w:pPr>
              <w:tabs>
                <w:tab w:val="left" w:pos="360"/>
                <w:tab w:val="left" w:pos="720"/>
                <w:tab w:val="left" w:pos="1080"/>
                <w:tab w:val="left" w:pos="1440"/>
              </w:tabs>
              <w:spacing w:before="60" w:after="60" w:line="204" w:lineRule="exact"/>
              <w:ind w:right="40"/>
              <w:rPr>
                <w:rFonts w:ascii="Times New Roman"/>
                <w:sz w:val="17"/>
                <w:szCs w:val="17"/>
              </w:rPr>
            </w:pPr>
            <w:r>
              <w:rPr>
                <w:rFonts w:hint="eastAsia"/>
                <w:sz w:val="17"/>
                <w:szCs w:val="17"/>
              </w:rPr>
              <w:t>从未上学</w:t>
            </w:r>
          </w:p>
        </w:tc>
        <w:tc>
          <w:tcPr>
            <w:tcW w:w="921" w:type="dxa"/>
            <w:tcBorders>
              <w:bottom w:val="single" w:sz="12" w:space="0" w:color="auto"/>
            </w:tcBorders>
          </w:tcPr>
          <w:p w:rsidR="00000000" w:rsidRDefault="00000000">
            <w:pPr>
              <w:spacing w:before="60" w:after="60" w:line="204" w:lineRule="exact"/>
              <w:ind w:right="57"/>
              <w:jc w:val="right"/>
              <w:rPr>
                <w:sz w:val="17"/>
                <w:szCs w:val="17"/>
                <w:lang w:val="fr-FR"/>
              </w:rPr>
            </w:pPr>
            <w:r>
              <w:rPr>
                <w:sz w:val="17"/>
                <w:szCs w:val="17"/>
                <w:lang w:val="fr-FR"/>
              </w:rPr>
              <w:t>38.952</w:t>
            </w:r>
          </w:p>
        </w:tc>
        <w:tc>
          <w:tcPr>
            <w:tcW w:w="921" w:type="dxa"/>
            <w:gridSpan w:val="2"/>
            <w:tcBorders>
              <w:bottom w:val="single" w:sz="12"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21.9</w:t>
            </w:r>
          </w:p>
        </w:tc>
        <w:tc>
          <w:tcPr>
            <w:tcW w:w="921" w:type="dxa"/>
            <w:tcBorders>
              <w:bottom w:val="single" w:sz="12"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13.633</w:t>
            </w:r>
          </w:p>
        </w:tc>
        <w:tc>
          <w:tcPr>
            <w:tcW w:w="922" w:type="dxa"/>
            <w:gridSpan w:val="2"/>
            <w:tcBorders>
              <w:bottom w:val="single" w:sz="12"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16.2</w:t>
            </w:r>
          </w:p>
        </w:tc>
        <w:tc>
          <w:tcPr>
            <w:tcW w:w="921" w:type="dxa"/>
            <w:tcBorders>
              <w:bottom w:val="single" w:sz="12" w:space="0" w:color="auto"/>
            </w:tcBorders>
          </w:tcPr>
          <w:p w:rsidR="00000000" w:rsidRDefault="00000000">
            <w:pPr>
              <w:spacing w:before="60" w:after="60" w:line="204" w:lineRule="exact"/>
              <w:ind w:right="57"/>
              <w:jc w:val="right"/>
              <w:rPr>
                <w:bCs/>
                <w:sz w:val="17"/>
                <w:szCs w:val="17"/>
                <w:lang w:val="fr-FR"/>
              </w:rPr>
            </w:pPr>
            <w:r>
              <w:rPr>
                <w:bCs/>
                <w:sz w:val="17"/>
                <w:szCs w:val="17"/>
                <w:lang w:val="fr-FR"/>
              </w:rPr>
              <w:t>25.319</w:t>
            </w:r>
          </w:p>
        </w:tc>
        <w:tc>
          <w:tcPr>
            <w:tcW w:w="921" w:type="dxa"/>
            <w:tcBorders>
              <w:bottom w:val="single" w:sz="12" w:space="0" w:color="auto"/>
            </w:tcBorders>
          </w:tcPr>
          <w:p w:rsidR="00000000" w:rsidRDefault="00000000">
            <w:pPr>
              <w:spacing w:before="60" w:after="60" w:line="204" w:lineRule="exact"/>
              <w:ind w:right="57"/>
              <w:jc w:val="right"/>
              <w:rPr>
                <w:sz w:val="17"/>
                <w:szCs w:val="17"/>
                <w:lang w:val="fr-FR"/>
              </w:rPr>
            </w:pPr>
            <w:r>
              <w:rPr>
                <w:sz w:val="17"/>
                <w:szCs w:val="17"/>
                <w:lang w:val="fr-FR"/>
              </w:rPr>
              <w:t>27.1</w:t>
            </w:r>
          </w:p>
        </w:tc>
      </w:tr>
    </w:tbl>
    <w:p w:rsidR="00000000" w:rsidRDefault="00000000">
      <w:pPr>
        <w:pStyle w:val="SingleTxt"/>
        <w:spacing w:before="80" w:after="120"/>
        <w:rPr>
          <w:rFonts w:hint="eastAsia"/>
          <w:sz w:val="18"/>
        </w:rPr>
      </w:pPr>
      <w:r>
        <w:rPr>
          <w:rFonts w:ascii="KaiTi_GB2312" w:eastAsia="KaiTi_GB2312" w:hint="eastAsia"/>
          <w:color w:val="0000FF"/>
          <w:sz w:val="18"/>
        </w:rPr>
        <w:t>资料来源</w:t>
      </w:r>
      <w:r>
        <w:rPr>
          <w:rFonts w:hint="eastAsia"/>
          <w:sz w:val="18"/>
        </w:rPr>
        <w:t>：2000年普查，《教育》，第19页。</w:t>
      </w:r>
    </w:p>
    <w:p w:rsidR="00000000" w:rsidRDefault="00000000">
      <w:pPr>
        <w:pStyle w:val="SingleTxt"/>
        <w:rPr>
          <w:rFonts w:hint="eastAsia"/>
        </w:rPr>
      </w:pPr>
      <w:r>
        <w:rPr>
          <w:rFonts w:hint="eastAsia"/>
        </w:rPr>
        <w:tab/>
        <w:t>根据2000年普查数据，妇女识字率为67.2％，男子为83.5％；城市地区，妇女识字率为75.5％，男子为88.9％；农村妇女和男子的识字率分别为56.6％和76.1％。</w:t>
      </w:r>
    </w:p>
    <w:p w:rsidR="00000000" w:rsidRDefault="00000000">
      <w:pPr>
        <w:pStyle w:val="SingleTxt"/>
        <w:rPr>
          <w:rFonts w:hint="eastAsia"/>
        </w:rPr>
      </w:pPr>
      <w:r>
        <w:rPr>
          <w:rFonts w:hint="eastAsia"/>
        </w:rPr>
        <w:tab/>
        <w:t>经济情况见下表：</w:t>
      </w:r>
    </w:p>
    <w:p w:rsidR="00000000" w:rsidRDefault="00000000">
      <w:pPr>
        <w:pStyle w:val="SingleTxt"/>
        <w:rPr>
          <w:rFonts w:ascii="SimHei" w:eastAsia="SimHei" w:hint="eastAsia"/>
          <w:color w:val="FF0000"/>
        </w:rPr>
      </w:pPr>
      <w:r>
        <w:rPr>
          <w:rFonts w:ascii="SimHei" w:eastAsia="SimHei" w:hint="eastAsia"/>
          <w:color w:val="FF0000"/>
        </w:rPr>
        <w:t>按性别、住所（城市或农村）和年龄段分列的15岁以上人口的净就业率</w:t>
      </w: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bottom w:w="0" w:type="dxa"/>
          </w:tblCellMar>
        </w:tblPrEx>
        <w:trPr>
          <w:cantSplit/>
          <w:tblHeader/>
        </w:trPr>
        <w:tc>
          <w:tcPr>
            <w:tcW w:w="1830" w:type="dxa"/>
            <w:tcBorders>
              <w:top w:val="single" w:sz="4" w:space="0" w:color="auto"/>
              <w:bottom w:val="single" w:sz="12" w:space="0" w:color="auto"/>
            </w:tcBorders>
            <w:vAlign w:val="bottom"/>
          </w:tcPr>
          <w:p w:rsidR="00000000" w:rsidRDefault="00000000">
            <w:pPr>
              <w:tabs>
                <w:tab w:val="left" w:pos="360"/>
                <w:tab w:val="left" w:pos="720"/>
                <w:tab w:val="left" w:pos="1080"/>
                <w:tab w:val="left" w:pos="1440"/>
              </w:tabs>
              <w:spacing w:before="80" w:after="80" w:line="160" w:lineRule="exact"/>
              <w:ind w:right="40"/>
              <w:rPr>
                <w:rFonts w:eastAsia="KaiTi_GB2312" w:hint="eastAsia"/>
                <w:color w:val="0000FF"/>
                <w:sz w:val="14"/>
              </w:rPr>
            </w:pPr>
            <w:r>
              <w:rPr>
                <w:rFonts w:eastAsia="KaiTi_GB2312" w:hint="eastAsia"/>
                <w:color w:val="0000FF"/>
                <w:sz w:val="14"/>
              </w:rPr>
              <w:t>年龄段</w:t>
            </w:r>
          </w:p>
        </w:tc>
        <w:tc>
          <w:tcPr>
            <w:tcW w:w="1830" w:type="dxa"/>
            <w:tcBorders>
              <w:top w:val="single" w:sz="4" w:space="0" w:color="auto"/>
              <w:bottom w:val="single" w:sz="12" w:space="0" w:color="auto"/>
            </w:tcBorders>
            <w:vAlign w:val="bottom"/>
          </w:tcPr>
          <w:p w:rsidR="00000000" w:rsidRDefault="00000000">
            <w:pPr>
              <w:tabs>
                <w:tab w:val="left" w:pos="360"/>
                <w:tab w:val="left" w:pos="720"/>
                <w:tab w:val="left" w:pos="1080"/>
                <w:tab w:val="left" w:pos="1440"/>
              </w:tabs>
              <w:spacing w:before="80" w:after="80" w:line="160" w:lineRule="exact"/>
              <w:ind w:right="101"/>
              <w:jc w:val="right"/>
              <w:rPr>
                <w:rFonts w:eastAsia="KaiTi_GB2312" w:hint="eastAsia"/>
                <w:color w:val="0000FF"/>
                <w:sz w:val="14"/>
              </w:rPr>
            </w:pPr>
            <w:r>
              <w:rPr>
                <w:rFonts w:eastAsia="KaiTi_GB2312" w:hint="eastAsia"/>
                <w:color w:val="0000FF"/>
                <w:sz w:val="14"/>
              </w:rPr>
              <w:t>共计</w:t>
            </w:r>
          </w:p>
        </w:tc>
        <w:tc>
          <w:tcPr>
            <w:tcW w:w="1830" w:type="dxa"/>
            <w:tcBorders>
              <w:top w:val="single" w:sz="4" w:space="0" w:color="auto"/>
              <w:bottom w:val="single" w:sz="12" w:space="0" w:color="auto"/>
            </w:tcBorders>
            <w:vAlign w:val="bottom"/>
          </w:tcPr>
          <w:p w:rsidR="00000000" w:rsidRDefault="00000000">
            <w:pPr>
              <w:tabs>
                <w:tab w:val="left" w:pos="360"/>
                <w:tab w:val="left" w:pos="720"/>
                <w:tab w:val="left" w:pos="1080"/>
                <w:tab w:val="left" w:pos="1440"/>
              </w:tabs>
              <w:spacing w:before="80" w:after="80" w:line="160" w:lineRule="exact"/>
              <w:ind w:right="101"/>
              <w:jc w:val="right"/>
              <w:rPr>
                <w:rFonts w:eastAsia="KaiTi_GB2312" w:hint="eastAsia"/>
                <w:color w:val="0000FF"/>
                <w:sz w:val="14"/>
              </w:rPr>
            </w:pPr>
            <w:r>
              <w:rPr>
                <w:rFonts w:eastAsia="KaiTi_GB2312" w:hint="eastAsia"/>
                <w:color w:val="0000FF"/>
                <w:sz w:val="14"/>
              </w:rPr>
              <w:t>男性</w:t>
            </w:r>
          </w:p>
        </w:tc>
        <w:tc>
          <w:tcPr>
            <w:tcW w:w="1830" w:type="dxa"/>
            <w:tcBorders>
              <w:top w:val="single" w:sz="4" w:space="0" w:color="auto"/>
              <w:bottom w:val="single" w:sz="12" w:space="0" w:color="auto"/>
            </w:tcBorders>
            <w:vAlign w:val="bottom"/>
          </w:tcPr>
          <w:p w:rsidR="00000000" w:rsidRDefault="00000000">
            <w:pPr>
              <w:tabs>
                <w:tab w:val="left" w:pos="360"/>
                <w:tab w:val="left" w:pos="720"/>
                <w:tab w:val="left" w:pos="1080"/>
                <w:tab w:val="left" w:pos="1440"/>
              </w:tabs>
              <w:spacing w:before="80" w:after="80" w:line="160" w:lineRule="exact"/>
              <w:ind w:right="101"/>
              <w:jc w:val="right"/>
              <w:rPr>
                <w:rFonts w:eastAsia="KaiTi_GB2312" w:hint="eastAsia"/>
                <w:color w:val="0000FF"/>
                <w:sz w:val="14"/>
              </w:rPr>
            </w:pPr>
            <w:r>
              <w:rPr>
                <w:rFonts w:eastAsia="KaiTi_GB2312" w:hint="eastAsia"/>
                <w:color w:val="0000FF"/>
                <w:sz w:val="14"/>
              </w:rPr>
              <w:t>女性</w:t>
            </w:r>
          </w:p>
        </w:tc>
      </w:tr>
      <w:tr w:rsidR="00000000">
        <w:tblPrEx>
          <w:tblCellMar>
            <w:top w:w="0" w:type="dxa"/>
            <w:bottom w:w="0" w:type="dxa"/>
          </w:tblCellMar>
        </w:tblPrEx>
        <w:trPr>
          <w:cantSplit/>
          <w:trHeight w:hRule="exact" w:val="115"/>
          <w:tblHeader/>
        </w:trPr>
        <w:tc>
          <w:tcPr>
            <w:tcW w:w="1830" w:type="dxa"/>
            <w:tcBorders>
              <w:top w:val="single" w:sz="12" w:space="0" w:color="auto"/>
            </w:tcBorders>
            <w:vAlign w:val="bottom"/>
          </w:tcPr>
          <w:p w:rsidR="00000000" w:rsidRDefault="00000000">
            <w:pPr>
              <w:tabs>
                <w:tab w:val="left" w:pos="360"/>
                <w:tab w:val="left" w:pos="720"/>
                <w:tab w:val="left" w:pos="1080"/>
                <w:tab w:val="left" w:pos="1440"/>
              </w:tabs>
              <w:spacing w:before="40" w:after="60" w:line="280" w:lineRule="exact"/>
              <w:ind w:right="40"/>
              <w:rPr>
                <w:rFonts w:hint="eastAsia"/>
                <w:sz w:val="17"/>
              </w:rPr>
            </w:pPr>
          </w:p>
        </w:tc>
        <w:tc>
          <w:tcPr>
            <w:tcW w:w="1830" w:type="dxa"/>
            <w:tcBorders>
              <w:top w:val="single" w:sz="12" w:space="0" w:color="auto"/>
            </w:tcBorders>
            <w:vAlign w:val="bottom"/>
          </w:tcPr>
          <w:p w:rsidR="00000000" w:rsidRDefault="00000000">
            <w:pPr>
              <w:tabs>
                <w:tab w:val="left" w:pos="360"/>
                <w:tab w:val="left" w:pos="720"/>
                <w:tab w:val="left" w:pos="1080"/>
                <w:tab w:val="left" w:pos="1440"/>
              </w:tabs>
              <w:spacing w:before="40" w:after="60" w:line="280" w:lineRule="exact"/>
              <w:ind w:right="101"/>
              <w:jc w:val="right"/>
              <w:rPr>
                <w:rFonts w:hint="eastAsia"/>
                <w:sz w:val="17"/>
              </w:rPr>
            </w:pPr>
          </w:p>
        </w:tc>
        <w:tc>
          <w:tcPr>
            <w:tcW w:w="1830" w:type="dxa"/>
            <w:tcBorders>
              <w:top w:val="single" w:sz="12" w:space="0" w:color="auto"/>
            </w:tcBorders>
            <w:vAlign w:val="bottom"/>
          </w:tcPr>
          <w:p w:rsidR="00000000" w:rsidRDefault="00000000">
            <w:pPr>
              <w:tabs>
                <w:tab w:val="left" w:pos="360"/>
                <w:tab w:val="left" w:pos="720"/>
                <w:tab w:val="left" w:pos="1080"/>
                <w:tab w:val="left" w:pos="1440"/>
              </w:tabs>
              <w:spacing w:before="40" w:after="60" w:line="280" w:lineRule="exact"/>
              <w:ind w:right="101"/>
              <w:jc w:val="right"/>
              <w:rPr>
                <w:rFonts w:hint="eastAsia"/>
                <w:sz w:val="17"/>
              </w:rPr>
            </w:pPr>
          </w:p>
        </w:tc>
        <w:tc>
          <w:tcPr>
            <w:tcW w:w="1830" w:type="dxa"/>
            <w:tcBorders>
              <w:top w:val="single" w:sz="12" w:space="0" w:color="auto"/>
            </w:tcBorders>
            <w:vAlign w:val="bottom"/>
          </w:tcPr>
          <w:p w:rsidR="00000000" w:rsidRDefault="00000000">
            <w:pPr>
              <w:tabs>
                <w:tab w:val="left" w:pos="360"/>
                <w:tab w:val="left" w:pos="720"/>
                <w:tab w:val="left" w:pos="1080"/>
                <w:tab w:val="left" w:pos="1440"/>
              </w:tabs>
              <w:spacing w:before="40" w:after="60" w:line="280" w:lineRule="exact"/>
              <w:ind w:right="101"/>
              <w:jc w:val="right"/>
              <w:rPr>
                <w:rFonts w:hint="eastAsia"/>
                <w:sz w:val="17"/>
              </w:rPr>
            </w:pPr>
          </w:p>
        </w:tc>
      </w:tr>
      <w:tr w:rsidR="00000000">
        <w:tblPrEx>
          <w:tblCellMar>
            <w:top w:w="0" w:type="dxa"/>
            <w:bottom w:w="0" w:type="dxa"/>
          </w:tblCellMar>
        </w:tblPrEx>
        <w:trPr>
          <w:cantSplit/>
        </w:trPr>
        <w:tc>
          <w:tcPr>
            <w:tcW w:w="1830" w:type="dxa"/>
            <w:tcBorders>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rPr>
                <w:rFonts w:ascii="SimHei" w:eastAsia="SimHei" w:hint="eastAsia"/>
                <w:b/>
                <w:bCs/>
                <w:color w:val="FF0000"/>
                <w:sz w:val="17"/>
              </w:rPr>
            </w:pPr>
            <w:r>
              <w:rPr>
                <w:rFonts w:ascii="SimHei" w:eastAsia="SimHei" w:hint="eastAsia"/>
                <w:b/>
                <w:bCs/>
                <w:color w:val="FF0000"/>
                <w:sz w:val="17"/>
              </w:rPr>
              <w:t>总就业率</w:t>
            </w:r>
          </w:p>
        </w:tc>
        <w:tc>
          <w:tcPr>
            <w:tcW w:w="1830" w:type="dxa"/>
            <w:tcBorders>
              <w:bottom w:val="single" w:sz="4" w:space="0" w:color="auto"/>
            </w:tcBorders>
          </w:tcPr>
          <w:p w:rsidR="00000000" w:rsidRDefault="00000000">
            <w:pPr>
              <w:spacing w:before="60" w:after="60" w:line="240" w:lineRule="exact"/>
              <w:ind w:right="57"/>
              <w:jc w:val="right"/>
              <w:rPr>
                <w:rFonts w:ascii="SimHei" w:eastAsia="SimHei"/>
                <w:b/>
                <w:bCs/>
                <w:color w:val="FF0000"/>
                <w:sz w:val="17"/>
                <w:szCs w:val="17"/>
                <w:lang w:val="fr-FR"/>
              </w:rPr>
            </w:pPr>
            <w:r>
              <w:rPr>
                <w:rFonts w:ascii="SimHei" w:eastAsia="SimHei"/>
                <w:b/>
                <w:bCs/>
                <w:color w:val="FF0000"/>
                <w:sz w:val="17"/>
                <w:szCs w:val="17"/>
                <w:lang w:val="fr-FR"/>
              </w:rPr>
              <w:t>68.9</w:t>
            </w:r>
          </w:p>
        </w:tc>
        <w:tc>
          <w:tcPr>
            <w:tcW w:w="1830" w:type="dxa"/>
            <w:tcBorders>
              <w:bottom w:val="single" w:sz="4" w:space="0" w:color="auto"/>
            </w:tcBorders>
          </w:tcPr>
          <w:p w:rsidR="00000000" w:rsidRDefault="00000000">
            <w:pPr>
              <w:spacing w:before="60" w:after="60" w:line="240" w:lineRule="exact"/>
              <w:ind w:right="57"/>
              <w:jc w:val="right"/>
              <w:rPr>
                <w:rFonts w:ascii="SimHei" w:eastAsia="SimHei"/>
                <w:b/>
                <w:bCs/>
                <w:color w:val="FF0000"/>
                <w:sz w:val="17"/>
                <w:szCs w:val="17"/>
                <w:lang w:val="fr-FR"/>
              </w:rPr>
            </w:pPr>
            <w:r>
              <w:rPr>
                <w:rFonts w:ascii="SimHei" w:eastAsia="SimHei"/>
                <w:b/>
                <w:bCs/>
                <w:color w:val="FF0000"/>
                <w:sz w:val="17"/>
                <w:szCs w:val="17"/>
                <w:lang w:val="fr-FR"/>
              </w:rPr>
              <w:t>74.4</w:t>
            </w:r>
          </w:p>
        </w:tc>
        <w:tc>
          <w:tcPr>
            <w:tcW w:w="1830" w:type="dxa"/>
            <w:tcBorders>
              <w:bottom w:val="single" w:sz="4" w:space="0" w:color="auto"/>
            </w:tcBorders>
          </w:tcPr>
          <w:p w:rsidR="00000000" w:rsidRDefault="00000000">
            <w:pPr>
              <w:spacing w:before="60" w:after="60" w:line="240" w:lineRule="exact"/>
              <w:ind w:right="57"/>
              <w:jc w:val="right"/>
              <w:rPr>
                <w:rFonts w:ascii="SimHei" w:eastAsia="SimHei"/>
                <w:b/>
                <w:bCs/>
                <w:color w:val="FF0000"/>
                <w:sz w:val="17"/>
                <w:szCs w:val="17"/>
                <w:lang w:val="fr-FR"/>
              </w:rPr>
            </w:pPr>
            <w:r>
              <w:rPr>
                <w:rFonts w:ascii="SimHei" w:eastAsia="SimHei"/>
                <w:b/>
                <w:bCs/>
                <w:color w:val="FF0000"/>
                <w:sz w:val="17"/>
                <w:szCs w:val="17"/>
                <w:lang w:val="fr-FR"/>
              </w:rPr>
              <w:t>64.1</w:t>
            </w:r>
          </w:p>
        </w:tc>
      </w:tr>
      <w:tr w:rsidR="00000000">
        <w:tblPrEx>
          <w:tblCellMar>
            <w:top w:w="0" w:type="dxa"/>
            <w:bottom w:w="0" w:type="dxa"/>
          </w:tblCellMar>
        </w:tblPrEx>
        <w:trPr>
          <w:cantSplit/>
        </w:trPr>
        <w:tc>
          <w:tcPr>
            <w:tcW w:w="1830" w:type="dxa"/>
            <w:tcBorders>
              <w:top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15-24岁</w:t>
            </w:r>
          </w:p>
        </w:tc>
        <w:tc>
          <w:tcPr>
            <w:tcW w:w="1830" w:type="dxa"/>
            <w:tcBorders>
              <w:top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55.9</w:t>
            </w:r>
          </w:p>
        </w:tc>
        <w:tc>
          <w:tcPr>
            <w:tcW w:w="1830" w:type="dxa"/>
            <w:tcBorders>
              <w:top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58.5</w:t>
            </w:r>
          </w:p>
        </w:tc>
        <w:tc>
          <w:tcPr>
            <w:tcW w:w="1830" w:type="dxa"/>
            <w:tcBorders>
              <w:top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53.3</w:t>
            </w:r>
          </w:p>
        </w:tc>
      </w:tr>
      <w:tr w:rsidR="00000000">
        <w:tblPrEx>
          <w:tblCellMar>
            <w:top w:w="0" w:type="dxa"/>
            <w:bottom w:w="0" w:type="dxa"/>
          </w:tblCellMar>
        </w:tblPrEx>
        <w:trPr>
          <w:cantSplit/>
        </w:trPr>
        <w:tc>
          <w:tcPr>
            <w:tcW w:w="1830" w:type="dxa"/>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25-44岁</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89.4</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94.2</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85.0</w:t>
            </w:r>
          </w:p>
        </w:tc>
      </w:tr>
      <w:tr w:rsidR="00000000">
        <w:tblPrEx>
          <w:tblCellMar>
            <w:top w:w="0" w:type="dxa"/>
            <w:bottom w:w="0" w:type="dxa"/>
          </w:tblCellMar>
        </w:tblPrEx>
        <w:trPr>
          <w:cantSplit/>
        </w:trPr>
        <w:tc>
          <w:tcPr>
            <w:tcW w:w="1830" w:type="dxa"/>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45-64岁</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70.6</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80.7</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63.9</w:t>
            </w:r>
          </w:p>
        </w:tc>
      </w:tr>
      <w:tr w:rsidR="00000000">
        <w:tblPrEx>
          <w:tblCellMar>
            <w:top w:w="0" w:type="dxa"/>
            <w:bottom w:w="0" w:type="dxa"/>
          </w:tblCellMar>
        </w:tblPrEx>
        <w:trPr>
          <w:cantSplit/>
        </w:trPr>
        <w:tc>
          <w:tcPr>
            <w:tcW w:w="1830" w:type="dxa"/>
            <w:tcBorders>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65岁以上</w:t>
            </w:r>
          </w:p>
        </w:tc>
        <w:tc>
          <w:tcPr>
            <w:tcW w:w="1830" w:type="dxa"/>
            <w:tcBorders>
              <w:bottom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31.1</w:t>
            </w:r>
          </w:p>
        </w:tc>
        <w:tc>
          <w:tcPr>
            <w:tcW w:w="1830" w:type="dxa"/>
            <w:tcBorders>
              <w:bottom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41.7</w:t>
            </w:r>
          </w:p>
        </w:tc>
        <w:tc>
          <w:tcPr>
            <w:tcW w:w="1830" w:type="dxa"/>
            <w:tcBorders>
              <w:bottom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23.3</w:t>
            </w:r>
          </w:p>
        </w:tc>
      </w:tr>
      <w:tr w:rsidR="00000000">
        <w:tblPrEx>
          <w:tblCellMar>
            <w:top w:w="0" w:type="dxa"/>
            <w:bottom w:w="0" w:type="dxa"/>
          </w:tblCellMar>
        </w:tblPrEx>
        <w:trPr>
          <w:cantSplit/>
        </w:trPr>
        <w:tc>
          <w:tcPr>
            <w:tcW w:w="1830" w:type="dxa"/>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rPr>
                <w:rFonts w:eastAsia="KaiTi_GB2312" w:hint="eastAsia"/>
                <w:color w:val="0000FF"/>
                <w:sz w:val="14"/>
              </w:rPr>
            </w:pPr>
            <w:r>
              <w:rPr>
                <w:rFonts w:eastAsia="KaiTi_GB2312" w:hint="eastAsia"/>
                <w:color w:val="0000FF"/>
                <w:sz w:val="14"/>
              </w:rPr>
              <w:t>城市</w:t>
            </w:r>
          </w:p>
        </w:tc>
        <w:tc>
          <w:tcPr>
            <w:tcW w:w="1830" w:type="dxa"/>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jc w:val="right"/>
              <w:rPr>
                <w:rFonts w:eastAsia="KaiTi_GB2312" w:hint="eastAsia"/>
                <w:color w:val="0000FF"/>
                <w:sz w:val="14"/>
              </w:rPr>
            </w:pPr>
            <w:r>
              <w:rPr>
                <w:rFonts w:eastAsia="KaiTi_GB2312" w:hint="eastAsia"/>
                <w:color w:val="0000FF"/>
                <w:sz w:val="14"/>
              </w:rPr>
              <w:t>共计</w:t>
            </w:r>
          </w:p>
        </w:tc>
        <w:tc>
          <w:tcPr>
            <w:tcW w:w="1830" w:type="dxa"/>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jc w:val="right"/>
              <w:rPr>
                <w:rFonts w:eastAsia="KaiTi_GB2312" w:hint="eastAsia"/>
                <w:color w:val="0000FF"/>
                <w:sz w:val="14"/>
              </w:rPr>
            </w:pPr>
            <w:r>
              <w:rPr>
                <w:rFonts w:eastAsia="KaiTi_GB2312" w:hint="eastAsia"/>
                <w:color w:val="0000FF"/>
                <w:sz w:val="14"/>
              </w:rPr>
              <w:t>男性</w:t>
            </w:r>
          </w:p>
        </w:tc>
        <w:tc>
          <w:tcPr>
            <w:tcW w:w="1830" w:type="dxa"/>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jc w:val="right"/>
              <w:rPr>
                <w:rFonts w:eastAsia="KaiTi_GB2312" w:hint="eastAsia"/>
                <w:color w:val="0000FF"/>
                <w:sz w:val="14"/>
              </w:rPr>
            </w:pPr>
            <w:r>
              <w:rPr>
                <w:rFonts w:eastAsia="KaiTi_GB2312" w:hint="eastAsia"/>
                <w:color w:val="0000FF"/>
                <w:sz w:val="14"/>
              </w:rPr>
              <w:t>女性</w:t>
            </w:r>
          </w:p>
        </w:tc>
      </w:tr>
      <w:tr w:rsidR="00000000">
        <w:tblPrEx>
          <w:tblCellMar>
            <w:top w:w="0" w:type="dxa"/>
            <w:bottom w:w="0" w:type="dxa"/>
          </w:tblCellMar>
        </w:tblPrEx>
        <w:trPr>
          <w:cantSplit/>
        </w:trPr>
        <w:tc>
          <w:tcPr>
            <w:tcW w:w="1830" w:type="dxa"/>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rPr>
                <w:rFonts w:ascii="SimHei" w:eastAsia="SimHei" w:hint="eastAsia"/>
                <w:b/>
                <w:bCs/>
                <w:color w:val="FF0000"/>
                <w:sz w:val="17"/>
              </w:rPr>
            </w:pPr>
            <w:r>
              <w:rPr>
                <w:rFonts w:ascii="SimHei" w:eastAsia="SimHei" w:hint="eastAsia"/>
                <w:b/>
                <w:bCs/>
                <w:color w:val="FF0000"/>
                <w:sz w:val="17"/>
              </w:rPr>
              <w:t>共计</w:t>
            </w:r>
          </w:p>
        </w:tc>
        <w:tc>
          <w:tcPr>
            <w:tcW w:w="1830" w:type="dxa"/>
            <w:tcBorders>
              <w:top w:val="single" w:sz="4" w:space="0" w:color="auto"/>
              <w:bottom w:val="single" w:sz="4" w:space="0" w:color="auto"/>
            </w:tcBorders>
          </w:tcPr>
          <w:p w:rsidR="00000000" w:rsidRDefault="00000000">
            <w:pPr>
              <w:spacing w:before="60" w:after="60" w:line="240" w:lineRule="exact"/>
              <w:ind w:right="57"/>
              <w:jc w:val="right"/>
              <w:rPr>
                <w:rFonts w:ascii="SimHei" w:eastAsia="SimHei"/>
                <w:b/>
                <w:bCs/>
                <w:color w:val="FF0000"/>
                <w:sz w:val="17"/>
                <w:szCs w:val="17"/>
                <w:lang w:val="fr-FR"/>
              </w:rPr>
            </w:pPr>
            <w:r>
              <w:rPr>
                <w:rFonts w:ascii="SimHei" w:eastAsia="SimHei"/>
                <w:b/>
                <w:bCs/>
                <w:color w:val="FF0000"/>
                <w:sz w:val="17"/>
                <w:szCs w:val="17"/>
                <w:lang w:val="fr-FR"/>
              </w:rPr>
              <w:t>67.5</w:t>
            </w:r>
          </w:p>
        </w:tc>
        <w:tc>
          <w:tcPr>
            <w:tcW w:w="1830" w:type="dxa"/>
            <w:tcBorders>
              <w:top w:val="single" w:sz="4" w:space="0" w:color="auto"/>
              <w:bottom w:val="single" w:sz="4" w:space="0" w:color="auto"/>
            </w:tcBorders>
          </w:tcPr>
          <w:p w:rsidR="00000000" w:rsidRDefault="00000000">
            <w:pPr>
              <w:spacing w:before="60" w:after="60" w:line="240" w:lineRule="exact"/>
              <w:ind w:right="57"/>
              <w:jc w:val="right"/>
              <w:rPr>
                <w:rFonts w:ascii="SimHei" w:eastAsia="SimHei"/>
                <w:b/>
                <w:bCs/>
                <w:color w:val="FF0000"/>
                <w:sz w:val="17"/>
                <w:szCs w:val="17"/>
                <w:lang w:val="fr-FR"/>
              </w:rPr>
            </w:pPr>
            <w:r>
              <w:rPr>
                <w:rFonts w:ascii="SimHei" w:eastAsia="SimHei"/>
                <w:b/>
                <w:bCs/>
                <w:color w:val="FF0000"/>
                <w:sz w:val="17"/>
                <w:szCs w:val="17"/>
                <w:lang w:val="fr-FR"/>
              </w:rPr>
              <w:t>73.3</w:t>
            </w:r>
          </w:p>
        </w:tc>
        <w:tc>
          <w:tcPr>
            <w:tcW w:w="1830" w:type="dxa"/>
            <w:tcBorders>
              <w:top w:val="single" w:sz="4" w:space="0" w:color="auto"/>
              <w:bottom w:val="single" w:sz="4" w:space="0" w:color="auto"/>
            </w:tcBorders>
          </w:tcPr>
          <w:p w:rsidR="00000000" w:rsidRDefault="00000000">
            <w:pPr>
              <w:spacing w:before="60" w:after="60" w:line="240" w:lineRule="exact"/>
              <w:ind w:right="57"/>
              <w:jc w:val="right"/>
              <w:rPr>
                <w:rFonts w:ascii="SimHei" w:eastAsia="SimHei"/>
                <w:b/>
                <w:bCs/>
                <w:color w:val="FF0000"/>
                <w:sz w:val="17"/>
                <w:szCs w:val="17"/>
                <w:lang w:val="fr-FR"/>
              </w:rPr>
            </w:pPr>
            <w:r>
              <w:rPr>
                <w:rFonts w:ascii="SimHei" w:eastAsia="SimHei"/>
                <w:b/>
                <w:bCs/>
                <w:color w:val="FF0000"/>
                <w:sz w:val="17"/>
                <w:szCs w:val="17"/>
                <w:lang w:val="fr-FR"/>
              </w:rPr>
              <w:t>62.3</w:t>
            </w:r>
          </w:p>
        </w:tc>
      </w:tr>
      <w:tr w:rsidR="00000000">
        <w:tblPrEx>
          <w:tblCellMar>
            <w:top w:w="0" w:type="dxa"/>
            <w:bottom w:w="0" w:type="dxa"/>
          </w:tblCellMar>
        </w:tblPrEx>
        <w:trPr>
          <w:cantSplit/>
        </w:trPr>
        <w:tc>
          <w:tcPr>
            <w:tcW w:w="1830" w:type="dxa"/>
            <w:tcBorders>
              <w:top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15-24岁</w:t>
            </w:r>
          </w:p>
        </w:tc>
        <w:tc>
          <w:tcPr>
            <w:tcW w:w="1830" w:type="dxa"/>
            <w:tcBorders>
              <w:top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50.9</w:t>
            </w:r>
          </w:p>
        </w:tc>
        <w:tc>
          <w:tcPr>
            <w:tcW w:w="1830" w:type="dxa"/>
            <w:tcBorders>
              <w:top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53.3</w:t>
            </w:r>
          </w:p>
        </w:tc>
        <w:tc>
          <w:tcPr>
            <w:tcW w:w="1830" w:type="dxa"/>
            <w:tcBorders>
              <w:top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48.6</w:t>
            </w:r>
          </w:p>
        </w:tc>
      </w:tr>
      <w:tr w:rsidR="00000000">
        <w:tblPrEx>
          <w:tblCellMar>
            <w:top w:w="0" w:type="dxa"/>
            <w:bottom w:w="0" w:type="dxa"/>
          </w:tblCellMar>
        </w:tblPrEx>
        <w:trPr>
          <w:cantSplit/>
        </w:trPr>
        <w:tc>
          <w:tcPr>
            <w:tcW w:w="1830" w:type="dxa"/>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25-44岁</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89.7</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94.4</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85.1</w:t>
            </w:r>
          </w:p>
        </w:tc>
      </w:tr>
      <w:tr w:rsidR="00000000">
        <w:tblPrEx>
          <w:tblCellMar>
            <w:top w:w="0" w:type="dxa"/>
            <w:bottom w:w="0" w:type="dxa"/>
          </w:tblCellMar>
        </w:tblPrEx>
        <w:trPr>
          <w:cantSplit/>
        </w:trPr>
        <w:tc>
          <w:tcPr>
            <w:tcW w:w="1830" w:type="dxa"/>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45-64岁</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68.3</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79.8</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59.5</w:t>
            </w:r>
          </w:p>
        </w:tc>
      </w:tr>
      <w:tr w:rsidR="00000000">
        <w:tblPrEx>
          <w:tblCellMar>
            <w:top w:w="0" w:type="dxa"/>
            <w:bottom w:w="0" w:type="dxa"/>
          </w:tblCellMar>
        </w:tblPrEx>
        <w:trPr>
          <w:cantSplit/>
        </w:trPr>
        <w:tc>
          <w:tcPr>
            <w:tcW w:w="1830" w:type="dxa"/>
            <w:tcBorders>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65岁以上</w:t>
            </w:r>
          </w:p>
        </w:tc>
        <w:tc>
          <w:tcPr>
            <w:tcW w:w="1830" w:type="dxa"/>
            <w:tcBorders>
              <w:bottom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20.8</w:t>
            </w:r>
          </w:p>
        </w:tc>
        <w:tc>
          <w:tcPr>
            <w:tcW w:w="1830" w:type="dxa"/>
            <w:tcBorders>
              <w:bottom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28.0</w:t>
            </w:r>
          </w:p>
        </w:tc>
        <w:tc>
          <w:tcPr>
            <w:tcW w:w="1830" w:type="dxa"/>
            <w:tcBorders>
              <w:bottom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16.2</w:t>
            </w:r>
          </w:p>
        </w:tc>
      </w:tr>
      <w:tr w:rsidR="00000000">
        <w:tblPrEx>
          <w:tblCellMar>
            <w:top w:w="0" w:type="dxa"/>
            <w:bottom w:w="0" w:type="dxa"/>
          </w:tblCellMar>
        </w:tblPrEx>
        <w:trPr>
          <w:cantSplit/>
        </w:trPr>
        <w:tc>
          <w:tcPr>
            <w:tcW w:w="1830" w:type="dxa"/>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rPr>
                <w:rFonts w:eastAsia="KaiTi_GB2312" w:hint="eastAsia"/>
                <w:color w:val="0000FF"/>
                <w:sz w:val="14"/>
              </w:rPr>
            </w:pPr>
            <w:r>
              <w:rPr>
                <w:rFonts w:eastAsia="KaiTi_GB2312" w:hint="eastAsia"/>
                <w:color w:val="0000FF"/>
                <w:sz w:val="14"/>
              </w:rPr>
              <w:t>农村</w:t>
            </w:r>
          </w:p>
        </w:tc>
        <w:tc>
          <w:tcPr>
            <w:tcW w:w="1830" w:type="dxa"/>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jc w:val="right"/>
              <w:rPr>
                <w:rFonts w:eastAsia="KaiTi_GB2312" w:hint="eastAsia"/>
                <w:color w:val="0000FF"/>
                <w:sz w:val="14"/>
              </w:rPr>
            </w:pPr>
            <w:r>
              <w:rPr>
                <w:rFonts w:eastAsia="KaiTi_GB2312" w:hint="eastAsia"/>
                <w:color w:val="0000FF"/>
                <w:sz w:val="14"/>
              </w:rPr>
              <w:t>共计</w:t>
            </w:r>
          </w:p>
        </w:tc>
        <w:tc>
          <w:tcPr>
            <w:tcW w:w="1830" w:type="dxa"/>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jc w:val="right"/>
              <w:rPr>
                <w:rFonts w:eastAsia="KaiTi_GB2312" w:hint="eastAsia"/>
                <w:color w:val="0000FF"/>
                <w:sz w:val="14"/>
              </w:rPr>
            </w:pPr>
            <w:r>
              <w:rPr>
                <w:rFonts w:eastAsia="KaiTi_GB2312" w:hint="eastAsia"/>
                <w:color w:val="0000FF"/>
                <w:sz w:val="14"/>
              </w:rPr>
              <w:t>男性</w:t>
            </w:r>
          </w:p>
        </w:tc>
        <w:tc>
          <w:tcPr>
            <w:tcW w:w="1830" w:type="dxa"/>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jc w:val="right"/>
              <w:rPr>
                <w:rFonts w:eastAsia="KaiTi_GB2312" w:hint="eastAsia"/>
                <w:color w:val="0000FF"/>
                <w:sz w:val="14"/>
              </w:rPr>
            </w:pPr>
            <w:r>
              <w:rPr>
                <w:rFonts w:eastAsia="KaiTi_GB2312" w:hint="eastAsia"/>
                <w:color w:val="0000FF"/>
                <w:sz w:val="14"/>
              </w:rPr>
              <w:t>女性</w:t>
            </w:r>
          </w:p>
        </w:tc>
      </w:tr>
      <w:tr w:rsidR="00000000">
        <w:tblPrEx>
          <w:tblCellMar>
            <w:top w:w="0" w:type="dxa"/>
            <w:bottom w:w="0" w:type="dxa"/>
          </w:tblCellMar>
        </w:tblPrEx>
        <w:trPr>
          <w:cantSplit/>
        </w:trPr>
        <w:tc>
          <w:tcPr>
            <w:tcW w:w="1830" w:type="dxa"/>
            <w:tcBorders>
              <w:top w:val="single" w:sz="4" w:space="0" w:color="auto"/>
              <w:bottom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rPr>
                <w:rFonts w:ascii="SimHei" w:eastAsia="SimHei" w:hint="eastAsia"/>
                <w:b/>
                <w:bCs/>
                <w:color w:val="FF0000"/>
                <w:sz w:val="17"/>
              </w:rPr>
            </w:pPr>
            <w:r>
              <w:rPr>
                <w:rFonts w:ascii="SimHei" w:eastAsia="SimHei" w:hint="eastAsia"/>
                <w:b/>
                <w:bCs/>
                <w:color w:val="FF0000"/>
                <w:sz w:val="17"/>
              </w:rPr>
              <w:t>共计</w:t>
            </w:r>
          </w:p>
        </w:tc>
        <w:tc>
          <w:tcPr>
            <w:tcW w:w="1830" w:type="dxa"/>
            <w:tcBorders>
              <w:top w:val="single" w:sz="4" w:space="0" w:color="auto"/>
              <w:bottom w:val="single" w:sz="4" w:space="0" w:color="auto"/>
            </w:tcBorders>
          </w:tcPr>
          <w:p w:rsidR="00000000" w:rsidRDefault="00000000">
            <w:pPr>
              <w:spacing w:before="60" w:after="60" w:line="240" w:lineRule="exact"/>
              <w:ind w:right="57"/>
              <w:jc w:val="right"/>
              <w:rPr>
                <w:rFonts w:ascii="SimHei" w:eastAsia="SimHei"/>
                <w:b/>
                <w:bCs/>
                <w:color w:val="FF0000"/>
                <w:sz w:val="17"/>
                <w:szCs w:val="17"/>
                <w:lang w:val="fr-FR"/>
              </w:rPr>
            </w:pPr>
            <w:r>
              <w:rPr>
                <w:rFonts w:ascii="SimHei" w:eastAsia="SimHei"/>
                <w:b/>
                <w:bCs/>
                <w:color w:val="FF0000"/>
                <w:sz w:val="17"/>
                <w:szCs w:val="17"/>
                <w:lang w:val="fr-FR"/>
              </w:rPr>
              <w:t>70.7</w:t>
            </w:r>
          </w:p>
        </w:tc>
        <w:tc>
          <w:tcPr>
            <w:tcW w:w="1830" w:type="dxa"/>
            <w:tcBorders>
              <w:top w:val="single" w:sz="4" w:space="0" w:color="auto"/>
              <w:bottom w:val="single" w:sz="4" w:space="0" w:color="auto"/>
            </w:tcBorders>
          </w:tcPr>
          <w:p w:rsidR="00000000" w:rsidRDefault="00000000">
            <w:pPr>
              <w:spacing w:before="60" w:after="60" w:line="240" w:lineRule="exact"/>
              <w:ind w:right="57"/>
              <w:jc w:val="right"/>
              <w:rPr>
                <w:rFonts w:ascii="SimHei" w:eastAsia="SimHei"/>
                <w:b/>
                <w:bCs/>
                <w:color w:val="FF0000"/>
                <w:sz w:val="17"/>
                <w:szCs w:val="17"/>
                <w:lang w:val="fr-FR"/>
              </w:rPr>
            </w:pPr>
            <w:r>
              <w:rPr>
                <w:rFonts w:ascii="SimHei" w:eastAsia="SimHei"/>
                <w:b/>
                <w:bCs/>
                <w:color w:val="FF0000"/>
                <w:sz w:val="17"/>
                <w:szCs w:val="17"/>
                <w:lang w:val="fr-FR"/>
              </w:rPr>
              <w:t>75.9</w:t>
            </w:r>
          </w:p>
        </w:tc>
        <w:tc>
          <w:tcPr>
            <w:tcW w:w="1830" w:type="dxa"/>
            <w:tcBorders>
              <w:top w:val="single" w:sz="4" w:space="0" w:color="auto"/>
              <w:bottom w:val="single" w:sz="4" w:space="0" w:color="auto"/>
            </w:tcBorders>
          </w:tcPr>
          <w:p w:rsidR="00000000" w:rsidRDefault="00000000">
            <w:pPr>
              <w:spacing w:before="60" w:after="60" w:line="240" w:lineRule="exact"/>
              <w:ind w:right="57"/>
              <w:jc w:val="right"/>
              <w:rPr>
                <w:rFonts w:ascii="SimHei" w:eastAsia="SimHei"/>
                <w:b/>
                <w:bCs/>
                <w:color w:val="FF0000"/>
                <w:sz w:val="17"/>
                <w:szCs w:val="17"/>
                <w:lang w:val="fr-FR"/>
              </w:rPr>
            </w:pPr>
            <w:r>
              <w:rPr>
                <w:rFonts w:ascii="SimHei" w:eastAsia="SimHei"/>
                <w:b/>
                <w:bCs/>
                <w:color w:val="FF0000"/>
                <w:sz w:val="17"/>
                <w:szCs w:val="17"/>
                <w:lang w:val="fr-FR"/>
              </w:rPr>
              <w:t>66.3</w:t>
            </w:r>
          </w:p>
        </w:tc>
      </w:tr>
      <w:tr w:rsidR="00000000">
        <w:tblPrEx>
          <w:tblCellMar>
            <w:top w:w="0" w:type="dxa"/>
            <w:bottom w:w="0" w:type="dxa"/>
          </w:tblCellMar>
        </w:tblPrEx>
        <w:trPr>
          <w:cantSplit/>
        </w:trPr>
        <w:tc>
          <w:tcPr>
            <w:tcW w:w="1830" w:type="dxa"/>
            <w:tcBorders>
              <w:top w:val="single" w:sz="4" w:space="0" w:color="auto"/>
            </w:tcBorders>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15-24岁</w:t>
            </w:r>
          </w:p>
        </w:tc>
        <w:tc>
          <w:tcPr>
            <w:tcW w:w="1830" w:type="dxa"/>
            <w:tcBorders>
              <w:top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63.0</w:t>
            </w:r>
          </w:p>
        </w:tc>
        <w:tc>
          <w:tcPr>
            <w:tcW w:w="1830" w:type="dxa"/>
            <w:tcBorders>
              <w:top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65.4</w:t>
            </w:r>
          </w:p>
        </w:tc>
        <w:tc>
          <w:tcPr>
            <w:tcW w:w="1830" w:type="dxa"/>
            <w:tcBorders>
              <w:top w:val="single" w:sz="4" w:space="0" w:color="auto"/>
            </w:tcBorders>
          </w:tcPr>
          <w:p w:rsidR="00000000" w:rsidRDefault="00000000">
            <w:pPr>
              <w:spacing w:before="60" w:after="60" w:line="240" w:lineRule="exact"/>
              <w:ind w:right="57"/>
              <w:jc w:val="right"/>
              <w:rPr>
                <w:sz w:val="17"/>
                <w:szCs w:val="17"/>
                <w:lang w:val="fr-FR"/>
              </w:rPr>
            </w:pPr>
            <w:r>
              <w:rPr>
                <w:sz w:val="17"/>
                <w:szCs w:val="17"/>
                <w:lang w:val="fr-FR"/>
              </w:rPr>
              <w:t>60.4</w:t>
            </w:r>
          </w:p>
        </w:tc>
      </w:tr>
      <w:tr w:rsidR="00000000">
        <w:tblPrEx>
          <w:tblCellMar>
            <w:top w:w="0" w:type="dxa"/>
            <w:bottom w:w="0" w:type="dxa"/>
          </w:tblCellMar>
        </w:tblPrEx>
        <w:trPr>
          <w:cantSplit/>
        </w:trPr>
        <w:tc>
          <w:tcPr>
            <w:tcW w:w="1830" w:type="dxa"/>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25-44岁</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89.0</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93.9</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84.8</w:t>
            </w:r>
          </w:p>
        </w:tc>
      </w:tr>
      <w:tr w:rsidR="00000000">
        <w:tblPrEx>
          <w:tblCellMar>
            <w:top w:w="0" w:type="dxa"/>
            <w:bottom w:w="0" w:type="dxa"/>
          </w:tblCellMar>
        </w:tblPrEx>
        <w:trPr>
          <w:cantSplit/>
        </w:trPr>
        <w:tc>
          <w:tcPr>
            <w:tcW w:w="1830" w:type="dxa"/>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45-64岁</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73.0</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81.9</w:t>
            </w:r>
          </w:p>
        </w:tc>
        <w:tc>
          <w:tcPr>
            <w:tcW w:w="1830" w:type="dxa"/>
          </w:tcPr>
          <w:p w:rsidR="00000000" w:rsidRDefault="00000000">
            <w:pPr>
              <w:spacing w:before="60" w:after="60" w:line="240" w:lineRule="exact"/>
              <w:ind w:right="57"/>
              <w:jc w:val="right"/>
              <w:rPr>
                <w:sz w:val="17"/>
                <w:szCs w:val="17"/>
                <w:lang w:val="fr-FR"/>
              </w:rPr>
            </w:pPr>
            <w:r>
              <w:rPr>
                <w:sz w:val="17"/>
                <w:szCs w:val="17"/>
                <w:lang w:val="fr-FR"/>
              </w:rPr>
              <w:t>68.2</w:t>
            </w:r>
          </w:p>
        </w:tc>
      </w:tr>
      <w:tr w:rsidR="00000000">
        <w:tblPrEx>
          <w:tblCellMar>
            <w:top w:w="0" w:type="dxa"/>
            <w:bottom w:w="0" w:type="dxa"/>
          </w:tblCellMar>
        </w:tblPrEx>
        <w:trPr>
          <w:cantSplit/>
        </w:trPr>
        <w:tc>
          <w:tcPr>
            <w:tcW w:w="1830" w:type="dxa"/>
            <w:tcBorders>
              <w:bottom w:val="single" w:sz="12" w:space="0" w:color="auto"/>
            </w:tcBorders>
            <w:vAlign w:val="bottom"/>
          </w:tcPr>
          <w:p w:rsidR="00000000" w:rsidRDefault="00000000">
            <w:pPr>
              <w:tabs>
                <w:tab w:val="left" w:pos="360"/>
                <w:tab w:val="left" w:pos="720"/>
                <w:tab w:val="left" w:pos="1080"/>
                <w:tab w:val="left" w:pos="1440"/>
              </w:tabs>
              <w:spacing w:before="60" w:after="60" w:line="240" w:lineRule="exact"/>
              <w:ind w:right="40"/>
              <w:rPr>
                <w:rFonts w:ascii="Times New Roman" w:hint="eastAsia"/>
                <w:sz w:val="17"/>
              </w:rPr>
            </w:pPr>
            <w:r>
              <w:rPr>
                <w:rFonts w:hint="eastAsia"/>
                <w:sz w:val="17"/>
                <w:szCs w:val="17"/>
                <w:lang w:val="fr-FR"/>
              </w:rPr>
              <w:t>65岁以上</w:t>
            </w:r>
          </w:p>
        </w:tc>
        <w:tc>
          <w:tcPr>
            <w:tcW w:w="1830" w:type="dxa"/>
            <w:tcBorders>
              <w:bottom w:val="single" w:sz="12" w:space="0" w:color="auto"/>
            </w:tcBorders>
          </w:tcPr>
          <w:p w:rsidR="00000000" w:rsidRDefault="00000000">
            <w:pPr>
              <w:spacing w:before="60" w:after="60" w:line="240" w:lineRule="exact"/>
              <w:ind w:right="57"/>
              <w:jc w:val="right"/>
              <w:rPr>
                <w:sz w:val="17"/>
                <w:szCs w:val="17"/>
                <w:lang w:val="fr-FR"/>
              </w:rPr>
            </w:pPr>
            <w:r>
              <w:rPr>
                <w:sz w:val="17"/>
                <w:szCs w:val="17"/>
                <w:lang w:val="fr-FR"/>
              </w:rPr>
              <w:t>38.8</w:t>
            </w:r>
          </w:p>
        </w:tc>
        <w:tc>
          <w:tcPr>
            <w:tcW w:w="1830" w:type="dxa"/>
            <w:tcBorders>
              <w:bottom w:val="single" w:sz="12" w:space="0" w:color="auto"/>
            </w:tcBorders>
          </w:tcPr>
          <w:p w:rsidR="00000000" w:rsidRDefault="00000000">
            <w:pPr>
              <w:spacing w:before="60" w:after="60" w:line="240" w:lineRule="exact"/>
              <w:ind w:right="57"/>
              <w:jc w:val="right"/>
              <w:rPr>
                <w:sz w:val="17"/>
                <w:szCs w:val="17"/>
                <w:lang w:val="fr-FR"/>
              </w:rPr>
            </w:pPr>
            <w:r>
              <w:rPr>
                <w:sz w:val="17"/>
                <w:szCs w:val="17"/>
                <w:lang w:val="fr-FR"/>
              </w:rPr>
              <w:t>50.7</w:t>
            </w:r>
          </w:p>
        </w:tc>
        <w:tc>
          <w:tcPr>
            <w:tcW w:w="1830" w:type="dxa"/>
            <w:tcBorders>
              <w:bottom w:val="single" w:sz="12" w:space="0" w:color="auto"/>
            </w:tcBorders>
          </w:tcPr>
          <w:p w:rsidR="00000000" w:rsidRDefault="00000000">
            <w:pPr>
              <w:spacing w:before="60" w:after="60" w:line="240" w:lineRule="exact"/>
              <w:ind w:right="57"/>
              <w:jc w:val="right"/>
              <w:rPr>
                <w:sz w:val="17"/>
                <w:szCs w:val="17"/>
                <w:lang w:val="fr-FR"/>
              </w:rPr>
            </w:pPr>
            <w:r>
              <w:rPr>
                <w:sz w:val="17"/>
                <w:szCs w:val="17"/>
                <w:lang w:val="fr-FR"/>
              </w:rPr>
              <w:t>29.2</w:t>
            </w:r>
          </w:p>
        </w:tc>
      </w:tr>
    </w:tbl>
    <w:p w:rsidR="00000000" w:rsidRDefault="00000000">
      <w:pPr>
        <w:pStyle w:val="SingleTxt"/>
        <w:spacing w:after="0" w:line="120" w:lineRule="exact"/>
        <w:rPr>
          <w:rFonts w:hint="eastAsia"/>
          <w:sz w:val="10"/>
        </w:rPr>
      </w:pPr>
    </w:p>
    <w:p w:rsidR="00000000" w:rsidRDefault="00000000">
      <w:pPr>
        <w:pStyle w:val="SingleTxt"/>
        <w:rPr>
          <w:rFonts w:hint="eastAsia"/>
          <w:sz w:val="18"/>
        </w:rPr>
      </w:pPr>
      <w:r>
        <w:rPr>
          <w:rFonts w:ascii="KaiTi_GB2312" w:eastAsia="KaiTi_GB2312" w:hint="eastAsia"/>
          <w:color w:val="0000FF"/>
          <w:sz w:val="18"/>
        </w:rPr>
        <w:t>资料来源</w:t>
      </w:r>
      <w:r>
        <w:rPr>
          <w:rFonts w:hint="eastAsia"/>
          <w:sz w:val="18"/>
        </w:rPr>
        <w:t>：2000年普查，《人口的经济特点》，第21页。</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ab/>
        <w:t>妇女和男子的可就业人口比率分别为38.6％和42.3％，在业人口的失业率分别为女23.8％和男11.1％，在农村分别为女22％和男9.1％。家庭农场主有36％为妇女，64％为男子。</w:t>
      </w:r>
    </w:p>
    <w:p w:rsidR="00000000" w:rsidRDefault="00000000">
      <w:pPr>
        <w:pStyle w:val="SingleTxt"/>
        <w:rPr>
          <w:rFonts w:hint="eastAsia"/>
        </w:rPr>
      </w:pPr>
      <w:r>
        <w:rPr>
          <w:rFonts w:hint="eastAsia"/>
        </w:rPr>
        <w:tab/>
        <w:t>女性贫穷户主为16.1％，男子为12.4％。女性赤贫户主为14.9％，男子为13.4％。</w:t>
      </w:r>
    </w:p>
    <w:p w:rsidR="00000000" w:rsidRDefault="00000000">
      <w:pPr>
        <w:pStyle w:val="SingleTxt"/>
        <w:rPr>
          <w:rFonts w:hint="eastAsia"/>
        </w:rPr>
      </w:pPr>
      <w:r>
        <w:rPr>
          <w:rFonts w:hint="eastAsia"/>
        </w:rPr>
        <w:tab/>
        <w:t>在卫生保健、特别是使用避孕方法方面，38％的农村妇女至少使用一种避孕方法，而城市妇女有70.1％至少使用一种避孕方法。全国范围卫生保健部门提供分娩护理的比率为91％，其中农村为90.5％，城市为91.4％。</w:t>
      </w:r>
    </w:p>
    <w:p w:rsidR="00000000" w:rsidRDefault="00000000">
      <w:pPr>
        <w:pStyle w:val="SingleTxt"/>
        <w:spacing w:line="328" w:lineRule="exact"/>
        <w:rPr>
          <w:rFonts w:ascii="SimHei" w:eastAsia="SimHei" w:hint="eastAsia"/>
          <w:color w:val="FF0000"/>
        </w:rPr>
      </w:pPr>
      <w:r>
        <w:rPr>
          <w:rFonts w:ascii="SimHei" w:eastAsia="SimHei" w:hint="eastAsia"/>
          <w:color w:val="FF0000"/>
        </w:rPr>
        <w:t>第15条和第16条</w:t>
      </w:r>
    </w:p>
    <w:p w:rsidR="00000000" w:rsidRDefault="00000000">
      <w:pPr>
        <w:pStyle w:val="SingleTxt"/>
        <w:spacing w:line="328" w:lineRule="exact"/>
        <w:rPr>
          <w:rFonts w:hint="eastAsia"/>
        </w:rPr>
      </w:pPr>
      <w:r>
        <w:rPr>
          <w:rFonts w:hint="eastAsia"/>
        </w:rPr>
        <w:t>24.</w:t>
      </w:r>
      <w:r>
        <w:rPr>
          <w:rFonts w:hint="eastAsia"/>
        </w:rPr>
        <w:tab/>
      </w:r>
      <w:r>
        <w:rPr>
          <w:rFonts w:ascii="KaiTi_GB2312" w:eastAsia="KaiTi_GB2312" w:hint="eastAsia"/>
          <w:color w:val="0000FF"/>
        </w:rPr>
        <w:t>据报告称，年满至少十八岁者可结婚（《民法典》第139条）（见第477段）；禁止十六岁以下未成年人结婚（《民法典》第142、1564和1592条）（见第478段）；而16岁至18岁之间者可以结婚（《民法典》第1572条）（见第479段）。请提供按性别分列的16岁至18岁已婚者的数据。还请提供有关资料说明采取了哪些措施以使女孩的法定结婚年龄完全符合《儿童权利公约》第一条和《消除对妇女一切形式歧视公约》第十六条第2款的规</w:t>
      </w:r>
      <w:r>
        <w:rPr>
          <w:rFonts w:hint="eastAsia"/>
        </w:rPr>
        <w:t>定。</w:t>
      </w:r>
    </w:p>
    <w:p w:rsidR="00000000" w:rsidRDefault="00000000">
      <w:pPr>
        <w:pStyle w:val="SingleTxt"/>
        <w:spacing w:line="328" w:lineRule="exact"/>
        <w:rPr>
          <w:rFonts w:hint="eastAsia"/>
        </w:rPr>
      </w:pPr>
      <w:r>
        <w:rPr>
          <w:rFonts w:hint="eastAsia"/>
        </w:rPr>
        <w:tab/>
      </w:r>
      <w:r>
        <w:rPr>
          <w:rFonts w:hint="eastAsia"/>
          <w:spacing w:val="2"/>
        </w:rPr>
        <w:t>2000年普查显示，佛得角男子和妇女的平均结婚（包括正式婚姻和事实婚姻）年龄分别为28</w:t>
      </w:r>
      <w:r>
        <w:rPr>
          <w:rFonts w:hint="eastAsia"/>
        </w:rPr>
        <w:t>.8岁和24.6岁（2000年普查，《婚姻统计研究》第18页）。该普查显示，16-19岁年龄段的人口约有0.4％已婚；其中男性占0.1％，女性占0.6％（第18页）。</w:t>
      </w:r>
    </w:p>
    <w:p w:rsidR="00000000" w:rsidRDefault="00000000">
      <w:pPr>
        <w:pStyle w:val="SingleTxt"/>
        <w:spacing w:line="328" w:lineRule="exact"/>
        <w:rPr>
          <w:rFonts w:hint="eastAsia"/>
        </w:rPr>
      </w:pPr>
      <w:r>
        <w:rPr>
          <w:rFonts w:hint="eastAsia"/>
        </w:rPr>
        <w:tab/>
        <w:t>《儿童权利公约》第一条确定了儿童的一般概念，即儿童身份一直延续到18岁。然而，该条款承认，如国家规定成年年龄低于18岁，那么在年满18岁之前可结束儿童身份。</w:t>
      </w:r>
    </w:p>
    <w:p w:rsidR="00000000" w:rsidRDefault="00000000">
      <w:pPr>
        <w:pStyle w:val="SingleTxt"/>
        <w:spacing w:line="328" w:lineRule="exact"/>
        <w:rPr>
          <w:rFonts w:hint="eastAsia"/>
        </w:rPr>
      </w:pPr>
      <w:r>
        <w:rPr>
          <w:rFonts w:hint="eastAsia"/>
        </w:rPr>
        <w:tab/>
        <w:t>在佛得角，根据对《未成年人法》第4条的解释（9月25日第89/82号法令）和民法第133条的明文规定，成年年龄为18岁。</w:t>
      </w:r>
    </w:p>
    <w:p w:rsidR="00000000" w:rsidRDefault="00000000">
      <w:pPr>
        <w:pStyle w:val="SingleTxt"/>
        <w:spacing w:line="328" w:lineRule="exact"/>
        <w:rPr>
          <w:rFonts w:hint="eastAsia"/>
        </w:rPr>
      </w:pPr>
      <w:r>
        <w:rPr>
          <w:rFonts w:hint="eastAsia"/>
        </w:rPr>
        <w:tab/>
        <w:t>这样，佛得角法律中儿童的概念与《儿童权利公约》的条款完全一致。</w:t>
      </w:r>
    </w:p>
    <w:p w:rsidR="00000000" w:rsidRDefault="00000000">
      <w:pPr>
        <w:pStyle w:val="SingleTxt"/>
        <w:spacing w:line="328" w:lineRule="exact"/>
        <w:rPr>
          <w:rFonts w:hint="eastAsia"/>
        </w:rPr>
      </w:pPr>
      <w:r>
        <w:rPr>
          <w:rFonts w:hint="eastAsia"/>
        </w:rPr>
        <w:tab/>
        <w:t>一般来讲，根据佛得角法律，儿童不具备行使其权利的能力；但是法律规定（民法第137条），通过父母权力或将这种亲权授予监护人或财产管理人，可以弥补这种无能力。</w:t>
      </w:r>
    </w:p>
    <w:p w:rsidR="00000000" w:rsidRDefault="00000000">
      <w:pPr>
        <w:pStyle w:val="SingleTxt"/>
        <w:spacing w:line="328" w:lineRule="exact"/>
        <w:rPr>
          <w:rFonts w:hint="eastAsia"/>
        </w:rPr>
      </w:pPr>
      <w:r>
        <w:tab/>
      </w:r>
      <w:r>
        <w:rPr>
          <w:rFonts w:hint="eastAsia"/>
        </w:rPr>
        <w:t>然而，佛得角法律规定，儿童一旦成年或因为结婚自动解除监护，从而有能力管理和自由处置其人身与财产，这种无能力即结束（刑法第138条）。因此，通过婚姻16岁即可成年，只要父母不反对，或父母反对但主管法庭判决反对无效（民法第1572条）。</w:t>
      </w:r>
    </w:p>
    <w:p w:rsidR="00000000" w:rsidRDefault="00000000">
      <w:pPr>
        <w:pStyle w:val="SingleTxt"/>
        <w:spacing w:line="328" w:lineRule="exact"/>
        <w:rPr>
          <w:rFonts w:hint="eastAsia"/>
        </w:rPr>
      </w:pPr>
      <w:r>
        <w:rPr>
          <w:rFonts w:hint="eastAsia"/>
        </w:rPr>
        <w:tab/>
        <w:t>在这方面，佛得角法律与《消除对妇女歧视公约》第16.2条的规定一致，即在上段所述条件下，男性和女性的最低婚龄都是16岁。从16岁起，结婚应按规定由主管机关登记。</w:t>
      </w:r>
    </w:p>
    <w:p w:rsidR="00000000" w:rsidRDefault="00000000">
      <w:pPr>
        <w:pStyle w:val="SingleTxt"/>
        <w:spacing w:line="328" w:lineRule="exact"/>
        <w:rPr>
          <w:rFonts w:hint="eastAsia"/>
        </w:rPr>
      </w:pPr>
      <w:r>
        <w:rPr>
          <w:rFonts w:hint="eastAsia"/>
        </w:rPr>
        <w:t>25.</w:t>
      </w:r>
      <w:r>
        <w:rPr>
          <w:rFonts w:hint="eastAsia"/>
        </w:rPr>
        <w:tab/>
      </w:r>
      <w:r>
        <w:rPr>
          <w:rFonts w:ascii="KaiTi_GB2312" w:eastAsia="KaiTi_GB2312" w:hint="eastAsia"/>
          <w:color w:val="0000FF"/>
        </w:rPr>
        <w:t>妇女是否可以与男子同样的理由提出离婚？在向离婚的妻子支付赡养费方面负有哪些法律义务</w:t>
      </w:r>
      <w:r>
        <w:rPr>
          <w:rFonts w:hint="eastAsia"/>
        </w:rPr>
        <w:t>？</w:t>
      </w:r>
    </w:p>
    <w:p w:rsidR="00000000" w:rsidRDefault="00000000">
      <w:pPr>
        <w:pStyle w:val="SingleTxt"/>
        <w:spacing w:line="328" w:lineRule="exact"/>
        <w:rPr>
          <w:rFonts w:hint="eastAsia"/>
        </w:rPr>
      </w:pPr>
      <w:r>
        <w:rPr>
          <w:rFonts w:hint="eastAsia"/>
        </w:rPr>
        <w:tab/>
        <w:t>是。佛得角法律规定，离婚或一方配偶死亡即解除婚姻（民法第1729条）。不论男子还是妇女，都可以在完全相同的条件下提出离婚。国家法律定有两种离婚方式：第一，配偶双方向主管法庭提出离婚（称两愿离婚）；第二，配偶一方依据构成严重侵犯配偶权利且侵权行为危害到或使得无法共同生活或教育子女的行为，向另一方提出离婚（称诉讼离婚），民法第1738条对此类离婚作出了规定。应指出，不论男女哪一方配偶，均可在相同条件下提出上述原因，作为诉讼离婚的理由。</w:t>
      </w:r>
    </w:p>
    <w:p w:rsidR="00000000" w:rsidRDefault="00000000">
      <w:pPr>
        <w:pStyle w:val="SingleTxt"/>
        <w:spacing w:line="328" w:lineRule="exact"/>
        <w:rPr>
          <w:rFonts w:hint="eastAsia"/>
        </w:rPr>
      </w:pPr>
      <w:r>
        <w:rPr>
          <w:rFonts w:hint="eastAsia"/>
        </w:rPr>
        <w:tab/>
        <w:t>一旦婚姻结束，配偶之间的一切婚姻关系即终止。此种情况下，女方可在分割共同获得财产并收回各自财产之后，要求获得扶养费；要根据对女方需要的计算及配偶另一方的能力，确定所给的扶养费。如有婚生未成年子女，可要求分担抚养和教育子女的责任。</w:t>
      </w:r>
    </w:p>
    <w:p w:rsidR="00000000" w:rsidRDefault="00000000">
      <w:pPr>
        <w:pStyle w:val="SingleTxt"/>
        <w:spacing w:line="328" w:lineRule="exact"/>
        <w:rPr>
          <w:rFonts w:ascii="SimHei" w:eastAsia="SimHei" w:hint="eastAsia"/>
          <w:color w:val="FF0000"/>
        </w:rPr>
      </w:pPr>
      <w:r>
        <w:rPr>
          <w:rFonts w:ascii="SimHei" w:eastAsia="SimHei" w:hint="eastAsia"/>
          <w:color w:val="FF0000"/>
        </w:rPr>
        <w:t>一般性</w:t>
      </w:r>
    </w:p>
    <w:p w:rsidR="00000000" w:rsidRDefault="00000000">
      <w:pPr>
        <w:pStyle w:val="SingleTxt"/>
        <w:spacing w:line="328" w:lineRule="exact"/>
        <w:rPr>
          <w:rFonts w:hint="eastAsia"/>
        </w:rPr>
      </w:pPr>
      <w:r>
        <w:rPr>
          <w:rFonts w:hint="eastAsia"/>
        </w:rPr>
        <w:t>26.</w:t>
      </w:r>
      <w:r>
        <w:rPr>
          <w:rFonts w:hint="eastAsia"/>
        </w:rPr>
        <w:tab/>
      </w:r>
      <w:r>
        <w:rPr>
          <w:rFonts w:ascii="KaiTi_GB2312" w:eastAsia="KaiTi_GB2312" w:hint="eastAsia"/>
          <w:color w:val="0000FF"/>
        </w:rPr>
        <w:t>《公约》在该国是否得到广泛的传播</w:t>
      </w:r>
      <w:r>
        <w:rPr>
          <w:rFonts w:hint="eastAsia"/>
        </w:rPr>
        <w:t>？</w:t>
      </w:r>
    </w:p>
    <w:p w:rsidR="00000000" w:rsidRDefault="00000000">
      <w:pPr>
        <w:pStyle w:val="SingleTxt"/>
        <w:spacing w:line="328" w:lineRule="exact"/>
        <w:rPr>
          <w:rFonts w:hint="eastAsia"/>
        </w:rPr>
      </w:pPr>
      <w:r>
        <w:rPr>
          <w:rFonts w:hint="eastAsia"/>
        </w:rPr>
        <w:tab/>
        <w:t>《消除对妇女一切形式歧视公约》逐渐传播开来。在全国范围经常举办小型公约讨论会，解释和讨论公约内容论。此外，国家妇女地位协会制定的《2006年纲领》纳入了公约案文，以便公众可以了解公约条款。</w:t>
      </w:r>
    </w:p>
    <w:p w:rsidR="00000000" w:rsidRDefault="00000000">
      <w:pPr>
        <w:pStyle w:val="SingleTxt"/>
        <w:spacing w:line="328" w:lineRule="exact"/>
        <w:rPr>
          <w:rFonts w:hint="eastAsia"/>
        </w:rPr>
      </w:pPr>
      <w:r>
        <w:rPr>
          <w:rFonts w:hint="eastAsia"/>
        </w:rPr>
        <w:tab/>
        <w:t>然而，众所周知，这方面的努力还很不够，应采取更多行动传播公约及委员会一般性建议的内容，以便法庭、国家行政部门和民间社会更好地处理妇女问题。为此，国家妇女地位协会在编写本报告过程中已找出这方面的缺陷；委员会正在制定战略，以便通过专门为此目的编写的手册，促进更好地全面传播公约。</w:t>
      </w:r>
    </w:p>
    <w:p w:rsidR="00000000" w:rsidRDefault="00000000">
      <w:pPr>
        <w:pStyle w:val="SingleTxt"/>
        <w:spacing w:line="328" w:lineRule="exact"/>
        <w:rPr>
          <w:rFonts w:hint="eastAsia"/>
        </w:rPr>
      </w:pPr>
      <w:r>
        <w:rPr>
          <w:rFonts w:hint="eastAsia"/>
        </w:rPr>
        <w:t>27.</w:t>
      </w:r>
      <w:r>
        <w:rPr>
          <w:rFonts w:hint="eastAsia"/>
        </w:rPr>
        <w:tab/>
      </w:r>
      <w:r>
        <w:rPr>
          <w:rFonts w:ascii="KaiTi_GB2312" w:eastAsia="KaiTi_GB2312" w:hint="eastAsia"/>
          <w:color w:val="0000FF"/>
        </w:rPr>
        <w:t>请说明在批准或者加入《公约任择议定书》方面取得的任何进展</w:t>
      </w:r>
      <w:r>
        <w:rPr>
          <w:rFonts w:hint="eastAsia"/>
        </w:rPr>
        <w:t>。</w:t>
      </w:r>
    </w:p>
    <w:p w:rsidR="00000000" w:rsidRDefault="00000000">
      <w:pPr>
        <w:pStyle w:val="SingleTxt"/>
        <w:spacing w:line="328" w:lineRule="exact"/>
        <w:rPr>
          <w:rFonts w:hint="eastAsia"/>
        </w:rPr>
      </w:pPr>
      <w:r>
        <w:tab/>
      </w:r>
      <w:r>
        <w:rPr>
          <w:rFonts w:hint="eastAsia"/>
        </w:rPr>
        <w:t>实际上，还没有适当讨论佛得角批准或加入公约任择议定书的问题。国家妇女地位协会、女议员网络和女经济学家网络已经在有些场合下提出了这个问题，但只是程序的酝酿阶段，而未进入落实这项可能的阶段。</w:t>
      </w:r>
    </w:p>
    <w:p w:rsidR="00000000" w:rsidRDefault="00000000">
      <w:pPr>
        <w:pStyle w:val="SingleTxt"/>
        <w:spacing w:after="0" w:line="240" w:lineRule="auto"/>
        <w:rPr>
          <w:sz w:val="20"/>
        </w:rPr>
      </w:pPr>
      <w:r>
        <w:rPr>
          <w:noProof/>
          <w:sz w:val="20"/>
        </w:rPr>
        <w:pict>
          <v:line id="_x0000_s2051" style="position:absolute;left:0;text-align:left;z-index:1;mso-position-horizontal:center" from="0,30pt" to="1in,30pt" strokeweight=".25pt">
            <w10:wrap type="topAndBottom"/>
          </v:line>
        </w:pict>
      </w:r>
    </w:p>
    <w:sectPr w:rsidR="00000000">
      <w:type w:val="continuous"/>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NO&gt;&gt;N0635283C&lt;&lt;ODS JOB NO&gt;&gt;</w:t>
      </w:r>
    </w:p>
    <w:p w:rsidR="00000000" w:rsidRDefault="00000000">
      <w:pPr>
        <w:pStyle w:val="CommentText"/>
      </w:pPr>
      <w:r>
        <w:t>&lt;&lt;ODS DOC SYMBOL1&gt;&gt;CEDAW/C/CPV/Q/6/Add.1&lt;&lt;ODS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20</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21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 xml:space="preserve">06-35283 (C)    </w:t>
    </w:r>
    <w:r>
      <w:rPr>
        <w:rFonts w:hint="eastAsia"/>
        <w:b w:val="0"/>
        <w:sz w:val="21"/>
      </w:rPr>
      <w:t>12</w:t>
    </w:r>
    <w:r>
      <w:rPr>
        <w:b w:val="0"/>
        <w:sz w:val="21"/>
      </w:rPr>
      <w:t>0606    230606</w:t>
    </w:r>
  </w:p>
  <w:p w:rsidR="00000000" w:rsidRDefault="00000000">
    <w:pPr>
      <w:spacing w:before="60" w:line="200" w:lineRule="exact"/>
      <w:rPr>
        <w:rFonts w:ascii="Barcode 3 of 9 by request" w:hAnsi="Barcode 3 of 9 by request"/>
        <w:b/>
      </w:rPr>
    </w:pPr>
    <w:r>
      <w:rPr>
        <w:rFonts w:ascii="Barcode 3 of 9 by request" w:hAnsi="Barcode 3 of 9 by request"/>
        <w:b/>
      </w:rPr>
      <w:t>*0635283*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CEDAW/C/CPV/Q/6/Add.1</w:t>
                      </w:r>
                    </w:p>
                  </w:tc>
                  <w:tc>
                    <w:tcPr>
                      <w:tcW w:w="5048"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CEDAW/C/CPV/Q/6/Add.1</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/C/CPV/Q/6/Add.1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17 May 2006</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French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B15"/>
    <w:multiLevelType w:val="hybridMultilevel"/>
    <w:tmpl w:val="AE22ECD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22443C14"/>
    <w:multiLevelType w:val="hybridMultilevel"/>
    <w:tmpl w:val="FEF0FCD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2FB3666"/>
    <w:multiLevelType w:val="multilevel"/>
    <w:tmpl w:val="DA407B3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FD494E"/>
    <w:multiLevelType w:val="multilevel"/>
    <w:tmpl w:val="AE5A2F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3/06/2006 10:13 AM"/>
    <w:docVar w:name="DocCategory" w:val="Doc"/>
    <w:docVar w:name="DocType" w:val="Final"/>
    <w:docVar w:name="JobNo" w:val="0635283C"/>
    <w:docVar w:name="OandT" w:val=" "/>
    <w:docVar w:name="Symbol1" w:val="CEDAW/C/CPV/Q/6/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1</Pages>
  <Words>3995</Words>
  <Characters>22777</Characters>
  <Application>Microsoft Office Word</Application>
  <DocSecurity>4</DocSecurity>
  <Lines>189</Lines>
  <Paragraphs>45</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27971</CharactersWithSpaces>
  <SharedDoc>false</SharedDoc>
  <HLinks>
    <vt:vector size="6" baseType="variant">
      <vt:variant>
        <vt:i4>4522087</vt:i4>
      </vt:variant>
      <vt:variant>
        <vt:i4>54274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Chengzhi.Du</dc:creator>
  <cp:keywords/>
  <dc:description/>
  <cp:lastModifiedBy>Chengzhi.Du</cp:lastModifiedBy>
  <cp:revision>17</cp:revision>
  <cp:lastPrinted>2006-06-23T13:35:00Z</cp:lastPrinted>
  <dcterms:created xsi:type="dcterms:W3CDTF">2006-06-23T09:13:00Z</dcterms:created>
  <dcterms:modified xsi:type="dcterms:W3CDTF">2006-06-23T13:37:00Z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0635283</vt:lpwstr>
  </property>
  <property fmtid="{D5CDD505-2E9C-101B-9397-08002B2CF9AE}" pid="3" name="Symbol1">
    <vt:lpwstr>CEDAW/C/CPV/Q/6/Add.1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