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B79B5" w:rsidP="002B79B5">
            <w:pPr>
              <w:bidi w:val="0"/>
              <w:spacing w:after="20"/>
              <w:jc w:val="left"/>
              <w:rPr>
                <w:szCs w:val="20"/>
              </w:rPr>
            </w:pPr>
            <w:r w:rsidRPr="002B79B5">
              <w:rPr>
                <w:sz w:val="40"/>
                <w:szCs w:val="20"/>
              </w:rPr>
              <w:t>CEDAW</w:t>
            </w:r>
            <w:r>
              <w:rPr>
                <w:szCs w:val="20"/>
              </w:rPr>
              <w:t>/C/CYP/Q/6-7/Add.1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2B79B5" w:rsidRDefault="002B79B5" w:rsidP="002B79B5">
            <w:pPr>
              <w:bidi w:val="0"/>
              <w:spacing w:before="240"/>
              <w:jc w:val="left"/>
            </w:pPr>
            <w:r>
              <w:t>Distr.: General</w:t>
            </w:r>
          </w:p>
          <w:p w:rsidR="002B79B5" w:rsidRDefault="002B79B5" w:rsidP="002B79B5">
            <w:pPr>
              <w:bidi w:val="0"/>
              <w:jc w:val="left"/>
            </w:pPr>
            <w:r>
              <w:t>27 November 2012</w:t>
            </w:r>
          </w:p>
          <w:p w:rsidR="002B79B5" w:rsidRDefault="002B79B5" w:rsidP="002B79B5">
            <w:pPr>
              <w:bidi w:val="0"/>
              <w:jc w:val="left"/>
            </w:pPr>
            <w:r>
              <w:t>Arabic</w:t>
            </w:r>
          </w:p>
          <w:p w:rsidR="00257225" w:rsidRPr="008B4BC6" w:rsidRDefault="002B79B5" w:rsidP="002B79B5">
            <w:pPr>
              <w:bidi w:val="0"/>
              <w:jc w:val="left"/>
            </w:pPr>
            <w:r>
              <w:t>Original: English</w:t>
            </w:r>
          </w:p>
        </w:tc>
      </w:tr>
    </w:tbl>
    <w:p w:rsidR="002B79B5" w:rsidRPr="008538C3" w:rsidRDefault="002B79B5" w:rsidP="008538C3">
      <w:pPr>
        <w:spacing w:before="120" w:line="380" w:lineRule="exact"/>
        <w:rPr>
          <w:b/>
          <w:bCs/>
          <w:sz w:val="26"/>
          <w:szCs w:val="36"/>
          <w:rtl/>
          <w:lang w:val="fr-CH"/>
        </w:rPr>
      </w:pPr>
      <w:r w:rsidRPr="008538C3">
        <w:rPr>
          <w:b/>
          <w:bCs/>
          <w:sz w:val="26"/>
          <w:szCs w:val="36"/>
          <w:rtl/>
          <w:lang w:val="fr-CH"/>
        </w:rPr>
        <w:t>اللجنة المعنية بالقضاء على التمييز ضد المرأة</w:t>
      </w:r>
    </w:p>
    <w:p w:rsidR="002B79B5" w:rsidRPr="0023156A" w:rsidRDefault="002B79B5" w:rsidP="008538C3">
      <w:pPr>
        <w:pStyle w:val="SingleTxtGA"/>
        <w:spacing w:after="0"/>
        <w:ind w:left="0"/>
        <w:rPr>
          <w:b/>
          <w:bCs/>
          <w:rtl/>
        </w:rPr>
      </w:pPr>
      <w:r w:rsidRPr="0023156A">
        <w:rPr>
          <w:b/>
          <w:bCs/>
          <w:rtl/>
        </w:rPr>
        <w:t>الدورة الرابعة والخمسون</w:t>
      </w:r>
    </w:p>
    <w:p w:rsidR="002B79B5" w:rsidRDefault="002B79B5" w:rsidP="008538C3">
      <w:pPr>
        <w:pStyle w:val="SingleTxtGA"/>
        <w:spacing w:after="0"/>
        <w:ind w:left="0"/>
        <w:rPr>
          <w:rtl/>
        </w:rPr>
      </w:pPr>
      <w:r>
        <w:rPr>
          <w:rtl/>
        </w:rPr>
        <w:t>11 شباط/فبراير - 1 آذار/مارس 2013</w:t>
      </w:r>
    </w:p>
    <w:p w:rsidR="002B79B5" w:rsidRDefault="008538C3" w:rsidP="00127E4D">
      <w:pPr>
        <w:pStyle w:val="HMGA"/>
        <w:spacing w:before="600"/>
        <w:rPr>
          <w:rtl/>
        </w:rPr>
      </w:pPr>
      <w:r>
        <w:rPr>
          <w:rFonts w:hint="cs"/>
          <w:rtl/>
        </w:rPr>
        <w:tab/>
      </w:r>
      <w:r>
        <w:rPr>
          <w:rFonts w:hint="cs"/>
          <w:rtl/>
        </w:rPr>
        <w:tab/>
      </w:r>
      <w:r w:rsidR="002B79B5">
        <w:rPr>
          <w:rtl/>
        </w:rPr>
        <w:t>قائمة القضايا والأسئلة في سياق النظر في التقارير الدورية: قبرص</w:t>
      </w:r>
    </w:p>
    <w:p w:rsidR="002B79B5" w:rsidRDefault="008538C3" w:rsidP="008538C3">
      <w:pPr>
        <w:pStyle w:val="H23GA"/>
        <w:rPr>
          <w:rtl/>
        </w:rPr>
      </w:pPr>
      <w:r>
        <w:rPr>
          <w:rFonts w:hint="cs"/>
          <w:rtl/>
        </w:rPr>
        <w:tab/>
      </w:r>
      <w:r>
        <w:rPr>
          <w:rFonts w:hint="cs"/>
          <w:rtl/>
        </w:rPr>
        <w:tab/>
      </w:r>
      <w:r w:rsidR="002B79B5">
        <w:rPr>
          <w:rtl/>
        </w:rPr>
        <w:t>إضافة</w:t>
      </w:r>
    </w:p>
    <w:p w:rsidR="002B79B5" w:rsidRDefault="008538C3" w:rsidP="00127E4D">
      <w:pPr>
        <w:pStyle w:val="HChGA"/>
        <w:rPr>
          <w:rtl/>
        </w:rPr>
      </w:pPr>
      <w:r>
        <w:rPr>
          <w:rFonts w:hint="cs"/>
          <w:rtl/>
        </w:rPr>
        <w:tab/>
      </w:r>
      <w:r>
        <w:rPr>
          <w:rFonts w:hint="cs"/>
          <w:rtl/>
        </w:rPr>
        <w:tab/>
      </w:r>
      <w:r w:rsidR="002B79B5">
        <w:rPr>
          <w:rtl/>
        </w:rPr>
        <w:t>ردود قبرص على قائمة القضايا المطروحة</w:t>
      </w:r>
      <w:r w:rsidR="00E840A2">
        <w:rPr>
          <w:rtl/>
        </w:rPr>
        <w:t xml:space="preserve"> فيما </w:t>
      </w:r>
      <w:r w:rsidR="002B79B5">
        <w:rPr>
          <w:rtl/>
        </w:rPr>
        <w:t>يتعلق بالنظر في تقريريها الدوريين السادس والسابع</w:t>
      </w:r>
      <w:r w:rsidR="00127E4D" w:rsidRPr="00127E4D">
        <w:rPr>
          <w:rStyle w:val="FootnoteReference"/>
          <w:sz w:val="20"/>
          <w:vertAlign w:val="baseline"/>
          <w:rtl/>
        </w:rPr>
        <w:footnoteReference w:customMarkFollows="1" w:id="1"/>
        <w:t>*</w:t>
      </w:r>
    </w:p>
    <w:p w:rsidR="002B79B5" w:rsidRDefault="008538C3" w:rsidP="00B22076">
      <w:pPr>
        <w:pStyle w:val="HChGA"/>
        <w:spacing w:before="120"/>
        <w:rPr>
          <w:rtl/>
        </w:rPr>
      </w:pPr>
      <w:r>
        <w:rPr>
          <w:rtl/>
        </w:rPr>
        <w:br w:type="page"/>
      </w:r>
      <w:r w:rsidR="000D6FB3">
        <w:rPr>
          <w:rFonts w:hint="cs"/>
          <w:rtl/>
        </w:rPr>
        <w:tab/>
      </w:r>
      <w:r w:rsidR="002B79B5">
        <w:rPr>
          <w:rtl/>
        </w:rPr>
        <w:t>أولا</w:t>
      </w:r>
      <w:r w:rsidR="000D6FB3">
        <w:rPr>
          <w:rFonts w:hint="cs"/>
          <w:rtl/>
        </w:rPr>
        <w:t>ً</w:t>
      </w:r>
      <w:r w:rsidR="00B22076">
        <w:rPr>
          <w:rFonts w:hint="cs"/>
          <w:rtl/>
        </w:rPr>
        <w:t>-</w:t>
      </w:r>
      <w:r w:rsidR="000D6FB3">
        <w:rPr>
          <w:rFonts w:hint="cs"/>
          <w:rtl/>
        </w:rPr>
        <w:tab/>
      </w:r>
      <w:r w:rsidR="002B79B5">
        <w:rPr>
          <w:rtl/>
        </w:rPr>
        <w:t>مقدمة</w:t>
      </w:r>
    </w:p>
    <w:p w:rsidR="002B79B5" w:rsidRDefault="002B79B5" w:rsidP="0079367C">
      <w:pPr>
        <w:pStyle w:val="SingleTxtGA"/>
        <w:rPr>
          <w:rtl/>
        </w:rPr>
      </w:pPr>
      <w:r>
        <w:rPr>
          <w:rtl/>
        </w:rPr>
        <w:t>1</w:t>
      </w:r>
      <w:r w:rsidR="0079367C">
        <w:rPr>
          <w:rtl/>
        </w:rPr>
        <w:t>-</w:t>
      </w:r>
      <w:r w:rsidR="0079367C">
        <w:rPr>
          <w:rtl/>
        </w:rPr>
        <w:tab/>
      </w:r>
      <w:r>
        <w:rPr>
          <w:rtl/>
        </w:rPr>
        <w:t>تقدم هذه الوثيقة ردود</w:t>
      </w:r>
      <w:r w:rsidR="00D94BE0">
        <w:rPr>
          <w:rtl/>
        </w:rPr>
        <w:t xml:space="preserve">اً </w:t>
      </w:r>
      <w:r>
        <w:rPr>
          <w:rtl/>
        </w:rPr>
        <w:t>على القضايا والأسئلة المقدمة إلى حكومة قبرص</w:t>
      </w:r>
      <w:r w:rsidR="00E840A2">
        <w:rPr>
          <w:rtl/>
        </w:rPr>
        <w:t xml:space="preserve"> فيما </w:t>
      </w:r>
      <w:r>
        <w:rPr>
          <w:rtl/>
        </w:rPr>
        <w:t>يتعلق بالنظر في التقرير الجامع لتقريريها الدوريين السادس والسابع (2004-2010) (</w:t>
      </w:r>
      <w:r>
        <w:t>CEDAW/C/CYP/Q/6-7</w:t>
      </w:r>
      <w:r>
        <w:rPr>
          <w:rtl/>
        </w:rPr>
        <w:t>)، ويشار إليها</w:t>
      </w:r>
      <w:r w:rsidR="00E840A2">
        <w:rPr>
          <w:rtl/>
        </w:rPr>
        <w:t xml:space="preserve"> فيما </w:t>
      </w:r>
      <w:r>
        <w:rPr>
          <w:rtl/>
        </w:rPr>
        <w:t xml:space="preserve">يلي </w:t>
      </w:r>
      <w:r w:rsidR="0079367C" w:rsidRPr="0079367C">
        <w:rPr>
          <w:rFonts w:hint="cs"/>
          <w:sz w:val="30"/>
          <w:rtl/>
        </w:rPr>
        <w:t>ب‍</w:t>
      </w:r>
      <w:r w:rsidR="0079367C">
        <w:rPr>
          <w:rFonts w:hint="cs"/>
          <w:rtl/>
        </w:rPr>
        <w:t> </w:t>
      </w:r>
      <w:r>
        <w:rPr>
          <w:rtl/>
        </w:rPr>
        <w:t>"الردود على الأسئلة".</w:t>
      </w:r>
    </w:p>
    <w:p w:rsidR="002B79B5" w:rsidRDefault="002B79B5" w:rsidP="002B79B5">
      <w:pPr>
        <w:pStyle w:val="SingleTxtGA"/>
        <w:rPr>
          <w:rtl/>
        </w:rPr>
      </w:pPr>
      <w:r>
        <w:rPr>
          <w:rtl/>
        </w:rPr>
        <w:t>2</w:t>
      </w:r>
      <w:r w:rsidR="0079367C">
        <w:rPr>
          <w:rtl/>
        </w:rPr>
        <w:t>-</w:t>
      </w:r>
      <w:r w:rsidR="0079367C">
        <w:rPr>
          <w:rtl/>
        </w:rPr>
        <w:tab/>
      </w:r>
      <w:r>
        <w:rPr>
          <w:rtl/>
        </w:rPr>
        <w:t>ومثل التقرير الجامع للتقريرين الدوريين السادس والسابع (2004-2010) (</w:t>
      </w:r>
      <w:r>
        <w:t>CEDAW/C/CYP/Q/6-7</w:t>
      </w:r>
      <w:r>
        <w:rPr>
          <w:rtl/>
        </w:rPr>
        <w:t>)، المشار إليه</w:t>
      </w:r>
      <w:r w:rsidR="00E840A2">
        <w:rPr>
          <w:rtl/>
        </w:rPr>
        <w:t xml:space="preserve"> فيما </w:t>
      </w:r>
      <w:r>
        <w:rPr>
          <w:rtl/>
        </w:rPr>
        <w:t xml:space="preserve">يلي </w:t>
      </w:r>
      <w:r w:rsidR="0079367C">
        <w:rPr>
          <w:rtl/>
        </w:rPr>
        <w:t xml:space="preserve">ب‍ </w:t>
      </w:r>
      <w:r>
        <w:rPr>
          <w:rtl/>
        </w:rPr>
        <w:t xml:space="preserve">"التقرير الدوري"، أعد هذه الوثيقة المفوض القانوني للجمهورية المكلف بموجب قرار من مجلس الوزراء بضمان الامتثال لالتزامات قبرص المتعلقة بتقديم التقارير بموجب الصكوك الدولية لحقوق الإنسان. ووزارة العدل والنظام العام هي الوزارة المختصة لأغراض الاتفاقية، وشاركت بشكل مكثف في إعداد هذه الوثيقة من خلال الجهاز الوطني لحقوق المرأة. ووردت المعلومات والبيانات الذي استند إليها تجميع هذه الوثيقة من وزارات مختصة بالموضوع المحدد (وهي وزارة العمل والتأمينات الاجتماعية، ووزارة الداخلية، ووزارة التعليم والثقافة، ووزارة الخارجية، ووزارة الصحة، ووزارة الزراعة والموارد الطبيعية والبيئة، وهيئة الإحصاء في قبرص) وكذلك النيابة العامة للجمهورية، والشرطة، ومفوض الشؤون الإدارية (أمين المظالم)، وجامعة قبرص، وكبير أمناء سجل المحكمة العليا. ووردت معلومات كذلك من عدد من المنظمات غير الحكومية ووكالات أخرى، مثل اللجنة الاستشارية لمنع العنف في محيط الأسرة ومكافحته ولجنة المساواة بين الجنسين في العمالة والتدريب المهني، التي يمكنها أن تقدم معلومات تتعلق بالقضايا والأسئلة المقدمة إلى الحكومة. </w:t>
      </w:r>
    </w:p>
    <w:p w:rsidR="002B79B5" w:rsidRDefault="002B79B5" w:rsidP="002B79B5">
      <w:pPr>
        <w:pStyle w:val="SingleTxtGA"/>
        <w:rPr>
          <w:rtl/>
        </w:rPr>
      </w:pPr>
      <w:r>
        <w:rPr>
          <w:rtl/>
        </w:rPr>
        <w:t>3</w:t>
      </w:r>
      <w:r w:rsidR="0079367C">
        <w:rPr>
          <w:rtl/>
        </w:rPr>
        <w:t>-</w:t>
      </w:r>
      <w:r w:rsidR="0079367C">
        <w:rPr>
          <w:rtl/>
        </w:rPr>
        <w:tab/>
      </w:r>
      <w:r>
        <w:rPr>
          <w:rtl/>
        </w:rPr>
        <w:t xml:space="preserve">ونوقشت المعلومات الواردة في هذه الوثيقة مع كل الجهات السابق ذكرها في اجتماعات مخصصة مع المفوض القانوني خلال مراحل الصياغة. وستحال هذه الوثيقة إلى كل تلك الجهات عند تقديمها. </w:t>
      </w:r>
    </w:p>
    <w:p w:rsidR="002B79B5" w:rsidRDefault="0079367C" w:rsidP="0079367C">
      <w:pPr>
        <w:pStyle w:val="HChGA"/>
        <w:rPr>
          <w:rtl/>
        </w:rPr>
      </w:pPr>
      <w:r>
        <w:rPr>
          <w:rFonts w:hint="cs"/>
          <w:rtl/>
        </w:rPr>
        <w:tab/>
      </w:r>
      <w:r w:rsidR="002B79B5">
        <w:rPr>
          <w:rtl/>
        </w:rPr>
        <w:t>ثانيا</w:t>
      </w:r>
      <w:r>
        <w:rPr>
          <w:rFonts w:hint="cs"/>
          <w:rtl/>
        </w:rPr>
        <w:t>ً</w:t>
      </w:r>
      <w:r>
        <w:rPr>
          <w:rtl/>
        </w:rPr>
        <w:t>-</w:t>
      </w:r>
      <w:r>
        <w:rPr>
          <w:rFonts w:hint="cs"/>
          <w:rtl/>
        </w:rPr>
        <w:tab/>
      </w:r>
      <w:r w:rsidR="002B79B5">
        <w:rPr>
          <w:rtl/>
        </w:rPr>
        <w:t>الردود على الأسئلة</w:t>
      </w:r>
    </w:p>
    <w:p w:rsidR="002B79B5" w:rsidRDefault="00862C23" w:rsidP="00862C23">
      <w:pPr>
        <w:pStyle w:val="H1GA"/>
        <w:rPr>
          <w:rtl/>
        </w:rPr>
      </w:pPr>
      <w:r>
        <w:rPr>
          <w:rFonts w:hint="cs"/>
          <w:rtl/>
        </w:rPr>
        <w:tab/>
      </w:r>
      <w:r>
        <w:rPr>
          <w:rFonts w:hint="cs"/>
          <w:rtl/>
        </w:rPr>
        <w:tab/>
      </w:r>
      <w:r w:rsidR="002B79B5">
        <w:rPr>
          <w:rtl/>
        </w:rPr>
        <w:t>مسائل عامة</w:t>
      </w:r>
    </w:p>
    <w:p w:rsidR="002B79B5" w:rsidRDefault="00862C23" w:rsidP="00862C23">
      <w:pPr>
        <w:pStyle w:val="H23GA"/>
        <w:rPr>
          <w:rFonts w:hint="cs"/>
          <w:rtl/>
        </w:rPr>
      </w:pPr>
      <w:r>
        <w:rPr>
          <w:rFonts w:hint="cs"/>
          <w:rtl/>
        </w:rPr>
        <w:tab/>
      </w:r>
      <w:r>
        <w:rPr>
          <w:rFonts w:hint="cs"/>
          <w:rtl/>
        </w:rPr>
        <w:tab/>
      </w:r>
      <w:r w:rsidR="002B79B5">
        <w:rPr>
          <w:rtl/>
        </w:rPr>
        <w:t>الرد على القضايا المطروحة في الفقرة 1 من قائمة القضايا (</w:t>
      </w:r>
      <w:r w:rsidR="002B79B5">
        <w:t>CEDAW/C/CYP/Q/6-7</w:t>
      </w:r>
      <w:r>
        <w:rPr>
          <w:rtl/>
        </w:rPr>
        <w:t>)</w:t>
      </w:r>
    </w:p>
    <w:p w:rsidR="002B79B5" w:rsidRDefault="002B79B5" w:rsidP="002B79B5">
      <w:pPr>
        <w:pStyle w:val="SingleTxtGA"/>
        <w:rPr>
          <w:rtl/>
        </w:rPr>
      </w:pPr>
      <w:r>
        <w:rPr>
          <w:rtl/>
        </w:rPr>
        <w:t>4</w:t>
      </w:r>
      <w:r w:rsidR="0079367C">
        <w:rPr>
          <w:rtl/>
        </w:rPr>
        <w:t>-</w:t>
      </w:r>
      <w:r w:rsidR="0079367C">
        <w:rPr>
          <w:rtl/>
        </w:rPr>
        <w:tab/>
      </w:r>
      <w:r>
        <w:rPr>
          <w:rtl/>
        </w:rPr>
        <w:t>تبين الفقرة 2 من التقرير الدوري عملية إعداده. وتقيم وزارة العدل والنظام العام/</w:t>
      </w:r>
      <w:r w:rsidR="000725DD">
        <w:rPr>
          <w:rFonts w:hint="cs"/>
          <w:rtl/>
        </w:rPr>
        <w:t xml:space="preserve">        </w:t>
      </w:r>
      <w:r>
        <w:rPr>
          <w:rtl/>
        </w:rPr>
        <w:t>الجهاز الوطني لحقوق المرأة حوار</w:t>
      </w:r>
      <w:r w:rsidR="00D94BE0">
        <w:rPr>
          <w:rtl/>
        </w:rPr>
        <w:t xml:space="preserve">اً </w:t>
      </w:r>
      <w:r>
        <w:rPr>
          <w:rtl/>
        </w:rPr>
        <w:t>مفتوح</w:t>
      </w:r>
      <w:r w:rsidR="00D94BE0">
        <w:rPr>
          <w:rtl/>
        </w:rPr>
        <w:t xml:space="preserve">اً </w:t>
      </w:r>
      <w:r>
        <w:rPr>
          <w:rtl/>
        </w:rPr>
        <w:t>وتشاور</w:t>
      </w:r>
      <w:r w:rsidR="00D94BE0">
        <w:rPr>
          <w:rtl/>
        </w:rPr>
        <w:t xml:space="preserve">اً </w:t>
      </w:r>
      <w:r>
        <w:rPr>
          <w:rtl/>
        </w:rPr>
        <w:t>مستمر</w:t>
      </w:r>
      <w:r w:rsidR="00D94BE0">
        <w:rPr>
          <w:rtl/>
        </w:rPr>
        <w:t xml:space="preserve">اً </w:t>
      </w:r>
      <w:r>
        <w:rPr>
          <w:rtl/>
        </w:rPr>
        <w:t xml:space="preserve">بشأن كل القضايا مع المنظمات غير الحكومية أعضاء الجهاز. وتستند المعلومات التي يقدمها الجهاز إلى تلك المشاورات. </w:t>
      </w:r>
    </w:p>
    <w:p w:rsidR="002B79B5" w:rsidRDefault="002B79B5" w:rsidP="002B79B5">
      <w:pPr>
        <w:pStyle w:val="SingleTxtGA"/>
        <w:rPr>
          <w:rtl/>
        </w:rPr>
      </w:pPr>
      <w:r>
        <w:rPr>
          <w:rtl/>
        </w:rPr>
        <w:t>5</w:t>
      </w:r>
      <w:r w:rsidR="0079367C">
        <w:rPr>
          <w:rtl/>
        </w:rPr>
        <w:t>-</w:t>
      </w:r>
      <w:r w:rsidR="0079367C">
        <w:rPr>
          <w:rtl/>
        </w:rPr>
        <w:tab/>
      </w:r>
      <w:r>
        <w:rPr>
          <w:rtl/>
        </w:rPr>
        <w:t>وفي إطار الهيكل الدستوري، يقع على عاتق السلطة التنفيذية التزام البلد بتقديم التقارير عن مستوى تنفيذ صكوك حقوق الإنسان. ومن ثم توافق وزارة الخارجية على التقرير الدوري ويقره مجلس الوزراء. وبعد النظر في التقرير الدوري وإحالة الملاحظات الختامية للجنة، يُعلن عن الوثيقتين بشكل ملائم بواسطة كل الجهات المعنية (مثل المفوض القانوني والجهاز الوطني لحقوق المرأة). وفي هذا السياق، تحال الوثيقتان إلى البرلمان.</w:t>
      </w:r>
    </w:p>
    <w:p w:rsidR="002B79B5" w:rsidRDefault="000D6FB3" w:rsidP="000D6FB3">
      <w:pPr>
        <w:pStyle w:val="H1GA"/>
        <w:rPr>
          <w:rtl/>
        </w:rPr>
      </w:pPr>
      <w:r>
        <w:rPr>
          <w:rFonts w:hint="cs"/>
          <w:rtl/>
        </w:rPr>
        <w:tab/>
      </w:r>
      <w:r>
        <w:rPr>
          <w:rFonts w:hint="cs"/>
          <w:rtl/>
        </w:rPr>
        <w:tab/>
      </w:r>
      <w:r w:rsidR="002B79B5">
        <w:rPr>
          <w:rtl/>
        </w:rPr>
        <w:t>الإطار الدستوري والتشريعي</w:t>
      </w:r>
    </w:p>
    <w:p w:rsidR="002B79B5" w:rsidRDefault="000D6FB3" w:rsidP="000D6FB3">
      <w:pPr>
        <w:pStyle w:val="H23GA"/>
        <w:rPr>
          <w:rFonts w:hint="cs"/>
          <w:rtl/>
        </w:rPr>
      </w:pPr>
      <w:r>
        <w:rPr>
          <w:rFonts w:hint="cs"/>
          <w:rtl/>
        </w:rPr>
        <w:tab/>
      </w:r>
      <w:r>
        <w:rPr>
          <w:rFonts w:hint="cs"/>
          <w:rtl/>
        </w:rPr>
        <w:tab/>
      </w:r>
      <w:r w:rsidR="002B79B5">
        <w:rPr>
          <w:rtl/>
        </w:rPr>
        <w:t>الرد على القضايا المطرو</w:t>
      </w:r>
      <w:r>
        <w:rPr>
          <w:rtl/>
        </w:rPr>
        <w:t>حة في الفقرة 2 من قائمة القضايا</w:t>
      </w:r>
    </w:p>
    <w:p w:rsidR="002B79B5" w:rsidRDefault="002B79B5" w:rsidP="002B79B5">
      <w:pPr>
        <w:pStyle w:val="SingleTxtGA"/>
        <w:rPr>
          <w:rtl/>
        </w:rPr>
      </w:pPr>
      <w:r>
        <w:rPr>
          <w:rtl/>
        </w:rPr>
        <w:t>6</w:t>
      </w:r>
      <w:r w:rsidR="0079367C">
        <w:rPr>
          <w:rtl/>
        </w:rPr>
        <w:t>-</w:t>
      </w:r>
      <w:r w:rsidR="0079367C">
        <w:rPr>
          <w:rtl/>
        </w:rPr>
        <w:tab/>
      </w:r>
      <w:r>
        <w:rPr>
          <w:rtl/>
        </w:rPr>
        <w:t>يشمل نطاق المادة 28 من الدستور التمييز المباشر وغير المباشر. وكانت المحكمة العليا قد قررت ذلك في عام 1991</w:t>
      </w:r>
      <w:r w:rsidR="00E840A2">
        <w:rPr>
          <w:rtl/>
        </w:rPr>
        <w:t xml:space="preserve"> فيما </w:t>
      </w:r>
      <w:r>
        <w:rPr>
          <w:rtl/>
        </w:rPr>
        <w:t xml:space="preserve">يخص بلاغ </w:t>
      </w:r>
      <w:proofErr w:type="spellStart"/>
      <w:r w:rsidRPr="00862C23">
        <w:rPr>
          <w:i/>
          <w:iCs/>
          <w:rtl/>
        </w:rPr>
        <w:t>ملبو</w:t>
      </w:r>
      <w:proofErr w:type="spellEnd"/>
      <w:r w:rsidRPr="00862C23">
        <w:rPr>
          <w:i/>
          <w:iCs/>
          <w:rtl/>
        </w:rPr>
        <w:t xml:space="preserve"> </w:t>
      </w:r>
      <w:proofErr w:type="spellStart"/>
      <w:r w:rsidRPr="00862C23">
        <w:rPr>
          <w:i/>
          <w:iCs/>
          <w:rtl/>
        </w:rPr>
        <w:t>غريغوريو</w:t>
      </w:r>
      <w:proofErr w:type="spellEnd"/>
      <w:r w:rsidRPr="00862C23">
        <w:rPr>
          <w:i/>
          <w:iCs/>
          <w:rtl/>
        </w:rPr>
        <w:t xml:space="preserve"> ضد بلدية نيقوسيا</w:t>
      </w:r>
      <w:r>
        <w:rPr>
          <w:rtl/>
        </w:rPr>
        <w:t xml:space="preserve"> (البلاغ رقم 541/86، الحكم الصادر في 12 أيلول/سبتمبر 1991). وكانت القضية تتعلق ببلاغ عن المساواة في الأجر دون التمييز بسبب نوع الجنس. وقررت المحكمة العليا أن مقدمة البلاغ تعرضت للتمييز من رب عملها، حيث كانت تعمل نفس الوقت ولديها نفس المهارات والمهام والمسؤوليات ونفس المنصب مثل أقرانها من الذكور. وكان الفارق في الأجر بسبب اختلاف نوع الجنس</w:t>
      </w:r>
      <w:r w:rsidR="00E840A2">
        <w:rPr>
          <w:rtl/>
        </w:rPr>
        <w:t xml:space="preserve"> لا </w:t>
      </w:r>
      <w:r>
        <w:rPr>
          <w:rtl/>
        </w:rPr>
        <w:t xml:space="preserve">غير. ومن الجدير بالذكر أن المحكمة العليا قررت وقوع التمييز في البلاغ المذكور بالاستناد مباشرة إلى المادة 28 من الدستور. وفي ذلك الوقت لم يكن قد اعتُمد بعد قانون المساواة في الأجر بين الرجل والمرأة في التوظيف عن العمل المتساوي القيمة. </w:t>
      </w:r>
    </w:p>
    <w:p w:rsidR="002B79B5" w:rsidRDefault="002B79B5" w:rsidP="000E778D">
      <w:pPr>
        <w:pStyle w:val="SingleTxtGA"/>
        <w:rPr>
          <w:rtl/>
        </w:rPr>
      </w:pPr>
      <w:r>
        <w:rPr>
          <w:rtl/>
        </w:rPr>
        <w:t>7</w:t>
      </w:r>
      <w:r w:rsidR="0079367C">
        <w:rPr>
          <w:rtl/>
        </w:rPr>
        <w:t>-</w:t>
      </w:r>
      <w:r w:rsidR="0079367C">
        <w:rPr>
          <w:rtl/>
        </w:rPr>
        <w:tab/>
      </w:r>
      <w:r>
        <w:rPr>
          <w:rtl/>
        </w:rPr>
        <w:t>وبالنظر إلى مسألة التمييز المباشر وغير المباشر، ذكرت المحكمة العليا ما يلي: "إن</w:t>
      </w:r>
      <w:r w:rsidR="00862C23">
        <w:rPr>
          <w:rFonts w:hint="cs"/>
          <w:rtl/>
        </w:rPr>
        <w:t> </w:t>
      </w:r>
      <w:r>
        <w:rPr>
          <w:rtl/>
        </w:rPr>
        <w:t>المادة 28 من الدستور تضمن وتكفل الحق في المساواة وتحظر التمييز المباشر أو غير المباشر بسبب نوع الجنس من بين أسباب أخرى". واسترسلت المحكمة العليا قائلة إن "المادة</w:t>
      </w:r>
      <w:r w:rsidR="000E778D">
        <w:rPr>
          <w:rFonts w:hint="cs"/>
          <w:rtl/>
        </w:rPr>
        <w:t> </w:t>
      </w:r>
      <w:r>
        <w:rPr>
          <w:rtl/>
        </w:rPr>
        <w:t>28 من الدستور تشتمل على حظر مستقل للتمييز". وعلى الرغم من أن رب العمل، وهو بلدية نيقوسيا، منظمة خاضعة للقانون العام ومنشأة وفق</w:t>
      </w:r>
      <w:r w:rsidR="00D94BE0">
        <w:rPr>
          <w:rtl/>
        </w:rPr>
        <w:t xml:space="preserve">اً </w:t>
      </w:r>
      <w:r>
        <w:rPr>
          <w:rtl/>
        </w:rPr>
        <w:t>للقانون، فإن المحكمة العليا في البلاغ المذكور أعلاه قد تطرقت إلى مسألة ما إذا كان التمييز المنصوص عليه في المادة 28 من الدستور يمتد ليشمل أعمال التمييز من الجهات الفاعلة العامة والخاصة على السواء. وذكرت المحكمة العليا ما يلي: "بموجب المادة 35 من الدستور، يجب على السلطات التشريعية والتنفيذية والقضائية أن تكفل التنفيذ الفعال للباب الثاني من الدستور، الذي يشير إلى الحقوق والواجبات الأساسية." وبذلك، ووفق</w:t>
      </w:r>
      <w:r w:rsidR="00D94BE0">
        <w:rPr>
          <w:rtl/>
        </w:rPr>
        <w:t xml:space="preserve">اً </w:t>
      </w:r>
      <w:r>
        <w:rPr>
          <w:rtl/>
        </w:rPr>
        <w:t>للمحكمة العليا، فإن بلدية نيقوسيا يقع عليها التزام منبثق عن الباب الثاني من الدستور عموم</w:t>
      </w:r>
      <w:r w:rsidR="00D94BE0">
        <w:rPr>
          <w:rtl/>
        </w:rPr>
        <w:t xml:space="preserve">اً </w:t>
      </w:r>
      <w:r>
        <w:rPr>
          <w:rtl/>
        </w:rPr>
        <w:t>والمادة 28 خصوص</w:t>
      </w:r>
      <w:r w:rsidR="00D94BE0">
        <w:rPr>
          <w:rtl/>
        </w:rPr>
        <w:t>اً،</w:t>
      </w:r>
      <w:r>
        <w:rPr>
          <w:rtl/>
        </w:rPr>
        <w:t xml:space="preserve"> بالعمل بأسلوب يضمن ويُعمل الحق الأساسي في المساواة، بما في ذلك مبدأ المساواة في الأجر بين الرجل والمرأة عن العمل المتساوي القيمة.</w:t>
      </w:r>
    </w:p>
    <w:p w:rsidR="002B79B5" w:rsidRPr="00862C23" w:rsidRDefault="002B79B5" w:rsidP="003515E1">
      <w:pPr>
        <w:pStyle w:val="SingleTxtGA"/>
        <w:spacing w:line="370" w:lineRule="exact"/>
        <w:rPr>
          <w:spacing w:val="-2"/>
          <w:rtl/>
        </w:rPr>
      </w:pPr>
      <w:r w:rsidRPr="00862C23">
        <w:rPr>
          <w:spacing w:val="-2"/>
          <w:rtl/>
        </w:rPr>
        <w:t>8</w:t>
      </w:r>
      <w:r w:rsidR="0079367C" w:rsidRPr="00862C23">
        <w:rPr>
          <w:spacing w:val="-2"/>
          <w:rtl/>
        </w:rPr>
        <w:t>-</w:t>
      </w:r>
      <w:r w:rsidR="0079367C" w:rsidRPr="00862C23">
        <w:rPr>
          <w:spacing w:val="-2"/>
          <w:rtl/>
        </w:rPr>
        <w:tab/>
      </w:r>
      <w:r w:rsidRPr="00862C23">
        <w:rPr>
          <w:spacing w:val="-2"/>
          <w:rtl/>
        </w:rPr>
        <w:t>وبالإضافة إلى ما سبق، فقد تقرر وفق</w:t>
      </w:r>
      <w:r w:rsidR="00D94BE0" w:rsidRPr="00862C23">
        <w:rPr>
          <w:spacing w:val="-2"/>
          <w:rtl/>
        </w:rPr>
        <w:t xml:space="preserve">اً </w:t>
      </w:r>
      <w:r w:rsidRPr="00862C23">
        <w:rPr>
          <w:spacing w:val="-2"/>
          <w:rtl/>
        </w:rPr>
        <w:t xml:space="preserve">للاجتهاد القضائي في عام 2001 (في قضية </w:t>
      </w:r>
      <w:proofErr w:type="spellStart"/>
      <w:r w:rsidRPr="00862C23">
        <w:rPr>
          <w:i/>
          <w:iCs/>
          <w:spacing w:val="-2"/>
          <w:rtl/>
        </w:rPr>
        <w:t>يالورو</w:t>
      </w:r>
      <w:proofErr w:type="spellEnd"/>
      <w:r w:rsidRPr="00862C23">
        <w:rPr>
          <w:i/>
          <w:iCs/>
          <w:spacing w:val="-2"/>
          <w:rtl/>
        </w:rPr>
        <w:t xml:space="preserve"> ضد </w:t>
      </w:r>
      <w:proofErr w:type="spellStart"/>
      <w:r w:rsidRPr="00862C23">
        <w:rPr>
          <w:i/>
          <w:iCs/>
          <w:spacing w:val="-2"/>
          <w:rtl/>
        </w:rPr>
        <w:t>إفغنيوس</w:t>
      </w:r>
      <w:proofErr w:type="spellEnd"/>
      <w:r w:rsidRPr="00862C23">
        <w:rPr>
          <w:i/>
          <w:iCs/>
          <w:spacing w:val="-2"/>
          <w:rtl/>
        </w:rPr>
        <w:t xml:space="preserve"> </w:t>
      </w:r>
      <w:proofErr w:type="spellStart"/>
      <w:r w:rsidRPr="00862C23">
        <w:rPr>
          <w:i/>
          <w:iCs/>
          <w:spacing w:val="-2"/>
          <w:rtl/>
        </w:rPr>
        <w:t>نيكولاو</w:t>
      </w:r>
      <w:proofErr w:type="spellEnd"/>
      <w:r w:rsidRPr="00862C23">
        <w:rPr>
          <w:spacing w:val="-2"/>
          <w:rtl/>
        </w:rPr>
        <w:t xml:space="preserve">، استئناف الدعوى المدنية رقم 9931، الحكم الصادر </w:t>
      </w:r>
      <w:r w:rsidR="007A301E">
        <w:rPr>
          <w:rFonts w:hint="cs"/>
          <w:spacing w:val="-2"/>
          <w:rtl/>
        </w:rPr>
        <w:t xml:space="preserve">                 </w:t>
      </w:r>
      <w:r w:rsidRPr="00862C23">
        <w:rPr>
          <w:spacing w:val="-2"/>
          <w:rtl/>
        </w:rPr>
        <w:t>في 8 أيار/مايو 2001 عن المحكمة العليا بكامل هيئتها) أن انتهاك حقوق الإنسان فعل يسوغ مقاضاة مرتكبيه في المحاكم المدنية، والحصول منهم على تعويض عادل ومعقول، مالي وغير مالي، من بين أمور أخرى، عن ما وقع من ضرر. ونتيجة لذلك أن الشخص الذي يتعرض للتمييز، سواء بشكل مباشر أو غير مباشر،</w:t>
      </w:r>
      <w:r w:rsidR="00E840A2" w:rsidRPr="00862C23">
        <w:rPr>
          <w:spacing w:val="-2"/>
          <w:rtl/>
        </w:rPr>
        <w:t xml:space="preserve"> فيما </w:t>
      </w:r>
      <w:r w:rsidRPr="00862C23">
        <w:rPr>
          <w:spacing w:val="-2"/>
          <w:rtl/>
        </w:rPr>
        <w:t>يتعلق بالتمتع بحقوق الإنسان والحريات المكفولة في دستور قبرص (في الباب الثاني من أحكامه الذي يستنسخ على نطاق واسع أحكام الاتفاقية الأوروبية لحقوق الإنسان) يمكنه أن يقاضي الدولة أو الأشخاص العاديين للحصول على تعويضات و/أو سبل انتصاف مناسبة أخرى في إطار القانون المدني عن انتهاك حقه الدستوري (بموجب المادة 28) حتى يتمتع بالحقوق والحريات المذكورة أعلاه من دون هذا التمييز. وأشارت المحكمة العليا أيض</w:t>
      </w:r>
      <w:r w:rsidR="00D94BE0" w:rsidRPr="00862C23">
        <w:rPr>
          <w:spacing w:val="-2"/>
          <w:rtl/>
        </w:rPr>
        <w:t xml:space="preserve">اً </w:t>
      </w:r>
      <w:r w:rsidRPr="00862C23">
        <w:rPr>
          <w:spacing w:val="-2"/>
          <w:rtl/>
        </w:rPr>
        <w:t>إلى ضرورة تفسير المادة 13 من الاتفاقية الأوروبية لحقوق الإنسان من أجل ضمان سبيل انتصاف فعال أمام سلطة وطنية لأي شخص يدعي أن حقوقه التي تكفلها الاتفاقية قد انتُهكت. وذكرت أنه "في قبرص، تشكل أحكام المادة 13 جزء</w:t>
      </w:r>
      <w:r w:rsidR="00D94BE0" w:rsidRPr="00862C23">
        <w:rPr>
          <w:spacing w:val="-2"/>
          <w:rtl/>
        </w:rPr>
        <w:t xml:space="preserve">اً </w:t>
      </w:r>
      <w:r w:rsidRPr="00862C23">
        <w:rPr>
          <w:spacing w:val="-2"/>
          <w:rtl/>
        </w:rPr>
        <w:t>من</w:t>
      </w:r>
      <w:r w:rsidR="003515E1">
        <w:rPr>
          <w:rFonts w:hint="cs"/>
          <w:spacing w:val="-2"/>
          <w:rtl/>
        </w:rPr>
        <w:t> </w:t>
      </w:r>
      <w:r w:rsidRPr="00862C23">
        <w:rPr>
          <w:spacing w:val="-2"/>
          <w:rtl/>
        </w:rPr>
        <w:t>القانون المحلي، بما يضمن الحق في سبيل انتصاف فعال عن انتهاك الحقوق التي تكفلها الاتفاقية (والتي تناظر إلى حد كبير الحقوق التي يكفلها الباب الثاني من الدستور). ومن ثم، بالإضافة إلى</w:t>
      </w:r>
      <w:r w:rsidR="00862C23">
        <w:rPr>
          <w:rFonts w:hint="cs"/>
          <w:spacing w:val="-2"/>
          <w:rtl/>
        </w:rPr>
        <w:t> </w:t>
      </w:r>
      <w:r w:rsidRPr="00862C23">
        <w:rPr>
          <w:spacing w:val="-2"/>
          <w:rtl/>
        </w:rPr>
        <w:t>طابع الحقوق المكرسة في مفهوم الحماية القضائية، وأحكام المادة 35 من الدستور التي تُنشئ الالتزام بالحماية القضائية، فإن المادة 13 من الاتفاقية تحمي الحق في الحصول على</w:t>
      </w:r>
      <w:r w:rsidR="003515E1">
        <w:rPr>
          <w:rFonts w:hint="cs"/>
          <w:spacing w:val="-2"/>
          <w:rtl/>
        </w:rPr>
        <w:t> </w:t>
      </w:r>
      <w:r w:rsidRPr="00862C23">
        <w:rPr>
          <w:spacing w:val="-2"/>
          <w:rtl/>
        </w:rPr>
        <w:t>سبيل انتصاف بشأن كل الحقوق الأساسية التي تناظر تلك المحمية بموجب الاتفاقية".</w:t>
      </w:r>
    </w:p>
    <w:p w:rsidR="002B79B5" w:rsidRDefault="002B79B5" w:rsidP="00862C23">
      <w:pPr>
        <w:pStyle w:val="SingleTxtGA"/>
        <w:spacing w:line="370" w:lineRule="exact"/>
        <w:rPr>
          <w:rtl/>
        </w:rPr>
      </w:pPr>
      <w:r>
        <w:rPr>
          <w:rtl/>
        </w:rPr>
        <w:t>9</w:t>
      </w:r>
      <w:r w:rsidR="0079367C">
        <w:rPr>
          <w:rtl/>
        </w:rPr>
        <w:t>-</w:t>
      </w:r>
      <w:r w:rsidR="0079367C">
        <w:rPr>
          <w:rtl/>
        </w:rPr>
        <w:tab/>
      </w:r>
      <w:r>
        <w:rPr>
          <w:rtl/>
        </w:rPr>
        <w:t xml:space="preserve">وقد استشهدت المحاكم المحلية بالاتفاقية وأشارت إليها في أحكام مختلفة. وعلى سبيل المثال، أشارت المحكمة العليا إلى الاتفاقية في بلاغ </w:t>
      </w:r>
      <w:proofErr w:type="spellStart"/>
      <w:r w:rsidRPr="00862C23">
        <w:rPr>
          <w:i/>
          <w:iCs/>
          <w:rtl/>
        </w:rPr>
        <w:t>نيتسا</w:t>
      </w:r>
      <w:proofErr w:type="spellEnd"/>
      <w:r w:rsidRPr="00862C23">
        <w:rPr>
          <w:i/>
          <w:iCs/>
          <w:rtl/>
        </w:rPr>
        <w:t xml:space="preserve"> </w:t>
      </w:r>
      <w:proofErr w:type="spellStart"/>
      <w:r w:rsidRPr="00862C23">
        <w:rPr>
          <w:i/>
          <w:iCs/>
          <w:rtl/>
        </w:rPr>
        <w:t>جورجيو</w:t>
      </w:r>
      <w:proofErr w:type="spellEnd"/>
      <w:r w:rsidRPr="00862C23">
        <w:rPr>
          <w:i/>
          <w:iCs/>
          <w:rtl/>
        </w:rPr>
        <w:t xml:space="preserve"> </w:t>
      </w:r>
      <w:proofErr w:type="spellStart"/>
      <w:r w:rsidRPr="00862C23">
        <w:rPr>
          <w:i/>
          <w:iCs/>
          <w:rtl/>
        </w:rPr>
        <w:t>زوكوف</w:t>
      </w:r>
      <w:proofErr w:type="spellEnd"/>
      <w:r w:rsidRPr="00862C23">
        <w:rPr>
          <w:i/>
          <w:iCs/>
          <w:rtl/>
        </w:rPr>
        <w:t xml:space="preserve"> وجورجيا </w:t>
      </w:r>
      <w:proofErr w:type="spellStart"/>
      <w:r w:rsidRPr="00862C23">
        <w:rPr>
          <w:i/>
          <w:iCs/>
          <w:rtl/>
        </w:rPr>
        <w:t>أندريا</w:t>
      </w:r>
      <w:proofErr w:type="spellEnd"/>
      <w:r w:rsidRPr="00862C23">
        <w:rPr>
          <w:i/>
          <w:iCs/>
          <w:rtl/>
        </w:rPr>
        <w:t xml:space="preserve"> </w:t>
      </w:r>
      <w:proofErr w:type="spellStart"/>
      <w:r w:rsidRPr="00862C23">
        <w:rPr>
          <w:i/>
          <w:iCs/>
          <w:rtl/>
        </w:rPr>
        <w:t>زوكوف</w:t>
      </w:r>
      <w:proofErr w:type="spellEnd"/>
      <w:r w:rsidRPr="00862C23">
        <w:rPr>
          <w:i/>
          <w:iCs/>
          <w:rtl/>
        </w:rPr>
        <w:t xml:space="preserve"> ضد جمهورية قبرص</w:t>
      </w:r>
      <w:r>
        <w:rPr>
          <w:rtl/>
        </w:rPr>
        <w:t xml:space="preserve"> بواسطة أمين سجل المدرسة اليونانية في </w:t>
      </w:r>
      <w:proofErr w:type="spellStart"/>
      <w:r>
        <w:rPr>
          <w:rtl/>
        </w:rPr>
        <w:t>بافوس</w:t>
      </w:r>
      <w:proofErr w:type="spellEnd"/>
      <w:r>
        <w:rPr>
          <w:rtl/>
        </w:rPr>
        <w:t xml:space="preserve"> (القضية رقم</w:t>
      </w:r>
      <w:r w:rsidR="00862C23">
        <w:rPr>
          <w:rFonts w:hint="cs"/>
          <w:rtl/>
        </w:rPr>
        <w:t> </w:t>
      </w:r>
      <w:r>
        <w:rPr>
          <w:rtl/>
        </w:rPr>
        <w:t>912/89، الحكم الصادر في 25 تموز/يوليه 1990). وكانت القضية تتعلق بعدم التعيين في مطعم مدرسة ثانوية لأن مقدمتي الشكوى من النساء وسيكون من الصعب عليهما التكيف مع المراهقين الذكور. وأشارت المحكمة العليا إلى أمور من بينها الحق في التمتع بنفس فرص العمالة، بما في ذلك تطبيق معايير اختيار واحدة في شؤون الاستخدام (المادة 11</w:t>
      </w:r>
      <w:r w:rsidR="00416995">
        <w:rPr>
          <w:rtl/>
        </w:rPr>
        <w:t>(</w:t>
      </w:r>
      <w:r>
        <w:rPr>
          <w:rtl/>
        </w:rPr>
        <w:t>ب) من الاتفاقية). ومن ثم نجح البلاغ.</w:t>
      </w:r>
    </w:p>
    <w:p w:rsidR="002B79B5" w:rsidRPr="00862C23" w:rsidRDefault="002B79B5" w:rsidP="00862C23">
      <w:pPr>
        <w:pStyle w:val="SingleTxtGA"/>
        <w:spacing w:line="370" w:lineRule="exact"/>
        <w:rPr>
          <w:spacing w:val="-2"/>
          <w:rtl/>
        </w:rPr>
      </w:pPr>
      <w:r w:rsidRPr="00862C23">
        <w:rPr>
          <w:spacing w:val="-2"/>
          <w:rtl/>
        </w:rPr>
        <w:t>10</w:t>
      </w:r>
      <w:r w:rsidR="0079367C" w:rsidRPr="00862C23">
        <w:rPr>
          <w:spacing w:val="-2"/>
          <w:rtl/>
        </w:rPr>
        <w:t>-</w:t>
      </w:r>
      <w:r w:rsidR="0079367C" w:rsidRPr="00862C23">
        <w:rPr>
          <w:spacing w:val="-2"/>
          <w:rtl/>
        </w:rPr>
        <w:tab/>
      </w:r>
      <w:r w:rsidRPr="00862C23">
        <w:rPr>
          <w:spacing w:val="-2"/>
          <w:rtl/>
        </w:rPr>
        <w:t xml:space="preserve">كما أشارت المحكمة العليا إلى الاتفاقية في بلاغ </w:t>
      </w:r>
      <w:proofErr w:type="spellStart"/>
      <w:r w:rsidRPr="00862C23">
        <w:rPr>
          <w:i/>
          <w:iCs/>
          <w:spacing w:val="-2"/>
          <w:rtl/>
        </w:rPr>
        <w:t>كيرياكوس</w:t>
      </w:r>
      <w:proofErr w:type="spellEnd"/>
      <w:r w:rsidRPr="00862C23">
        <w:rPr>
          <w:i/>
          <w:iCs/>
          <w:spacing w:val="-2"/>
          <w:rtl/>
        </w:rPr>
        <w:t xml:space="preserve"> </w:t>
      </w:r>
      <w:proofErr w:type="spellStart"/>
      <w:r w:rsidRPr="00862C23">
        <w:rPr>
          <w:i/>
          <w:iCs/>
          <w:spacing w:val="-2"/>
          <w:rtl/>
        </w:rPr>
        <w:t>باباغيانيس</w:t>
      </w:r>
      <w:proofErr w:type="spellEnd"/>
      <w:r w:rsidRPr="00862C23">
        <w:rPr>
          <w:i/>
          <w:iCs/>
          <w:spacing w:val="-2"/>
          <w:rtl/>
        </w:rPr>
        <w:t xml:space="preserve"> وآخرون ضد هيئة التدريب الصناعي</w:t>
      </w:r>
      <w:r w:rsidRPr="00862C23">
        <w:rPr>
          <w:spacing w:val="-2"/>
          <w:rtl/>
        </w:rPr>
        <w:t xml:space="preserve"> (القضية رقم 652/89 والقضية رقم 676/89، الحكم الصادر في 19 حزيران/يونيه 1992). وكانت القضية تتعلق بعدم التوظيف في الهيئة المذكورة لأن مقدمة الشكوى لم تحضر الاختبارات التحريرية (وكانت حامل أُدخلت يوم الاختبار التحريري إلى المستشفى وأُجهض طفلها لاحق</w:t>
      </w:r>
      <w:r w:rsidR="00D94BE0" w:rsidRPr="00862C23">
        <w:rPr>
          <w:spacing w:val="-2"/>
          <w:rtl/>
        </w:rPr>
        <w:t>اً)</w:t>
      </w:r>
      <w:r w:rsidRPr="00862C23">
        <w:rPr>
          <w:spacing w:val="-2"/>
          <w:rtl/>
        </w:rPr>
        <w:t>. وأشارت المحكمة العليا إلى أمور من بينها الحق في الوقاية الصحية وسلامة ظروف العمل، بما في ذلك حماية وظيفة الإنجاب (المادة 11</w:t>
      </w:r>
      <w:r w:rsidR="00416995" w:rsidRPr="00862C23">
        <w:rPr>
          <w:spacing w:val="-2"/>
          <w:rtl/>
        </w:rPr>
        <w:t>(</w:t>
      </w:r>
      <w:r w:rsidRPr="00862C23">
        <w:rPr>
          <w:spacing w:val="-2"/>
          <w:rtl/>
        </w:rPr>
        <w:t>و) من الاتفاقية)، وإلى التزام الدول بالامتناع عن مباشرة أي عمل تمييزي أو ممارسة تمييزية ضد المرأة وكفالة تصرف السلطات والمؤسسات العامة بما يتفق وهذا الالتزام (المادة</w:t>
      </w:r>
      <w:r w:rsidR="00D94BE0" w:rsidRPr="00862C23">
        <w:rPr>
          <w:rFonts w:hint="cs"/>
          <w:spacing w:val="-2"/>
          <w:rtl/>
        </w:rPr>
        <w:t> </w:t>
      </w:r>
      <w:r w:rsidRPr="00862C23">
        <w:rPr>
          <w:spacing w:val="-2"/>
          <w:rtl/>
        </w:rPr>
        <w:t>2</w:t>
      </w:r>
      <w:r w:rsidR="00416995" w:rsidRPr="00862C23">
        <w:rPr>
          <w:spacing w:val="-2"/>
          <w:rtl/>
        </w:rPr>
        <w:t>(</w:t>
      </w:r>
      <w:r w:rsidRPr="00862C23">
        <w:rPr>
          <w:spacing w:val="-2"/>
          <w:rtl/>
        </w:rPr>
        <w:t xml:space="preserve">د) من الاتفاقية). ومن ثم نجح البلاغ. </w:t>
      </w:r>
    </w:p>
    <w:p w:rsidR="002B79B5" w:rsidRDefault="00862C23" w:rsidP="00862C23">
      <w:pPr>
        <w:pStyle w:val="H23GA"/>
        <w:rPr>
          <w:rtl/>
        </w:rPr>
      </w:pPr>
      <w:r>
        <w:rPr>
          <w:rFonts w:hint="cs"/>
          <w:rtl/>
        </w:rPr>
        <w:tab/>
      </w:r>
      <w:r>
        <w:rPr>
          <w:rFonts w:hint="cs"/>
          <w:rtl/>
        </w:rPr>
        <w:tab/>
      </w:r>
      <w:r w:rsidR="002B79B5">
        <w:rPr>
          <w:rtl/>
        </w:rPr>
        <w:t>الرد على القضايا المطروحة في الفقرة 3 من قائمة القضايا</w:t>
      </w:r>
    </w:p>
    <w:p w:rsidR="002B79B5" w:rsidRDefault="002B79B5" w:rsidP="002B79B5">
      <w:pPr>
        <w:pStyle w:val="SingleTxtGA"/>
        <w:rPr>
          <w:rtl/>
        </w:rPr>
      </w:pPr>
      <w:r>
        <w:rPr>
          <w:rtl/>
        </w:rPr>
        <w:t>11</w:t>
      </w:r>
      <w:r w:rsidR="0079367C">
        <w:rPr>
          <w:rtl/>
        </w:rPr>
        <w:t>-</w:t>
      </w:r>
      <w:r w:rsidR="0079367C">
        <w:rPr>
          <w:rtl/>
        </w:rPr>
        <w:tab/>
      </w:r>
      <w:r>
        <w:rPr>
          <w:rtl/>
        </w:rPr>
        <w:t>وفق</w:t>
      </w:r>
      <w:r w:rsidR="00D94BE0">
        <w:rPr>
          <w:rtl/>
        </w:rPr>
        <w:t xml:space="preserve">اً </w:t>
      </w:r>
      <w:r>
        <w:rPr>
          <w:rtl/>
        </w:rPr>
        <w:t xml:space="preserve">لوزارة العمل والتأمينات الاجتماعية، فإن أكثر ما تفيد </w:t>
      </w:r>
      <w:proofErr w:type="spellStart"/>
      <w:r>
        <w:rPr>
          <w:rtl/>
        </w:rPr>
        <w:t>به</w:t>
      </w:r>
      <w:proofErr w:type="spellEnd"/>
      <w:r>
        <w:rPr>
          <w:rtl/>
        </w:rPr>
        <w:t xml:space="preserve"> التقارير من أسباب تتعلق بعزوف المرأة عن رفع الدعاوى أمام المحاكم هي: </w:t>
      </w:r>
    </w:p>
    <w:p w:rsidR="002B79B5" w:rsidRDefault="0079367C" w:rsidP="002B79B5">
      <w:pPr>
        <w:pStyle w:val="SingleTxtGA"/>
        <w:rPr>
          <w:rtl/>
        </w:rPr>
      </w:pPr>
      <w:r>
        <w:rPr>
          <w:rtl/>
        </w:rPr>
        <w:tab/>
        <w:t>(</w:t>
      </w:r>
      <w:r w:rsidR="002B79B5">
        <w:rPr>
          <w:rtl/>
        </w:rPr>
        <w:t>أ</w:t>
      </w:r>
      <w:r>
        <w:rPr>
          <w:rtl/>
        </w:rPr>
        <w:t>)</w:t>
      </w:r>
      <w:r>
        <w:rPr>
          <w:rtl/>
        </w:rPr>
        <w:tab/>
      </w:r>
      <w:r w:rsidR="002B79B5">
        <w:rPr>
          <w:rtl/>
        </w:rPr>
        <w:t>طول المدة الزمنية لإجراءات المحاكم؛</w:t>
      </w:r>
    </w:p>
    <w:p w:rsidR="002B79B5" w:rsidRDefault="0079367C" w:rsidP="002B79B5">
      <w:pPr>
        <w:pStyle w:val="SingleTxtGA"/>
        <w:rPr>
          <w:rtl/>
        </w:rPr>
      </w:pPr>
      <w:r>
        <w:rPr>
          <w:rtl/>
        </w:rPr>
        <w:tab/>
        <w:t>(</w:t>
      </w:r>
      <w:r w:rsidR="002B79B5">
        <w:rPr>
          <w:rtl/>
        </w:rPr>
        <w:t>ب</w:t>
      </w:r>
      <w:r>
        <w:rPr>
          <w:rtl/>
        </w:rPr>
        <w:t>)</w:t>
      </w:r>
      <w:r>
        <w:rPr>
          <w:rtl/>
        </w:rPr>
        <w:tab/>
      </w:r>
      <w:r w:rsidR="002B79B5">
        <w:rPr>
          <w:rtl/>
        </w:rPr>
        <w:t>التكاليف التي تتطلبها إجراءات المحاكم؛</w:t>
      </w:r>
    </w:p>
    <w:p w:rsidR="002B79B5" w:rsidRDefault="0079367C" w:rsidP="002B79B5">
      <w:pPr>
        <w:pStyle w:val="SingleTxtGA"/>
        <w:rPr>
          <w:rFonts w:hint="cs"/>
          <w:rtl/>
        </w:rPr>
      </w:pPr>
      <w:r>
        <w:rPr>
          <w:rtl/>
        </w:rPr>
        <w:tab/>
        <w:t>(</w:t>
      </w:r>
      <w:r w:rsidR="002B79B5">
        <w:rPr>
          <w:rtl/>
        </w:rPr>
        <w:t>ج</w:t>
      </w:r>
      <w:r>
        <w:rPr>
          <w:rtl/>
        </w:rPr>
        <w:t>)</w:t>
      </w:r>
      <w:r>
        <w:rPr>
          <w:rtl/>
        </w:rPr>
        <w:tab/>
      </w:r>
      <w:r w:rsidR="002B79B5">
        <w:rPr>
          <w:rtl/>
        </w:rPr>
        <w:t>الشعور بأن رفع الدعاوى</w:t>
      </w:r>
      <w:r w:rsidR="00E840A2">
        <w:rPr>
          <w:rtl/>
        </w:rPr>
        <w:t xml:space="preserve"> لا </w:t>
      </w:r>
      <w:r w:rsidR="00862C23">
        <w:rPr>
          <w:rtl/>
        </w:rPr>
        <w:t>طائل منه؛</w:t>
      </w:r>
    </w:p>
    <w:p w:rsidR="002B79B5" w:rsidRDefault="0079367C" w:rsidP="002B79B5">
      <w:pPr>
        <w:pStyle w:val="SingleTxtGA"/>
        <w:rPr>
          <w:rtl/>
        </w:rPr>
      </w:pPr>
      <w:r>
        <w:rPr>
          <w:rtl/>
        </w:rPr>
        <w:tab/>
        <w:t>(</w:t>
      </w:r>
      <w:r w:rsidR="002B79B5">
        <w:rPr>
          <w:rtl/>
        </w:rPr>
        <w:t>د</w:t>
      </w:r>
      <w:r>
        <w:rPr>
          <w:rtl/>
        </w:rPr>
        <w:t>)</w:t>
      </w:r>
      <w:r>
        <w:rPr>
          <w:rtl/>
        </w:rPr>
        <w:tab/>
      </w:r>
      <w:r w:rsidR="002B79B5">
        <w:rPr>
          <w:rtl/>
        </w:rPr>
        <w:t>الخوف من الوصمة الاجتماعية (في حالة التحرش الجنسي).</w:t>
      </w:r>
    </w:p>
    <w:p w:rsidR="002B79B5" w:rsidRDefault="002B79B5" w:rsidP="002B79B5">
      <w:pPr>
        <w:pStyle w:val="SingleTxtGA"/>
        <w:rPr>
          <w:rtl/>
        </w:rPr>
      </w:pPr>
      <w:r>
        <w:rPr>
          <w:rtl/>
        </w:rPr>
        <w:t>12</w:t>
      </w:r>
      <w:r w:rsidR="0079367C">
        <w:rPr>
          <w:rtl/>
        </w:rPr>
        <w:t>-</w:t>
      </w:r>
      <w:r w:rsidR="0079367C">
        <w:rPr>
          <w:rtl/>
        </w:rPr>
        <w:tab/>
      </w:r>
      <w:r>
        <w:rPr>
          <w:rtl/>
        </w:rPr>
        <w:t>ويعمل مكتب العمل بنشاط كبير واتخذ عدد</w:t>
      </w:r>
      <w:r w:rsidR="00D94BE0">
        <w:rPr>
          <w:rtl/>
        </w:rPr>
        <w:t xml:space="preserve">اً </w:t>
      </w:r>
      <w:r>
        <w:rPr>
          <w:rtl/>
        </w:rPr>
        <w:t>من الخطوات الهادفة إلى زيادة وعي المرأة وتشجيعها على اتخاذ إجراءات ضد التمييز. وتحديد</w:t>
      </w:r>
      <w:r w:rsidR="00D94BE0">
        <w:rPr>
          <w:rtl/>
        </w:rPr>
        <w:t xml:space="preserve">اً </w:t>
      </w:r>
      <w:r>
        <w:rPr>
          <w:rtl/>
        </w:rPr>
        <w:t>اتُخذت الخطوات التالية:</w:t>
      </w:r>
    </w:p>
    <w:p w:rsidR="002B79B5" w:rsidRDefault="0079367C" w:rsidP="002B79B5">
      <w:pPr>
        <w:pStyle w:val="SingleTxtGA"/>
        <w:rPr>
          <w:rtl/>
        </w:rPr>
      </w:pPr>
      <w:r>
        <w:rPr>
          <w:rtl/>
        </w:rPr>
        <w:tab/>
        <w:t>(</w:t>
      </w:r>
      <w:r w:rsidR="002B79B5">
        <w:rPr>
          <w:rtl/>
        </w:rPr>
        <w:t>أ</w:t>
      </w:r>
      <w:r>
        <w:rPr>
          <w:rtl/>
        </w:rPr>
        <w:t>)</w:t>
      </w:r>
      <w:r>
        <w:rPr>
          <w:rtl/>
        </w:rPr>
        <w:tab/>
      </w:r>
      <w:r w:rsidR="002B79B5">
        <w:rPr>
          <w:rtl/>
        </w:rPr>
        <w:t xml:space="preserve">نشر وتعميم مواد إعلامية تتعلق بتعزيز المساواة في المعاملة وفي الحقوق بين الرجل والمرأة في مكان العمل </w:t>
      </w:r>
      <w:r w:rsidR="002B79B5" w:rsidRPr="00B22076">
        <w:rPr>
          <w:i/>
          <w:iCs/>
          <w:rtl/>
        </w:rPr>
        <w:t>(دليل حماية الأمومة والحمل والمساواة في المعاملة في العمالة والتدريب المهني - دليل التزامات وحقوق أرباب العمل والموظفين)</w:t>
      </w:r>
      <w:r w:rsidR="002B79B5">
        <w:rPr>
          <w:rtl/>
        </w:rPr>
        <w:t>؛</w:t>
      </w:r>
    </w:p>
    <w:p w:rsidR="002B79B5" w:rsidRDefault="0079367C" w:rsidP="002B79B5">
      <w:pPr>
        <w:pStyle w:val="SingleTxtGA"/>
        <w:rPr>
          <w:rtl/>
        </w:rPr>
      </w:pPr>
      <w:r>
        <w:rPr>
          <w:rtl/>
        </w:rPr>
        <w:tab/>
        <w:t>(</w:t>
      </w:r>
      <w:r w:rsidR="002B79B5">
        <w:rPr>
          <w:rtl/>
        </w:rPr>
        <w:t>ب</w:t>
      </w:r>
      <w:r>
        <w:rPr>
          <w:rtl/>
        </w:rPr>
        <w:t>)</w:t>
      </w:r>
      <w:r>
        <w:rPr>
          <w:rtl/>
        </w:rPr>
        <w:tab/>
      </w:r>
      <w:r w:rsidR="002B79B5">
        <w:rPr>
          <w:rtl/>
        </w:rPr>
        <w:t>نشر وتعميم معلومات عن التحرش الجنسي؛</w:t>
      </w:r>
    </w:p>
    <w:p w:rsidR="002B79B5" w:rsidRDefault="0079367C" w:rsidP="002B79B5">
      <w:pPr>
        <w:pStyle w:val="SingleTxtGA"/>
        <w:rPr>
          <w:rFonts w:hint="cs"/>
          <w:rtl/>
        </w:rPr>
      </w:pPr>
      <w:r>
        <w:rPr>
          <w:rtl/>
        </w:rPr>
        <w:tab/>
        <w:t>(</w:t>
      </w:r>
      <w:r w:rsidR="002B79B5">
        <w:rPr>
          <w:rtl/>
        </w:rPr>
        <w:t>ج</w:t>
      </w:r>
      <w:r>
        <w:rPr>
          <w:rtl/>
        </w:rPr>
        <w:t>)</w:t>
      </w:r>
      <w:r>
        <w:rPr>
          <w:rtl/>
        </w:rPr>
        <w:tab/>
      </w:r>
      <w:r w:rsidR="002B79B5">
        <w:rPr>
          <w:rtl/>
        </w:rPr>
        <w:t xml:space="preserve">مشاركة موظفي مكتب العمل في برامج تدريبية تستهدف المفتشين </w:t>
      </w:r>
      <w:r w:rsidR="00862C23">
        <w:rPr>
          <w:rtl/>
        </w:rPr>
        <w:t>المعنيين بالمساواة بين الجنسين؛</w:t>
      </w:r>
    </w:p>
    <w:p w:rsidR="002B79B5" w:rsidRDefault="0079367C" w:rsidP="002B79B5">
      <w:pPr>
        <w:pStyle w:val="SingleTxtGA"/>
        <w:rPr>
          <w:rtl/>
        </w:rPr>
      </w:pPr>
      <w:r>
        <w:rPr>
          <w:rtl/>
        </w:rPr>
        <w:tab/>
        <w:t>(</w:t>
      </w:r>
      <w:r w:rsidR="002B79B5">
        <w:rPr>
          <w:rtl/>
        </w:rPr>
        <w:t>د</w:t>
      </w:r>
      <w:r>
        <w:rPr>
          <w:rtl/>
        </w:rPr>
        <w:t>)</w:t>
      </w:r>
      <w:r>
        <w:rPr>
          <w:rtl/>
        </w:rPr>
        <w:tab/>
      </w:r>
      <w:r w:rsidR="002B79B5">
        <w:rPr>
          <w:rtl/>
        </w:rPr>
        <w:t xml:space="preserve">إطلاق حملة إعلامية في عام 2010 (بإعلانات تلفزيونية وإذاعية) تستهدف توعية الجمهور ضد التمييز. </w:t>
      </w:r>
    </w:p>
    <w:p w:rsidR="002B79B5" w:rsidRPr="00862C23" w:rsidRDefault="002B79B5" w:rsidP="002B79B5">
      <w:pPr>
        <w:pStyle w:val="SingleTxtGA"/>
        <w:rPr>
          <w:spacing w:val="-2"/>
          <w:rtl/>
        </w:rPr>
      </w:pPr>
      <w:r w:rsidRPr="00862C23">
        <w:rPr>
          <w:spacing w:val="-2"/>
          <w:rtl/>
        </w:rPr>
        <w:t>13</w:t>
      </w:r>
      <w:r w:rsidR="0079367C" w:rsidRPr="00862C23">
        <w:rPr>
          <w:spacing w:val="-2"/>
          <w:rtl/>
        </w:rPr>
        <w:t>-</w:t>
      </w:r>
      <w:r w:rsidR="0079367C" w:rsidRPr="00862C23">
        <w:rPr>
          <w:spacing w:val="-2"/>
          <w:rtl/>
        </w:rPr>
        <w:tab/>
      </w:r>
      <w:r w:rsidRPr="00862C23">
        <w:rPr>
          <w:spacing w:val="-2"/>
          <w:rtl/>
        </w:rPr>
        <w:t xml:space="preserve">وتشدد الهيئة المعنية بالمساواة (ديوان المظالم) على تنوير الموظفين وأرباب العمل والمنظمات </w:t>
      </w:r>
      <w:proofErr w:type="spellStart"/>
      <w:r w:rsidRPr="00862C23">
        <w:rPr>
          <w:spacing w:val="-2"/>
          <w:rtl/>
        </w:rPr>
        <w:t>والنشطاء</w:t>
      </w:r>
      <w:proofErr w:type="spellEnd"/>
      <w:r w:rsidRPr="00862C23">
        <w:rPr>
          <w:spacing w:val="-2"/>
          <w:rtl/>
        </w:rPr>
        <w:t xml:space="preserve"> بشأن أوجه الاختصاص القضائي للهيئة وأحكام الإطار المؤسسي المتعلقة بحالات حظر أعمال التمييز في العمالة والتدريب المهني، وتعمل على التوعية من خلال ما يلي: </w:t>
      </w:r>
    </w:p>
    <w:p w:rsidR="002B79B5" w:rsidRDefault="0079367C" w:rsidP="002B79B5">
      <w:pPr>
        <w:pStyle w:val="SingleTxtGA"/>
        <w:rPr>
          <w:rtl/>
        </w:rPr>
      </w:pPr>
      <w:r>
        <w:rPr>
          <w:rtl/>
        </w:rPr>
        <w:tab/>
        <w:t>(</w:t>
      </w:r>
      <w:r w:rsidR="002B79B5">
        <w:rPr>
          <w:rtl/>
        </w:rPr>
        <w:t>أ</w:t>
      </w:r>
      <w:r>
        <w:rPr>
          <w:rtl/>
        </w:rPr>
        <w:t>)</w:t>
      </w:r>
      <w:r>
        <w:rPr>
          <w:rtl/>
        </w:rPr>
        <w:tab/>
      </w:r>
      <w:r w:rsidR="002B79B5">
        <w:rPr>
          <w:rtl/>
        </w:rPr>
        <w:t>إطلاق حملة تستهدف القضاء على حالات نشر إعلانات عن وظائف شاغرة تشير إلى جنس واحد فقط (في سياق الحملة، في كانون الأول/ديسمبر 2009، وُجهت رسالة تحمل معلومات تفصيلية عن النشر غير القانوني لإعلانات وظائف شاغرة تشير إلى جنس واحد فقط، إلى وسائط الإعلام بكل أشكالها الصحفية والإلكترونية والإذاعية والتلفزيونية وكذلك إلى مكاتب العمل في مقاطعات قبرص)؛</w:t>
      </w:r>
    </w:p>
    <w:p w:rsidR="002B79B5" w:rsidRDefault="0079367C" w:rsidP="002B79B5">
      <w:pPr>
        <w:pStyle w:val="SingleTxtGA"/>
        <w:rPr>
          <w:rtl/>
        </w:rPr>
      </w:pPr>
      <w:r>
        <w:rPr>
          <w:rtl/>
        </w:rPr>
        <w:tab/>
        <w:t>(</w:t>
      </w:r>
      <w:r w:rsidR="002B79B5">
        <w:rPr>
          <w:rtl/>
        </w:rPr>
        <w:t>ب</w:t>
      </w:r>
      <w:r>
        <w:rPr>
          <w:rtl/>
        </w:rPr>
        <w:t>)</w:t>
      </w:r>
      <w:r>
        <w:rPr>
          <w:rtl/>
        </w:rPr>
        <w:tab/>
      </w:r>
      <w:r w:rsidR="002B79B5">
        <w:rPr>
          <w:rtl/>
        </w:rPr>
        <w:t>إطلاق حملة إعلامية لتوعية الجمهور في قبرص بشأن قضايا التمييز (وهي حملة نظمت في وسائط الإعلام خلال شهري حزيران/يونيه وتموز/يوليه 2010)؛</w:t>
      </w:r>
    </w:p>
    <w:p w:rsidR="002B79B5" w:rsidRDefault="0079367C" w:rsidP="002B79B5">
      <w:pPr>
        <w:pStyle w:val="SingleTxtGA"/>
        <w:rPr>
          <w:rtl/>
        </w:rPr>
      </w:pPr>
      <w:r>
        <w:rPr>
          <w:rtl/>
        </w:rPr>
        <w:tab/>
        <w:t>(</w:t>
      </w:r>
      <w:r w:rsidR="002B79B5">
        <w:rPr>
          <w:rtl/>
        </w:rPr>
        <w:t>ج</w:t>
      </w:r>
      <w:r>
        <w:rPr>
          <w:rtl/>
        </w:rPr>
        <w:t>)</w:t>
      </w:r>
      <w:r>
        <w:rPr>
          <w:rtl/>
        </w:rPr>
        <w:tab/>
      </w:r>
      <w:r w:rsidR="002B79B5">
        <w:rPr>
          <w:rtl/>
        </w:rPr>
        <w:t>تنظيم حلقة دراسية عن تدريب النقابيين في مجال التشريعات المناهضة للتمييز (بالتعاون مع معهد العمل في قبرص (</w:t>
      </w:r>
      <w:r w:rsidR="002B79B5">
        <w:t>INEK – PEO</w:t>
      </w:r>
      <w:r w:rsidR="002B79B5">
        <w:rPr>
          <w:rtl/>
        </w:rPr>
        <w:t>))؛</w:t>
      </w:r>
    </w:p>
    <w:p w:rsidR="002B79B5" w:rsidRPr="00B22076" w:rsidRDefault="0079367C" w:rsidP="002B79B5">
      <w:pPr>
        <w:pStyle w:val="SingleTxtGA"/>
        <w:rPr>
          <w:spacing w:val="-4"/>
          <w:rtl/>
        </w:rPr>
      </w:pPr>
      <w:r w:rsidRPr="00B22076">
        <w:rPr>
          <w:spacing w:val="-4"/>
          <w:rtl/>
        </w:rPr>
        <w:tab/>
        <w:t>(</w:t>
      </w:r>
      <w:r w:rsidR="002B79B5" w:rsidRPr="00B22076">
        <w:rPr>
          <w:spacing w:val="-4"/>
          <w:rtl/>
        </w:rPr>
        <w:t>د</w:t>
      </w:r>
      <w:r w:rsidRPr="00B22076">
        <w:rPr>
          <w:spacing w:val="-4"/>
          <w:rtl/>
        </w:rPr>
        <w:t>)</w:t>
      </w:r>
      <w:r w:rsidRPr="00B22076">
        <w:rPr>
          <w:spacing w:val="-4"/>
          <w:rtl/>
        </w:rPr>
        <w:tab/>
      </w:r>
      <w:r w:rsidR="002B79B5" w:rsidRPr="00B22076">
        <w:rPr>
          <w:spacing w:val="-4"/>
          <w:rtl/>
        </w:rPr>
        <w:t>إنشاء موقع شبكي يضم معلومات عن أوجه الاختصاص القضائي للهيئة المعنية بالمساواة وهيئة مناهضة العنصرية والتمييز (بما يستهدف التواصل التفاعلي الشبكي مع الجمهور)؛</w:t>
      </w:r>
    </w:p>
    <w:p w:rsidR="002B79B5" w:rsidRDefault="0079367C" w:rsidP="002B79B5">
      <w:pPr>
        <w:pStyle w:val="SingleTxtGA"/>
        <w:rPr>
          <w:rtl/>
        </w:rPr>
      </w:pPr>
      <w:r>
        <w:rPr>
          <w:rtl/>
        </w:rPr>
        <w:tab/>
        <w:t>(</w:t>
      </w:r>
      <w:r w:rsidR="00416995">
        <w:rPr>
          <w:rtl/>
        </w:rPr>
        <w:t>ﻫ</w:t>
      </w:r>
      <w:r>
        <w:rPr>
          <w:rtl/>
        </w:rPr>
        <w:t>)</w:t>
      </w:r>
      <w:r>
        <w:rPr>
          <w:rtl/>
        </w:rPr>
        <w:tab/>
      </w:r>
      <w:r w:rsidR="002B79B5">
        <w:rPr>
          <w:rtl/>
        </w:rPr>
        <w:t xml:space="preserve">تمويل مركز قبرص للبحوث </w:t>
      </w:r>
      <w:proofErr w:type="spellStart"/>
      <w:r w:rsidR="002B79B5">
        <w:rPr>
          <w:rtl/>
        </w:rPr>
        <w:t>الجنسانية</w:t>
      </w:r>
      <w:proofErr w:type="spellEnd"/>
      <w:r w:rsidR="002B79B5">
        <w:rPr>
          <w:rtl/>
        </w:rPr>
        <w:t xml:space="preserve"> لإجراء دراسة استقصائية عن سمات المرأة المهاجرة في قبرص واحتياجاتها في التعليم والتدريب المهني.</w:t>
      </w:r>
    </w:p>
    <w:p w:rsidR="002B79B5" w:rsidRDefault="002B79B5" w:rsidP="002B79B5">
      <w:pPr>
        <w:pStyle w:val="SingleTxtGA"/>
        <w:rPr>
          <w:rtl/>
        </w:rPr>
      </w:pPr>
      <w:r>
        <w:rPr>
          <w:rtl/>
        </w:rPr>
        <w:t>14</w:t>
      </w:r>
      <w:r w:rsidR="0079367C">
        <w:rPr>
          <w:rtl/>
        </w:rPr>
        <w:t>-</w:t>
      </w:r>
      <w:r w:rsidR="0079367C">
        <w:rPr>
          <w:rtl/>
        </w:rPr>
        <w:tab/>
      </w:r>
      <w:r>
        <w:rPr>
          <w:rtl/>
        </w:rPr>
        <w:t>وفي عام 2011، عُين مفوض الشؤون الإدارية (أمين المظالم) مفوض</w:t>
      </w:r>
      <w:r w:rsidR="00D94BE0">
        <w:rPr>
          <w:rtl/>
        </w:rPr>
        <w:t xml:space="preserve">اً </w:t>
      </w:r>
      <w:r>
        <w:rPr>
          <w:rtl/>
        </w:rPr>
        <w:t>لحماية حقوق الإنسان. ووفق</w:t>
      </w:r>
      <w:r w:rsidR="00D94BE0">
        <w:rPr>
          <w:rtl/>
        </w:rPr>
        <w:t xml:space="preserve">اً </w:t>
      </w:r>
      <w:r>
        <w:rPr>
          <w:rtl/>
        </w:rPr>
        <w:t>لهذا الإطار التشريعي، فإن أمين المظالم له ولاية بالغة الاتساع لحماية ورصد حقوق الإنسان. وتحديد</w:t>
      </w:r>
      <w:r w:rsidR="00D94BE0">
        <w:rPr>
          <w:rtl/>
        </w:rPr>
        <w:t>اً،</w:t>
      </w:r>
      <w:r>
        <w:rPr>
          <w:rtl/>
        </w:rPr>
        <w:t xml:space="preserve"> فإن لأمين المظالم سلطة التحقيق من البداية وإصدار تقارير بتوصيات تتعلق بتعزيز حقوق الإنسان وحمايتها وصونها وتوسيع نطاقها وامتثال الدوائر العامة لمبادئ حقوق الإنسان الأساسية.</w:t>
      </w:r>
    </w:p>
    <w:p w:rsidR="002B79B5" w:rsidRDefault="002B79B5" w:rsidP="002B79B5">
      <w:pPr>
        <w:pStyle w:val="SingleTxtGA"/>
        <w:rPr>
          <w:rtl/>
        </w:rPr>
      </w:pPr>
      <w:r>
        <w:rPr>
          <w:rtl/>
        </w:rPr>
        <w:t>15</w:t>
      </w:r>
      <w:r w:rsidR="0079367C">
        <w:rPr>
          <w:rtl/>
        </w:rPr>
        <w:t>-</w:t>
      </w:r>
      <w:r w:rsidR="0079367C">
        <w:rPr>
          <w:rtl/>
        </w:rPr>
        <w:tab/>
      </w:r>
      <w:r>
        <w:rPr>
          <w:rtl/>
        </w:rPr>
        <w:t>إلا أن المسؤوليات والسلطات الجديدة للمفوض مُنحت من دون الموارد البشرية والمالية اللازمة للعمل بكفاءة. وهذا يعني أن مفوض حماية حقوق الإنسان يعمل بنفس ميزانية ديوان المظالم. ونظر</w:t>
      </w:r>
      <w:r w:rsidR="00D94BE0">
        <w:rPr>
          <w:rtl/>
        </w:rPr>
        <w:t xml:space="preserve">اً </w:t>
      </w:r>
      <w:r>
        <w:rPr>
          <w:rtl/>
        </w:rPr>
        <w:t xml:space="preserve">لعمليات خفض الميزانية، فإن </w:t>
      </w:r>
      <w:proofErr w:type="spellStart"/>
      <w:r>
        <w:rPr>
          <w:rtl/>
        </w:rPr>
        <w:t>مسؤول</w:t>
      </w:r>
      <w:r w:rsidR="00D94BE0">
        <w:rPr>
          <w:rtl/>
        </w:rPr>
        <w:t>اً</w:t>
      </w:r>
      <w:proofErr w:type="spellEnd"/>
      <w:r w:rsidR="00D94BE0">
        <w:rPr>
          <w:rtl/>
        </w:rPr>
        <w:t xml:space="preserve"> </w:t>
      </w:r>
      <w:r>
        <w:rPr>
          <w:rtl/>
        </w:rPr>
        <w:t>واحد</w:t>
      </w:r>
      <w:r w:rsidR="00D94BE0">
        <w:rPr>
          <w:rtl/>
        </w:rPr>
        <w:t xml:space="preserve">اً </w:t>
      </w:r>
      <w:r>
        <w:rPr>
          <w:rtl/>
        </w:rPr>
        <w:t>فقط هو من يباشر حالي</w:t>
      </w:r>
      <w:r w:rsidR="00D94BE0">
        <w:rPr>
          <w:rtl/>
        </w:rPr>
        <w:t xml:space="preserve">اً </w:t>
      </w:r>
      <w:r>
        <w:rPr>
          <w:rtl/>
        </w:rPr>
        <w:t>الصلاحيات الجديدة.</w:t>
      </w:r>
    </w:p>
    <w:p w:rsidR="002B79B5" w:rsidRDefault="002B79B5" w:rsidP="002B79B5">
      <w:pPr>
        <w:pStyle w:val="SingleTxtGA"/>
        <w:rPr>
          <w:rtl/>
        </w:rPr>
      </w:pPr>
      <w:r>
        <w:rPr>
          <w:rtl/>
        </w:rPr>
        <w:t>16</w:t>
      </w:r>
      <w:r w:rsidR="0079367C">
        <w:rPr>
          <w:rtl/>
        </w:rPr>
        <w:t>-</w:t>
      </w:r>
      <w:r w:rsidR="0079367C">
        <w:rPr>
          <w:rtl/>
        </w:rPr>
        <w:tab/>
      </w:r>
      <w:r>
        <w:rPr>
          <w:rtl/>
        </w:rPr>
        <w:t>أما نتائج الشكاوى المقدمة إلى هيئة مكافحة التمييز (ديوان المظالم) وعددها 17 شكوى فهي كالتالي:</w:t>
      </w:r>
    </w:p>
    <w:p w:rsidR="002B79B5" w:rsidRDefault="0079367C" w:rsidP="002B79B5">
      <w:pPr>
        <w:pStyle w:val="SingleTxtGA"/>
        <w:rPr>
          <w:rtl/>
        </w:rPr>
      </w:pPr>
      <w:r>
        <w:rPr>
          <w:rtl/>
        </w:rPr>
        <w:tab/>
        <w:t>(</w:t>
      </w:r>
      <w:r w:rsidR="002B79B5">
        <w:rPr>
          <w:rtl/>
        </w:rPr>
        <w:t>أ</w:t>
      </w:r>
      <w:r>
        <w:rPr>
          <w:rtl/>
        </w:rPr>
        <w:t>)</w:t>
      </w:r>
      <w:r>
        <w:rPr>
          <w:rtl/>
        </w:rPr>
        <w:tab/>
      </w:r>
      <w:r w:rsidR="002B79B5">
        <w:rPr>
          <w:rtl/>
        </w:rPr>
        <w:t xml:space="preserve">اعتُبرت 3 منها مقبولة وشرعت الهيئة المعنية بالمساواة في وضع تقرير؛ </w:t>
      </w:r>
    </w:p>
    <w:p w:rsidR="002B79B5" w:rsidRPr="00B22076" w:rsidRDefault="0079367C" w:rsidP="002B79B5">
      <w:pPr>
        <w:pStyle w:val="SingleTxtGA"/>
        <w:rPr>
          <w:spacing w:val="-4"/>
          <w:rtl/>
        </w:rPr>
      </w:pPr>
      <w:r w:rsidRPr="00B22076">
        <w:rPr>
          <w:spacing w:val="-4"/>
          <w:rtl/>
        </w:rPr>
        <w:tab/>
        <w:t>(</w:t>
      </w:r>
      <w:r w:rsidR="002B79B5" w:rsidRPr="00B22076">
        <w:rPr>
          <w:spacing w:val="-4"/>
          <w:rtl/>
        </w:rPr>
        <w:t>ب</w:t>
      </w:r>
      <w:r w:rsidRPr="00B22076">
        <w:rPr>
          <w:spacing w:val="-4"/>
          <w:rtl/>
        </w:rPr>
        <w:t>)</w:t>
      </w:r>
      <w:r w:rsidRPr="00B22076">
        <w:rPr>
          <w:spacing w:val="-4"/>
          <w:rtl/>
        </w:rPr>
        <w:tab/>
      </w:r>
      <w:r w:rsidR="002B79B5" w:rsidRPr="00B22076">
        <w:rPr>
          <w:spacing w:val="-4"/>
          <w:rtl/>
        </w:rPr>
        <w:t>اعتُبرت 5 منها</w:t>
      </w:r>
      <w:r w:rsidR="00E840A2" w:rsidRPr="00B22076">
        <w:rPr>
          <w:spacing w:val="-4"/>
          <w:rtl/>
        </w:rPr>
        <w:t xml:space="preserve"> لا </w:t>
      </w:r>
      <w:r w:rsidR="002B79B5" w:rsidRPr="00B22076">
        <w:rPr>
          <w:spacing w:val="-4"/>
          <w:rtl/>
        </w:rPr>
        <w:t>أساس لها أو خارج نطاق صلاحيات الهيئة المعنية بالمساواة؛</w:t>
      </w:r>
    </w:p>
    <w:p w:rsidR="002B79B5" w:rsidRDefault="0079367C" w:rsidP="002B79B5">
      <w:pPr>
        <w:pStyle w:val="SingleTxtGA"/>
        <w:rPr>
          <w:rtl/>
        </w:rPr>
      </w:pPr>
      <w:r>
        <w:rPr>
          <w:rtl/>
        </w:rPr>
        <w:tab/>
        <w:t>(</w:t>
      </w:r>
      <w:r w:rsidR="002B79B5">
        <w:rPr>
          <w:rtl/>
        </w:rPr>
        <w:t>ج</w:t>
      </w:r>
      <w:r>
        <w:rPr>
          <w:rtl/>
        </w:rPr>
        <w:t>)</w:t>
      </w:r>
      <w:r>
        <w:rPr>
          <w:rtl/>
        </w:rPr>
        <w:tab/>
      </w:r>
      <w:r w:rsidR="002B79B5">
        <w:rPr>
          <w:rtl/>
        </w:rPr>
        <w:t>اعتُبرت 3 منها غير مقبولة أو سحبها مقدموها؛</w:t>
      </w:r>
    </w:p>
    <w:p w:rsidR="002B79B5" w:rsidRDefault="0079367C" w:rsidP="002B79B5">
      <w:pPr>
        <w:pStyle w:val="SingleTxtGA"/>
        <w:rPr>
          <w:rFonts w:hint="cs"/>
          <w:rtl/>
        </w:rPr>
      </w:pPr>
      <w:r>
        <w:rPr>
          <w:rtl/>
        </w:rPr>
        <w:tab/>
        <w:t>(</w:t>
      </w:r>
      <w:r w:rsidR="002B79B5">
        <w:rPr>
          <w:rtl/>
        </w:rPr>
        <w:t>د</w:t>
      </w:r>
      <w:r>
        <w:rPr>
          <w:rtl/>
        </w:rPr>
        <w:t>)</w:t>
      </w:r>
      <w:r>
        <w:rPr>
          <w:rtl/>
        </w:rPr>
        <w:tab/>
      </w:r>
      <w:r w:rsidR="002B79B5">
        <w:rPr>
          <w:rtl/>
        </w:rPr>
        <w:t>اختُتمت واحدة منها بنجا</w:t>
      </w:r>
      <w:r w:rsidR="00B22076">
        <w:rPr>
          <w:rtl/>
        </w:rPr>
        <w:t>ح بعد تدخل هيئة مكافحة التمييز؛</w:t>
      </w:r>
    </w:p>
    <w:p w:rsidR="002B79B5" w:rsidRDefault="0079367C" w:rsidP="002B79B5">
      <w:pPr>
        <w:pStyle w:val="SingleTxtGA"/>
        <w:rPr>
          <w:rtl/>
        </w:rPr>
      </w:pPr>
      <w:r>
        <w:rPr>
          <w:rtl/>
        </w:rPr>
        <w:tab/>
        <w:t>(</w:t>
      </w:r>
      <w:r w:rsidR="00416995">
        <w:rPr>
          <w:rtl/>
        </w:rPr>
        <w:t>ﻫ</w:t>
      </w:r>
      <w:r>
        <w:rPr>
          <w:rtl/>
        </w:rPr>
        <w:t>)</w:t>
      </w:r>
      <w:r>
        <w:rPr>
          <w:rtl/>
        </w:rPr>
        <w:tab/>
      </w:r>
      <w:r w:rsidR="002B79B5">
        <w:rPr>
          <w:rtl/>
        </w:rPr>
        <w:t>وُجهت رسائل إلى مقدمي 5 شكاوى لإبلاغهم بأحكام قانون مكافحة التمييز.</w:t>
      </w:r>
    </w:p>
    <w:p w:rsidR="002B79B5" w:rsidRDefault="00B22076" w:rsidP="00B22076">
      <w:pPr>
        <w:pStyle w:val="H1GA"/>
        <w:rPr>
          <w:rtl/>
        </w:rPr>
      </w:pPr>
      <w:r>
        <w:rPr>
          <w:rFonts w:hint="cs"/>
          <w:rtl/>
        </w:rPr>
        <w:tab/>
      </w:r>
      <w:r>
        <w:rPr>
          <w:rFonts w:hint="cs"/>
          <w:rtl/>
        </w:rPr>
        <w:tab/>
      </w:r>
      <w:r w:rsidR="002B79B5">
        <w:rPr>
          <w:rtl/>
        </w:rPr>
        <w:t xml:space="preserve">الجهاز الوطني للنهوض بالمرأة </w:t>
      </w:r>
    </w:p>
    <w:p w:rsidR="002B79B5" w:rsidRDefault="00B22076" w:rsidP="00B22076">
      <w:pPr>
        <w:pStyle w:val="H23GA"/>
        <w:rPr>
          <w:rtl/>
        </w:rPr>
      </w:pPr>
      <w:r>
        <w:rPr>
          <w:rFonts w:hint="cs"/>
          <w:rtl/>
        </w:rPr>
        <w:tab/>
      </w:r>
      <w:r>
        <w:rPr>
          <w:rFonts w:hint="cs"/>
          <w:rtl/>
        </w:rPr>
        <w:tab/>
      </w:r>
      <w:r w:rsidR="002B79B5">
        <w:rPr>
          <w:rtl/>
        </w:rPr>
        <w:t xml:space="preserve">الرد على القضايا المطروحة في الفقرة 4 من قائمة القضايا </w:t>
      </w:r>
    </w:p>
    <w:p w:rsidR="002B79B5" w:rsidRPr="00B22076" w:rsidRDefault="002B79B5" w:rsidP="00E65A5F">
      <w:pPr>
        <w:pStyle w:val="SingleTxtGA"/>
        <w:rPr>
          <w:spacing w:val="-2"/>
          <w:rtl/>
        </w:rPr>
      </w:pPr>
      <w:r w:rsidRPr="00B22076">
        <w:rPr>
          <w:spacing w:val="-2"/>
          <w:rtl/>
        </w:rPr>
        <w:t>17</w:t>
      </w:r>
      <w:r w:rsidR="0079367C" w:rsidRPr="00B22076">
        <w:rPr>
          <w:spacing w:val="-2"/>
          <w:rtl/>
        </w:rPr>
        <w:t>-</w:t>
      </w:r>
      <w:r w:rsidR="0079367C" w:rsidRPr="00B22076">
        <w:rPr>
          <w:spacing w:val="-2"/>
          <w:rtl/>
        </w:rPr>
        <w:tab/>
      </w:r>
      <w:r w:rsidRPr="00B22076">
        <w:rPr>
          <w:spacing w:val="-2"/>
          <w:rtl/>
        </w:rPr>
        <w:t xml:space="preserve">يواصل الجهاز الوطني لحقوق المرأة عمله بنفس عدد الموظفين (3 موظفين). وبالإضافة إلى ذلك، يواصل الخبراء الاستشاريون </w:t>
      </w:r>
      <w:proofErr w:type="spellStart"/>
      <w:r w:rsidRPr="00B22076">
        <w:rPr>
          <w:spacing w:val="-2"/>
          <w:rtl/>
        </w:rPr>
        <w:t>الخارجيون</w:t>
      </w:r>
      <w:proofErr w:type="spellEnd"/>
      <w:r w:rsidRPr="00B22076">
        <w:rPr>
          <w:spacing w:val="-2"/>
          <w:rtl/>
        </w:rPr>
        <w:t xml:space="preserve"> تقديم الدعم والمساعدة للاضطلاع </w:t>
      </w:r>
      <w:r w:rsidRPr="00B22076">
        <w:rPr>
          <w:spacing w:val="-4"/>
          <w:rtl/>
        </w:rPr>
        <w:t>بإجراءات وبرامج معينة. وانخفضت ميزانية الجهاز الوطني لحقوق المرأة بشكل كبير خلال السنوات الأخيرة بسبب الأزمة المالية والجهود التي تبذلها الحكومة من أجل الحد من عجز الميزانية. وقد انخفضت الميزانية تحديد</w:t>
      </w:r>
      <w:r w:rsidR="00D94BE0" w:rsidRPr="00B22076">
        <w:rPr>
          <w:spacing w:val="-4"/>
          <w:rtl/>
        </w:rPr>
        <w:t xml:space="preserve">اً </w:t>
      </w:r>
      <w:r w:rsidRPr="00B22076">
        <w:rPr>
          <w:spacing w:val="-4"/>
          <w:rtl/>
        </w:rPr>
        <w:t xml:space="preserve">من 000 980 </w:t>
      </w:r>
      <w:proofErr w:type="spellStart"/>
      <w:r w:rsidRPr="00B22076">
        <w:rPr>
          <w:spacing w:val="-4"/>
          <w:rtl/>
        </w:rPr>
        <w:t>يورو</w:t>
      </w:r>
      <w:proofErr w:type="spellEnd"/>
      <w:r w:rsidRPr="00B22076">
        <w:rPr>
          <w:spacing w:val="-4"/>
          <w:rtl/>
        </w:rPr>
        <w:t xml:space="preserve"> في عام 2008 إلى 000 435 </w:t>
      </w:r>
      <w:proofErr w:type="spellStart"/>
      <w:r w:rsidRPr="00B22076">
        <w:rPr>
          <w:spacing w:val="-4"/>
          <w:rtl/>
        </w:rPr>
        <w:t>يورو</w:t>
      </w:r>
      <w:proofErr w:type="spellEnd"/>
      <w:r w:rsidRPr="00B22076">
        <w:rPr>
          <w:spacing w:val="-2"/>
          <w:rtl/>
        </w:rPr>
        <w:t xml:space="preserve"> </w:t>
      </w:r>
      <w:r w:rsidR="00B22076">
        <w:rPr>
          <w:rFonts w:hint="cs"/>
          <w:spacing w:val="-2"/>
          <w:rtl/>
        </w:rPr>
        <w:t xml:space="preserve">         </w:t>
      </w:r>
      <w:r w:rsidRPr="00B22076">
        <w:rPr>
          <w:spacing w:val="-2"/>
          <w:rtl/>
        </w:rPr>
        <w:t xml:space="preserve">في عام 2010 و000 450 </w:t>
      </w:r>
      <w:proofErr w:type="spellStart"/>
      <w:r w:rsidRPr="00B22076">
        <w:rPr>
          <w:spacing w:val="-2"/>
          <w:rtl/>
        </w:rPr>
        <w:t>يورو</w:t>
      </w:r>
      <w:proofErr w:type="spellEnd"/>
      <w:r w:rsidRPr="00B22076">
        <w:rPr>
          <w:spacing w:val="-2"/>
          <w:rtl/>
        </w:rPr>
        <w:t xml:space="preserve"> في عام 2012. إلا أن جهودا</w:t>
      </w:r>
      <w:r w:rsidR="00B22076">
        <w:rPr>
          <w:rFonts w:hint="cs"/>
          <w:spacing w:val="-2"/>
          <w:rtl/>
        </w:rPr>
        <w:t>ً</w:t>
      </w:r>
      <w:r w:rsidRPr="00B22076">
        <w:rPr>
          <w:spacing w:val="-2"/>
          <w:rtl/>
        </w:rPr>
        <w:t xml:space="preserve"> بذلت حتى</w:t>
      </w:r>
      <w:r w:rsidR="00E840A2" w:rsidRPr="00B22076">
        <w:rPr>
          <w:spacing w:val="-2"/>
          <w:rtl/>
        </w:rPr>
        <w:t xml:space="preserve"> لا </w:t>
      </w:r>
      <w:r w:rsidRPr="00B22076">
        <w:rPr>
          <w:spacing w:val="-2"/>
          <w:rtl/>
        </w:rPr>
        <w:t>تنخفض الإعانات السنوية المقدمة إلى أعضاء الجهاز الوطني من المنظمات غير الحكومية.</w:t>
      </w:r>
    </w:p>
    <w:p w:rsidR="002B79B5" w:rsidRDefault="002B79B5" w:rsidP="00E65A5F">
      <w:pPr>
        <w:pStyle w:val="SingleTxtGA"/>
        <w:rPr>
          <w:rtl/>
        </w:rPr>
      </w:pPr>
      <w:r>
        <w:rPr>
          <w:rtl/>
        </w:rPr>
        <w:t>18</w:t>
      </w:r>
      <w:r w:rsidR="0079367C">
        <w:rPr>
          <w:rtl/>
        </w:rPr>
        <w:t>-</w:t>
      </w:r>
      <w:r w:rsidR="0079367C">
        <w:rPr>
          <w:rtl/>
        </w:rPr>
        <w:tab/>
      </w:r>
      <w:r>
        <w:rPr>
          <w:rtl/>
        </w:rPr>
        <w:t xml:space="preserve">وتشمل مهام الجهاز الوطني لحقوق المرأة ما يلي: </w:t>
      </w:r>
    </w:p>
    <w:p w:rsidR="002B79B5" w:rsidRDefault="0079367C" w:rsidP="00E65A5F">
      <w:pPr>
        <w:pStyle w:val="SingleTxtGA"/>
        <w:rPr>
          <w:rtl/>
        </w:rPr>
      </w:pPr>
      <w:r>
        <w:rPr>
          <w:rtl/>
        </w:rPr>
        <w:tab/>
        <w:t>(</w:t>
      </w:r>
      <w:r w:rsidR="002B79B5">
        <w:rPr>
          <w:rtl/>
        </w:rPr>
        <w:t>أ</w:t>
      </w:r>
      <w:r>
        <w:rPr>
          <w:rtl/>
        </w:rPr>
        <w:t>)</w:t>
      </w:r>
      <w:r>
        <w:rPr>
          <w:rtl/>
        </w:rPr>
        <w:tab/>
      </w:r>
      <w:r w:rsidR="002B79B5">
        <w:rPr>
          <w:rtl/>
        </w:rPr>
        <w:t>تقديم توصيات إلى الحكومة بشأن السياسات والبرامج والقوانين التي تعزز حقوق المرأة؛</w:t>
      </w:r>
    </w:p>
    <w:p w:rsidR="002B79B5" w:rsidRDefault="0079367C" w:rsidP="00E65A5F">
      <w:pPr>
        <w:pStyle w:val="SingleTxtGA"/>
        <w:rPr>
          <w:rtl/>
        </w:rPr>
      </w:pPr>
      <w:r>
        <w:rPr>
          <w:rtl/>
        </w:rPr>
        <w:tab/>
        <w:t>(</w:t>
      </w:r>
      <w:r w:rsidR="002B79B5">
        <w:rPr>
          <w:rtl/>
        </w:rPr>
        <w:t>ب</w:t>
      </w:r>
      <w:r>
        <w:rPr>
          <w:rtl/>
        </w:rPr>
        <w:t>)</w:t>
      </w:r>
      <w:r>
        <w:rPr>
          <w:rtl/>
        </w:rPr>
        <w:tab/>
      </w:r>
      <w:r w:rsidR="002B79B5">
        <w:rPr>
          <w:rtl/>
        </w:rPr>
        <w:t>رصد وتنسيق وتقييم أعمال تنفيذ البرامج؛</w:t>
      </w:r>
    </w:p>
    <w:p w:rsidR="002B79B5" w:rsidRDefault="0079367C" w:rsidP="00E65A5F">
      <w:pPr>
        <w:pStyle w:val="SingleTxtGA"/>
        <w:rPr>
          <w:rFonts w:hint="cs"/>
          <w:rtl/>
        </w:rPr>
      </w:pPr>
      <w:r>
        <w:rPr>
          <w:rtl/>
        </w:rPr>
        <w:tab/>
        <w:t>(</w:t>
      </w:r>
      <w:r w:rsidR="002B79B5">
        <w:rPr>
          <w:rtl/>
        </w:rPr>
        <w:t>ج</w:t>
      </w:r>
      <w:r>
        <w:rPr>
          <w:rtl/>
        </w:rPr>
        <w:t>)</w:t>
      </w:r>
      <w:r>
        <w:rPr>
          <w:rtl/>
        </w:rPr>
        <w:tab/>
      </w:r>
      <w:r w:rsidR="002B79B5">
        <w:rPr>
          <w:rtl/>
        </w:rPr>
        <w:t>تنظيم برامج/حملات توعية تستهدف زيادة تمثيل المرأة في الحياة السياسية والعامة، والمواءمة بين الحياة المهنية وال</w:t>
      </w:r>
      <w:r w:rsidR="000725DD">
        <w:rPr>
          <w:rtl/>
        </w:rPr>
        <w:t>أسرية، ومناهضة العنف ضد المرأة؛</w:t>
      </w:r>
    </w:p>
    <w:p w:rsidR="002B79B5" w:rsidRDefault="0079367C" w:rsidP="00E65A5F">
      <w:pPr>
        <w:pStyle w:val="SingleTxtGA"/>
        <w:rPr>
          <w:rtl/>
        </w:rPr>
      </w:pPr>
      <w:r>
        <w:rPr>
          <w:rtl/>
        </w:rPr>
        <w:tab/>
        <w:t>(</w:t>
      </w:r>
      <w:r w:rsidR="002B79B5">
        <w:rPr>
          <w:rtl/>
        </w:rPr>
        <w:t>د</w:t>
      </w:r>
      <w:r>
        <w:rPr>
          <w:rtl/>
        </w:rPr>
        <w:t>)</w:t>
      </w:r>
      <w:r>
        <w:rPr>
          <w:rtl/>
        </w:rPr>
        <w:tab/>
      </w:r>
      <w:r w:rsidR="002B79B5">
        <w:rPr>
          <w:rtl/>
        </w:rPr>
        <w:t>تعزيز برامج التعليم والتدريب في قضايا المساواة بين الجنسين.</w:t>
      </w:r>
    </w:p>
    <w:p w:rsidR="002B79B5" w:rsidRDefault="002B79B5" w:rsidP="00E65A5F">
      <w:pPr>
        <w:pStyle w:val="SingleTxtGA"/>
        <w:rPr>
          <w:rtl/>
        </w:rPr>
      </w:pPr>
      <w:r>
        <w:rPr>
          <w:rtl/>
        </w:rPr>
        <w:t>4-3-1 تشمل مهام الوحدة المعنية بالمساواة ما يلي:</w:t>
      </w:r>
    </w:p>
    <w:p w:rsidR="002B79B5" w:rsidRDefault="0079367C" w:rsidP="00E65A5F">
      <w:pPr>
        <w:pStyle w:val="SingleTxtGA"/>
        <w:rPr>
          <w:rtl/>
        </w:rPr>
      </w:pPr>
      <w:r>
        <w:rPr>
          <w:rtl/>
        </w:rPr>
        <w:tab/>
        <w:t>(</w:t>
      </w:r>
      <w:r w:rsidR="002B79B5">
        <w:rPr>
          <w:rtl/>
        </w:rPr>
        <w:t>أ</w:t>
      </w:r>
      <w:r>
        <w:rPr>
          <w:rtl/>
        </w:rPr>
        <w:t>)</w:t>
      </w:r>
      <w:r>
        <w:rPr>
          <w:rtl/>
        </w:rPr>
        <w:tab/>
      </w:r>
      <w:r w:rsidR="002B79B5">
        <w:rPr>
          <w:rtl/>
        </w:rPr>
        <w:t>المساهمة في الإصلاح القانوني و</w:t>
      </w:r>
      <w:r w:rsidR="00E840A2">
        <w:rPr>
          <w:rtl/>
        </w:rPr>
        <w:t>لا </w:t>
      </w:r>
      <w:proofErr w:type="spellStart"/>
      <w:r w:rsidR="00E840A2">
        <w:rPr>
          <w:rtl/>
        </w:rPr>
        <w:t>سيما</w:t>
      </w:r>
      <w:proofErr w:type="spellEnd"/>
      <w:r w:rsidR="002B79B5">
        <w:rPr>
          <w:rtl/>
        </w:rPr>
        <w:t xml:space="preserve"> في مجال قانون الأسرة؛</w:t>
      </w:r>
    </w:p>
    <w:p w:rsidR="002B79B5" w:rsidRDefault="0079367C" w:rsidP="00E65A5F">
      <w:pPr>
        <w:pStyle w:val="SingleTxtGA"/>
        <w:rPr>
          <w:rtl/>
        </w:rPr>
      </w:pPr>
      <w:r>
        <w:rPr>
          <w:rtl/>
        </w:rPr>
        <w:tab/>
        <w:t>(</w:t>
      </w:r>
      <w:r w:rsidR="002B79B5">
        <w:rPr>
          <w:rtl/>
        </w:rPr>
        <w:t>ب</w:t>
      </w:r>
      <w:r>
        <w:rPr>
          <w:rtl/>
        </w:rPr>
        <w:t>)</w:t>
      </w:r>
      <w:r>
        <w:rPr>
          <w:rtl/>
        </w:rPr>
        <w:tab/>
      </w:r>
      <w:r w:rsidR="002B79B5">
        <w:rPr>
          <w:rtl/>
        </w:rPr>
        <w:t>تقديم الدعم والإعانات إلى المنظمات النسائية؛</w:t>
      </w:r>
    </w:p>
    <w:p w:rsidR="002B79B5" w:rsidRPr="00B22076" w:rsidRDefault="0079367C" w:rsidP="00E65A5F">
      <w:pPr>
        <w:pStyle w:val="SingleTxtGA"/>
        <w:rPr>
          <w:rFonts w:hint="cs"/>
          <w:spacing w:val="-3"/>
          <w:rtl/>
        </w:rPr>
      </w:pPr>
      <w:r w:rsidRPr="00B22076">
        <w:rPr>
          <w:spacing w:val="-3"/>
          <w:rtl/>
        </w:rPr>
        <w:tab/>
        <w:t>(</w:t>
      </w:r>
      <w:r w:rsidR="002B79B5" w:rsidRPr="00B22076">
        <w:rPr>
          <w:spacing w:val="-3"/>
          <w:rtl/>
        </w:rPr>
        <w:t>ج</w:t>
      </w:r>
      <w:r w:rsidRPr="00B22076">
        <w:rPr>
          <w:spacing w:val="-3"/>
          <w:rtl/>
        </w:rPr>
        <w:t>)</w:t>
      </w:r>
      <w:r w:rsidRPr="00B22076">
        <w:rPr>
          <w:spacing w:val="-3"/>
          <w:rtl/>
        </w:rPr>
        <w:tab/>
      </w:r>
      <w:r w:rsidR="002B79B5" w:rsidRPr="00B22076">
        <w:rPr>
          <w:spacing w:val="-3"/>
          <w:rtl/>
        </w:rPr>
        <w:t>إقامة علاقات في مجال المساواة بين الجنسين</w:t>
      </w:r>
      <w:r w:rsidR="00B22076">
        <w:rPr>
          <w:spacing w:val="-3"/>
          <w:rtl/>
        </w:rPr>
        <w:t xml:space="preserve"> على الصعيدين الأوروبي والدولي؛</w:t>
      </w:r>
    </w:p>
    <w:p w:rsidR="002B79B5" w:rsidRDefault="0079367C" w:rsidP="00E65A5F">
      <w:pPr>
        <w:pStyle w:val="SingleTxtGA"/>
        <w:rPr>
          <w:rtl/>
        </w:rPr>
      </w:pPr>
      <w:r>
        <w:rPr>
          <w:rtl/>
        </w:rPr>
        <w:tab/>
        <w:t>(</w:t>
      </w:r>
      <w:r w:rsidR="002B79B5">
        <w:rPr>
          <w:rtl/>
        </w:rPr>
        <w:t>د</w:t>
      </w:r>
      <w:r>
        <w:rPr>
          <w:rtl/>
        </w:rPr>
        <w:t>)</w:t>
      </w:r>
      <w:r>
        <w:rPr>
          <w:rtl/>
        </w:rPr>
        <w:tab/>
      </w:r>
      <w:r w:rsidR="002B79B5">
        <w:rPr>
          <w:rtl/>
        </w:rPr>
        <w:t xml:space="preserve">تعزيز تعميم مراعاة المنظور </w:t>
      </w:r>
      <w:proofErr w:type="spellStart"/>
      <w:r w:rsidR="002B79B5">
        <w:rPr>
          <w:rtl/>
        </w:rPr>
        <w:t>الجنساني</w:t>
      </w:r>
      <w:proofErr w:type="spellEnd"/>
      <w:r w:rsidR="002B79B5">
        <w:rPr>
          <w:rtl/>
        </w:rPr>
        <w:t xml:space="preserve"> في السياسات العامة وخطط العمل؛</w:t>
      </w:r>
    </w:p>
    <w:p w:rsidR="002B79B5" w:rsidRDefault="0079367C" w:rsidP="00E65A5F">
      <w:pPr>
        <w:pStyle w:val="SingleTxtGA"/>
        <w:rPr>
          <w:rFonts w:hint="cs"/>
          <w:rtl/>
        </w:rPr>
      </w:pPr>
      <w:r>
        <w:rPr>
          <w:rtl/>
        </w:rPr>
        <w:tab/>
        <w:t>(</w:t>
      </w:r>
      <w:r w:rsidR="00416995">
        <w:rPr>
          <w:rtl/>
        </w:rPr>
        <w:t>ﻫ</w:t>
      </w:r>
      <w:r>
        <w:rPr>
          <w:rtl/>
        </w:rPr>
        <w:t>)</w:t>
      </w:r>
      <w:r>
        <w:rPr>
          <w:rtl/>
        </w:rPr>
        <w:tab/>
      </w:r>
      <w:r w:rsidR="002B79B5">
        <w:rPr>
          <w:rtl/>
        </w:rPr>
        <w:t>توفير الدعم بأعمال الأمانة والدعم الع</w:t>
      </w:r>
      <w:r w:rsidR="00B22076">
        <w:rPr>
          <w:rtl/>
        </w:rPr>
        <w:t>لمي للجهاز الوطني لحقوق المرأة؛</w:t>
      </w:r>
    </w:p>
    <w:p w:rsidR="002B79B5" w:rsidRDefault="0079367C" w:rsidP="00E65A5F">
      <w:pPr>
        <w:pStyle w:val="SingleTxtGA"/>
        <w:rPr>
          <w:rtl/>
        </w:rPr>
      </w:pPr>
      <w:r>
        <w:rPr>
          <w:rtl/>
        </w:rPr>
        <w:tab/>
        <w:t>(</w:t>
      </w:r>
      <w:r w:rsidR="002B79B5">
        <w:rPr>
          <w:rtl/>
        </w:rPr>
        <w:t>و</w:t>
      </w:r>
      <w:r>
        <w:rPr>
          <w:rtl/>
        </w:rPr>
        <w:t>)</w:t>
      </w:r>
      <w:r>
        <w:rPr>
          <w:rtl/>
        </w:rPr>
        <w:tab/>
      </w:r>
      <w:r w:rsidR="002B79B5">
        <w:rPr>
          <w:rtl/>
        </w:rPr>
        <w:t>إصدار المنشورات.</w:t>
      </w:r>
    </w:p>
    <w:p w:rsidR="002B79B5" w:rsidRDefault="002B79B5" w:rsidP="00E65A5F">
      <w:pPr>
        <w:pStyle w:val="SingleTxtGA"/>
        <w:rPr>
          <w:rtl/>
        </w:rPr>
      </w:pPr>
      <w:r>
        <w:rPr>
          <w:rtl/>
        </w:rPr>
        <w:t>19</w:t>
      </w:r>
      <w:r w:rsidR="0079367C">
        <w:rPr>
          <w:rtl/>
        </w:rPr>
        <w:t>-</w:t>
      </w:r>
      <w:r w:rsidR="0079367C">
        <w:rPr>
          <w:rtl/>
        </w:rPr>
        <w:tab/>
      </w:r>
      <w:r>
        <w:rPr>
          <w:rtl/>
        </w:rPr>
        <w:t xml:space="preserve">واتسع نطاق المهام التي تضطلع </w:t>
      </w:r>
      <w:proofErr w:type="spellStart"/>
      <w:r>
        <w:rPr>
          <w:rtl/>
        </w:rPr>
        <w:t>بها</w:t>
      </w:r>
      <w:proofErr w:type="spellEnd"/>
      <w:r>
        <w:rPr>
          <w:rtl/>
        </w:rPr>
        <w:t xml:space="preserve"> الوحدة المعنية بالمساواة حيث كُلفت بما يلي:</w:t>
      </w:r>
    </w:p>
    <w:p w:rsidR="002B79B5" w:rsidRDefault="0079367C" w:rsidP="00E65A5F">
      <w:pPr>
        <w:pStyle w:val="SingleTxtGA"/>
        <w:rPr>
          <w:rtl/>
        </w:rPr>
      </w:pPr>
      <w:r>
        <w:rPr>
          <w:rtl/>
        </w:rPr>
        <w:tab/>
        <w:t>(</w:t>
      </w:r>
      <w:r w:rsidR="002B79B5">
        <w:rPr>
          <w:rtl/>
        </w:rPr>
        <w:t>أ</w:t>
      </w:r>
      <w:r>
        <w:rPr>
          <w:rtl/>
        </w:rPr>
        <w:t>)</w:t>
      </w:r>
      <w:r>
        <w:rPr>
          <w:rtl/>
        </w:rPr>
        <w:tab/>
      </w:r>
      <w:r w:rsidR="002B79B5">
        <w:rPr>
          <w:rtl/>
        </w:rPr>
        <w:t>تنسيق وتنفيذ برنامج الرئاسة القبرصية في مجال المساواة بين الجنسين؛</w:t>
      </w:r>
    </w:p>
    <w:p w:rsidR="002B79B5" w:rsidRDefault="0079367C" w:rsidP="00E65A5F">
      <w:pPr>
        <w:pStyle w:val="SingleTxtGA"/>
        <w:rPr>
          <w:rtl/>
        </w:rPr>
      </w:pPr>
      <w:r>
        <w:rPr>
          <w:rtl/>
        </w:rPr>
        <w:tab/>
        <w:t>(</w:t>
      </w:r>
      <w:r w:rsidR="002B79B5">
        <w:rPr>
          <w:rtl/>
        </w:rPr>
        <w:t>ب</w:t>
      </w:r>
      <w:r>
        <w:rPr>
          <w:rtl/>
        </w:rPr>
        <w:t>)</w:t>
      </w:r>
      <w:r>
        <w:rPr>
          <w:rtl/>
        </w:rPr>
        <w:tab/>
      </w:r>
      <w:r w:rsidR="002B79B5">
        <w:rPr>
          <w:rtl/>
        </w:rPr>
        <w:t>رئاسة اللجنة التقنية المعنية بالمساواة بين الجنسين والتي تتناول أمور</w:t>
      </w:r>
      <w:r w:rsidR="00D94BE0">
        <w:rPr>
          <w:rtl/>
        </w:rPr>
        <w:t xml:space="preserve">اً </w:t>
      </w:r>
      <w:r w:rsidR="002B79B5">
        <w:rPr>
          <w:rtl/>
        </w:rPr>
        <w:t>من بينها رصد تنفيذ خطة العمل الوطنية للمساواة بين الجنسين؛</w:t>
      </w:r>
    </w:p>
    <w:p w:rsidR="002B79B5" w:rsidRDefault="0079367C" w:rsidP="00E65A5F">
      <w:pPr>
        <w:pStyle w:val="SingleTxtGA"/>
        <w:rPr>
          <w:rtl/>
        </w:rPr>
      </w:pPr>
      <w:r>
        <w:rPr>
          <w:rtl/>
        </w:rPr>
        <w:tab/>
        <w:t>(</w:t>
      </w:r>
      <w:r w:rsidR="002B79B5">
        <w:rPr>
          <w:rtl/>
        </w:rPr>
        <w:t>ج</w:t>
      </w:r>
      <w:r>
        <w:rPr>
          <w:rtl/>
        </w:rPr>
        <w:t>)</w:t>
      </w:r>
      <w:r>
        <w:rPr>
          <w:rtl/>
        </w:rPr>
        <w:tab/>
      </w:r>
      <w:r w:rsidR="002B79B5">
        <w:rPr>
          <w:rtl/>
        </w:rPr>
        <w:t>إجراء دراسة عن الهيئات القائمة المعنية بالمساواة بين الجنسين بهدف إنشاء هيئة موحدة تعنى بهذه المسألة.</w:t>
      </w:r>
    </w:p>
    <w:p w:rsidR="002B79B5" w:rsidRDefault="002B79B5" w:rsidP="00E65A5F">
      <w:pPr>
        <w:pStyle w:val="SingleTxtGA"/>
        <w:rPr>
          <w:rtl/>
        </w:rPr>
      </w:pPr>
      <w:r>
        <w:rPr>
          <w:rtl/>
        </w:rPr>
        <w:t>20</w:t>
      </w:r>
      <w:r w:rsidR="0079367C">
        <w:rPr>
          <w:rtl/>
        </w:rPr>
        <w:t>-</w:t>
      </w:r>
      <w:r w:rsidR="0079367C">
        <w:rPr>
          <w:rtl/>
        </w:rPr>
        <w:tab/>
      </w:r>
      <w:r>
        <w:rPr>
          <w:rtl/>
        </w:rPr>
        <w:t>وتقوم اللجنة الوزارية المعنية بالمساواة بين الجنسين، المنشأة في عام 2009، بتركيز عملها على المجالات التالية:</w:t>
      </w:r>
    </w:p>
    <w:p w:rsidR="002B79B5" w:rsidRDefault="0079367C" w:rsidP="00E65A5F">
      <w:pPr>
        <w:pStyle w:val="SingleTxtGA"/>
        <w:rPr>
          <w:rtl/>
        </w:rPr>
      </w:pPr>
      <w:r>
        <w:rPr>
          <w:rtl/>
        </w:rPr>
        <w:tab/>
        <w:t>(</w:t>
      </w:r>
      <w:r w:rsidR="002B79B5">
        <w:rPr>
          <w:rtl/>
        </w:rPr>
        <w:t>أ</w:t>
      </w:r>
      <w:r>
        <w:rPr>
          <w:rtl/>
        </w:rPr>
        <w:t>)</w:t>
      </w:r>
      <w:r>
        <w:rPr>
          <w:rtl/>
        </w:rPr>
        <w:tab/>
      </w:r>
      <w:r w:rsidR="002B79B5">
        <w:rPr>
          <w:rtl/>
        </w:rPr>
        <w:t>تقييم واستعراض التقدم المحرز في تنفيذ خطة العمل الوطنية للمساواة بين الجنسين (2007-2013)؛</w:t>
      </w:r>
    </w:p>
    <w:p w:rsidR="002B79B5" w:rsidRPr="00B22076" w:rsidRDefault="0079367C" w:rsidP="00E65A5F">
      <w:pPr>
        <w:pStyle w:val="SingleTxtGA"/>
        <w:rPr>
          <w:spacing w:val="-2"/>
          <w:rtl/>
        </w:rPr>
      </w:pPr>
      <w:r w:rsidRPr="00B22076">
        <w:rPr>
          <w:spacing w:val="-2"/>
          <w:rtl/>
        </w:rPr>
        <w:tab/>
        <w:t>(</w:t>
      </w:r>
      <w:r w:rsidR="002B79B5" w:rsidRPr="00B22076">
        <w:rPr>
          <w:spacing w:val="-2"/>
          <w:rtl/>
        </w:rPr>
        <w:t>ب</w:t>
      </w:r>
      <w:r w:rsidRPr="00B22076">
        <w:rPr>
          <w:spacing w:val="-2"/>
          <w:rtl/>
        </w:rPr>
        <w:t>)</w:t>
      </w:r>
      <w:r w:rsidRPr="00B22076">
        <w:rPr>
          <w:spacing w:val="-2"/>
          <w:rtl/>
        </w:rPr>
        <w:tab/>
      </w:r>
      <w:r w:rsidR="002B79B5" w:rsidRPr="00B22076">
        <w:rPr>
          <w:spacing w:val="-2"/>
          <w:rtl/>
        </w:rPr>
        <w:t>قيام قبرص بالتوقيع والتصديق على اتفاقية مجلس أوروبا بشأن منع ومكافحة العنف ضد المرأة والعنف المنزلي.</w:t>
      </w:r>
    </w:p>
    <w:p w:rsidR="002B79B5" w:rsidRDefault="002B79B5" w:rsidP="00B37166">
      <w:pPr>
        <w:pStyle w:val="SingleTxtGA"/>
        <w:rPr>
          <w:rtl/>
        </w:rPr>
      </w:pPr>
      <w:r>
        <w:rPr>
          <w:rtl/>
        </w:rPr>
        <w:t>21</w:t>
      </w:r>
      <w:r w:rsidR="0079367C">
        <w:rPr>
          <w:rtl/>
        </w:rPr>
        <w:t>-</w:t>
      </w:r>
      <w:r w:rsidR="0079367C">
        <w:rPr>
          <w:rtl/>
        </w:rPr>
        <w:tab/>
      </w:r>
      <w:r>
        <w:rPr>
          <w:rtl/>
        </w:rPr>
        <w:t>وأجرت اللجنة التقنية المعنية بالمساواة بين الجنسين الدراسة المذكورة عن إمكانية دمج الهيئات القائمة المعنية بالمساواة بين الجنسين بهدف إنشاء هيئة موحدة تعنى بهذه المسألة،</w:t>
      </w:r>
      <w:r w:rsidR="00B37166">
        <w:rPr>
          <w:rFonts w:hint="cs"/>
          <w:rtl/>
        </w:rPr>
        <w:t> </w:t>
      </w:r>
      <w:r>
        <w:rPr>
          <w:rtl/>
        </w:rPr>
        <w:t>وكشفت نتائجها عن عدم التوصية بدمج تلك الهيئات في المرحلة الراهنة وذلك للأسباب التالية:</w:t>
      </w:r>
    </w:p>
    <w:p w:rsidR="002B79B5" w:rsidRDefault="0079367C" w:rsidP="002B79B5">
      <w:pPr>
        <w:pStyle w:val="SingleTxtGA"/>
        <w:rPr>
          <w:rFonts w:hint="cs"/>
          <w:rtl/>
        </w:rPr>
      </w:pPr>
      <w:r>
        <w:rPr>
          <w:rtl/>
        </w:rPr>
        <w:tab/>
        <w:t>(</w:t>
      </w:r>
      <w:r w:rsidR="002B79B5">
        <w:rPr>
          <w:rtl/>
        </w:rPr>
        <w:t>أ</w:t>
      </w:r>
      <w:r>
        <w:rPr>
          <w:rtl/>
        </w:rPr>
        <w:t>)</w:t>
      </w:r>
      <w:r>
        <w:rPr>
          <w:rtl/>
        </w:rPr>
        <w:tab/>
      </w:r>
      <w:r w:rsidR="002B79B5">
        <w:rPr>
          <w:rtl/>
        </w:rPr>
        <w:t>إن دمج الهيئات القائمة المعنية بالمساواة لن يحقق خفض</w:t>
      </w:r>
      <w:r w:rsidR="00D94BE0">
        <w:rPr>
          <w:rtl/>
        </w:rPr>
        <w:t xml:space="preserve">اً </w:t>
      </w:r>
      <w:r w:rsidR="002B79B5">
        <w:rPr>
          <w:rtl/>
        </w:rPr>
        <w:t>كبير</w:t>
      </w:r>
      <w:r w:rsidR="00D94BE0">
        <w:rPr>
          <w:rtl/>
        </w:rPr>
        <w:t xml:space="preserve">اً </w:t>
      </w:r>
      <w:r w:rsidR="002B79B5">
        <w:rPr>
          <w:rtl/>
        </w:rPr>
        <w:t>في الموارد</w:t>
      </w:r>
      <w:r w:rsidR="00B22076">
        <w:rPr>
          <w:rtl/>
        </w:rPr>
        <w:t xml:space="preserve"> التي تقدمها الميزانية الوطنية؛</w:t>
      </w:r>
    </w:p>
    <w:p w:rsidR="002B79B5" w:rsidRDefault="0079367C" w:rsidP="002B79B5">
      <w:pPr>
        <w:pStyle w:val="SingleTxtGA"/>
        <w:rPr>
          <w:rtl/>
        </w:rPr>
      </w:pPr>
      <w:r>
        <w:rPr>
          <w:rtl/>
        </w:rPr>
        <w:tab/>
        <w:t>(</w:t>
      </w:r>
      <w:r w:rsidR="002B79B5">
        <w:rPr>
          <w:rtl/>
        </w:rPr>
        <w:t>ب</w:t>
      </w:r>
      <w:r>
        <w:rPr>
          <w:rtl/>
        </w:rPr>
        <w:t>)</w:t>
      </w:r>
      <w:r>
        <w:rPr>
          <w:rtl/>
        </w:rPr>
        <w:tab/>
      </w:r>
      <w:r w:rsidR="002B79B5">
        <w:rPr>
          <w:rtl/>
        </w:rPr>
        <w:t>لا يوجد تداخل كبير بين مسؤوليات وزارة العدل والنظام العام ووزارة العمل والتأمينات الاجتماعية، حيث يبدو أن مسؤوليات وأدوار كل من الوزارتين تتميز كثير</w:t>
      </w:r>
      <w:r w:rsidR="00D94BE0">
        <w:rPr>
          <w:rtl/>
        </w:rPr>
        <w:t xml:space="preserve">اً </w:t>
      </w:r>
      <w:r w:rsidR="002B79B5">
        <w:rPr>
          <w:rtl/>
        </w:rPr>
        <w:t>عن الأخرى؛</w:t>
      </w:r>
    </w:p>
    <w:p w:rsidR="002B79B5" w:rsidRPr="00B22076" w:rsidRDefault="0079367C" w:rsidP="00B22076">
      <w:pPr>
        <w:pStyle w:val="SingleTxtGA"/>
        <w:rPr>
          <w:rtl/>
        </w:rPr>
      </w:pPr>
      <w:r w:rsidRPr="00B22076">
        <w:rPr>
          <w:rtl/>
        </w:rPr>
        <w:tab/>
        <w:t>(</w:t>
      </w:r>
      <w:r w:rsidR="002B79B5" w:rsidRPr="00B22076">
        <w:rPr>
          <w:rtl/>
        </w:rPr>
        <w:t>ج</w:t>
      </w:r>
      <w:r w:rsidRPr="00B22076">
        <w:rPr>
          <w:rtl/>
        </w:rPr>
        <w:t>)</w:t>
      </w:r>
      <w:r w:rsidRPr="00B22076">
        <w:rPr>
          <w:rtl/>
        </w:rPr>
        <w:tab/>
      </w:r>
      <w:r w:rsidR="002B79B5" w:rsidRPr="00B22076">
        <w:rPr>
          <w:rtl/>
        </w:rPr>
        <w:t>في حالة إنشاء هيئة مستقلة جديدة، ستظل هناك حاجة إلى إدارة حكومية مختصة؛</w:t>
      </w:r>
    </w:p>
    <w:p w:rsidR="002B79B5" w:rsidRDefault="0079367C" w:rsidP="00B22076">
      <w:pPr>
        <w:pStyle w:val="SingleTxtGA"/>
        <w:rPr>
          <w:rFonts w:hint="cs"/>
          <w:rtl/>
        </w:rPr>
      </w:pPr>
      <w:r>
        <w:rPr>
          <w:rtl/>
        </w:rPr>
        <w:tab/>
        <w:t>(</w:t>
      </w:r>
      <w:r w:rsidR="002B79B5">
        <w:rPr>
          <w:rtl/>
        </w:rPr>
        <w:t>د</w:t>
      </w:r>
      <w:r>
        <w:rPr>
          <w:rtl/>
        </w:rPr>
        <w:t>)</w:t>
      </w:r>
      <w:r>
        <w:rPr>
          <w:rtl/>
        </w:rPr>
        <w:tab/>
      </w:r>
      <w:r w:rsidR="002B79B5">
        <w:rPr>
          <w:rtl/>
        </w:rPr>
        <w:t>إن دمج الهيئات القائمة سيؤدي</w:t>
      </w:r>
      <w:r w:rsidR="00E840A2">
        <w:rPr>
          <w:rtl/>
        </w:rPr>
        <w:t xml:space="preserve"> لا </w:t>
      </w:r>
      <w:r w:rsidR="002B79B5">
        <w:rPr>
          <w:rtl/>
        </w:rPr>
        <w:t>محالة إلى الحد من مشاركة المنظمات غير</w:t>
      </w:r>
      <w:r w:rsidR="00B22076">
        <w:rPr>
          <w:rFonts w:hint="cs"/>
          <w:rtl/>
        </w:rPr>
        <w:t> </w:t>
      </w:r>
      <w:r w:rsidR="00B37166">
        <w:rPr>
          <w:rtl/>
        </w:rPr>
        <w:t>الحكومية.</w:t>
      </w:r>
    </w:p>
    <w:p w:rsidR="002B79B5" w:rsidRDefault="00B22076" w:rsidP="00B22076">
      <w:pPr>
        <w:pStyle w:val="H1GA"/>
        <w:rPr>
          <w:rFonts w:hint="cs"/>
          <w:rtl/>
        </w:rPr>
      </w:pPr>
      <w:r>
        <w:rPr>
          <w:rFonts w:hint="cs"/>
          <w:rtl/>
        </w:rPr>
        <w:tab/>
      </w:r>
      <w:r>
        <w:rPr>
          <w:rFonts w:hint="cs"/>
          <w:rtl/>
        </w:rPr>
        <w:tab/>
      </w:r>
      <w:r w:rsidR="002B79B5">
        <w:rPr>
          <w:rtl/>
        </w:rPr>
        <w:t>البرامج وخطط</w:t>
      </w:r>
      <w:r>
        <w:rPr>
          <w:rtl/>
        </w:rPr>
        <w:t xml:space="preserve"> العمل</w:t>
      </w:r>
    </w:p>
    <w:p w:rsidR="002B79B5" w:rsidRDefault="00B22076" w:rsidP="00B22076">
      <w:pPr>
        <w:pStyle w:val="H23GA"/>
        <w:rPr>
          <w:rFonts w:hint="cs"/>
          <w:rtl/>
        </w:rPr>
      </w:pPr>
      <w:r>
        <w:rPr>
          <w:rFonts w:hint="cs"/>
          <w:rtl/>
        </w:rPr>
        <w:tab/>
      </w:r>
      <w:r>
        <w:rPr>
          <w:rFonts w:hint="cs"/>
          <w:rtl/>
        </w:rPr>
        <w:tab/>
      </w:r>
      <w:r w:rsidR="002B79B5">
        <w:rPr>
          <w:rtl/>
        </w:rPr>
        <w:t>الرد على القضايا المطرو</w:t>
      </w:r>
      <w:r>
        <w:rPr>
          <w:rtl/>
        </w:rPr>
        <w:t>حة في الفقرة 5 من قائمة القضايا</w:t>
      </w:r>
    </w:p>
    <w:p w:rsidR="002B79B5" w:rsidRDefault="002B79B5" w:rsidP="002B79B5">
      <w:pPr>
        <w:pStyle w:val="SingleTxtGA"/>
        <w:rPr>
          <w:rtl/>
        </w:rPr>
      </w:pPr>
      <w:r>
        <w:rPr>
          <w:rtl/>
        </w:rPr>
        <w:t>22</w:t>
      </w:r>
      <w:r w:rsidR="0079367C">
        <w:rPr>
          <w:rtl/>
        </w:rPr>
        <w:t>-</w:t>
      </w:r>
      <w:r w:rsidR="0079367C">
        <w:rPr>
          <w:rtl/>
        </w:rPr>
        <w:tab/>
      </w:r>
      <w:r>
        <w:rPr>
          <w:rtl/>
        </w:rPr>
        <w:t>من أجل تقييم وقياس أثر خطة العمل الوطنية للمساواة بين الجنسين، أعد خبير استشاري خارجي تقرير</w:t>
      </w:r>
      <w:r w:rsidR="00D94BE0">
        <w:rPr>
          <w:rtl/>
        </w:rPr>
        <w:t xml:space="preserve">اً </w:t>
      </w:r>
      <w:r>
        <w:rPr>
          <w:rtl/>
        </w:rPr>
        <w:t>مرحلي</w:t>
      </w:r>
      <w:r w:rsidR="00D94BE0">
        <w:rPr>
          <w:rtl/>
        </w:rPr>
        <w:t xml:space="preserve">اً </w:t>
      </w:r>
      <w:r>
        <w:rPr>
          <w:rtl/>
        </w:rPr>
        <w:t>عن تقييم تنفيذ الخطة في الفترة 2007-2010. وكشف التقرير المرحلي عن النقاط التالية:</w:t>
      </w:r>
    </w:p>
    <w:p w:rsidR="002B79B5" w:rsidRDefault="0079367C" w:rsidP="002B79B5">
      <w:pPr>
        <w:pStyle w:val="SingleTxtGA"/>
        <w:rPr>
          <w:rFonts w:hint="cs"/>
          <w:rtl/>
        </w:rPr>
      </w:pPr>
      <w:r>
        <w:rPr>
          <w:rtl/>
        </w:rPr>
        <w:tab/>
        <w:t>(</w:t>
      </w:r>
      <w:r w:rsidR="002B79B5">
        <w:rPr>
          <w:rtl/>
        </w:rPr>
        <w:t>أ</w:t>
      </w:r>
      <w:r>
        <w:rPr>
          <w:rtl/>
        </w:rPr>
        <w:t>)</w:t>
      </w:r>
      <w:r>
        <w:rPr>
          <w:rtl/>
        </w:rPr>
        <w:tab/>
      </w:r>
      <w:r w:rsidR="002B79B5">
        <w:rPr>
          <w:rtl/>
        </w:rPr>
        <w:t>من بين 66 إجراء في الخطة، 22 تم تنفيذها،</w:t>
      </w:r>
      <w:r w:rsidR="00B37166">
        <w:rPr>
          <w:rtl/>
        </w:rPr>
        <w:t xml:space="preserve"> و21 جاري تنفيذها، و23 لم تنفذ؛</w:t>
      </w:r>
    </w:p>
    <w:p w:rsidR="002B79B5" w:rsidRPr="002406B5" w:rsidRDefault="0079367C" w:rsidP="002406B5">
      <w:pPr>
        <w:pStyle w:val="SingleTxtGA"/>
        <w:rPr>
          <w:rFonts w:hint="cs"/>
          <w:spacing w:val="-3"/>
          <w:rtl/>
        </w:rPr>
      </w:pPr>
      <w:r w:rsidRPr="002406B5">
        <w:rPr>
          <w:spacing w:val="-3"/>
          <w:rtl/>
        </w:rPr>
        <w:tab/>
        <w:t>(</w:t>
      </w:r>
      <w:r w:rsidR="002B79B5" w:rsidRPr="002406B5">
        <w:rPr>
          <w:spacing w:val="-3"/>
          <w:rtl/>
        </w:rPr>
        <w:t>ب</w:t>
      </w:r>
      <w:r w:rsidRPr="002406B5">
        <w:rPr>
          <w:spacing w:val="-3"/>
          <w:rtl/>
        </w:rPr>
        <w:t>)</w:t>
      </w:r>
      <w:r w:rsidRPr="002406B5">
        <w:rPr>
          <w:spacing w:val="-3"/>
          <w:rtl/>
        </w:rPr>
        <w:tab/>
      </w:r>
      <w:r w:rsidR="002B79B5" w:rsidRPr="002406B5">
        <w:rPr>
          <w:spacing w:val="-3"/>
          <w:rtl/>
        </w:rPr>
        <w:t>أُحرز تقدم كبير في مجالي العمالة ومكافحة العنف ضد المرأة، ولكن لم</w:t>
      </w:r>
      <w:r w:rsidR="002406B5" w:rsidRPr="002406B5">
        <w:rPr>
          <w:rFonts w:hint="cs"/>
          <w:spacing w:val="-3"/>
          <w:rtl/>
        </w:rPr>
        <w:t> </w:t>
      </w:r>
      <w:r w:rsidR="002B79B5" w:rsidRPr="002406B5">
        <w:rPr>
          <w:spacing w:val="-3"/>
          <w:rtl/>
        </w:rPr>
        <w:t>يلاحَظ سوى تقدم ضئيل في مجالات التعليم ووسائط الإعلام والمشاركة السياسية</w:t>
      </w:r>
      <w:r w:rsidR="00E840A2" w:rsidRPr="002406B5">
        <w:rPr>
          <w:spacing w:val="-3"/>
          <w:rtl/>
        </w:rPr>
        <w:t xml:space="preserve"> فيما </w:t>
      </w:r>
      <w:r w:rsidR="002B79B5" w:rsidRPr="002406B5">
        <w:rPr>
          <w:spacing w:val="-3"/>
          <w:rtl/>
        </w:rPr>
        <w:t xml:space="preserve">يتعلق </w:t>
      </w:r>
      <w:proofErr w:type="spellStart"/>
      <w:r w:rsidR="002B79B5" w:rsidRPr="002406B5">
        <w:rPr>
          <w:spacing w:val="-3"/>
          <w:rtl/>
        </w:rPr>
        <w:t>بالتنميطات</w:t>
      </w:r>
      <w:proofErr w:type="spellEnd"/>
      <w:r w:rsidR="002406B5">
        <w:rPr>
          <w:rFonts w:hint="cs"/>
          <w:spacing w:val="-3"/>
          <w:rtl/>
        </w:rPr>
        <w:t> </w:t>
      </w:r>
      <w:proofErr w:type="spellStart"/>
      <w:r w:rsidR="00B37166">
        <w:rPr>
          <w:spacing w:val="-3"/>
          <w:rtl/>
        </w:rPr>
        <w:t>الجنسانية</w:t>
      </w:r>
      <w:proofErr w:type="spellEnd"/>
      <w:r w:rsidR="00B37166">
        <w:rPr>
          <w:spacing w:val="-3"/>
          <w:rtl/>
        </w:rPr>
        <w:t>؛</w:t>
      </w:r>
    </w:p>
    <w:p w:rsidR="002B79B5" w:rsidRDefault="0079367C" w:rsidP="002B79B5">
      <w:pPr>
        <w:pStyle w:val="SingleTxtGA"/>
        <w:rPr>
          <w:rFonts w:hint="cs"/>
          <w:rtl/>
        </w:rPr>
      </w:pPr>
      <w:r>
        <w:rPr>
          <w:rtl/>
        </w:rPr>
        <w:tab/>
        <w:t>(</w:t>
      </w:r>
      <w:r w:rsidR="002B79B5">
        <w:rPr>
          <w:rtl/>
        </w:rPr>
        <w:t>ج</w:t>
      </w:r>
      <w:r>
        <w:rPr>
          <w:rtl/>
        </w:rPr>
        <w:t>)</w:t>
      </w:r>
      <w:r>
        <w:rPr>
          <w:rtl/>
        </w:rPr>
        <w:tab/>
      </w:r>
      <w:r w:rsidR="002B79B5">
        <w:rPr>
          <w:rtl/>
        </w:rPr>
        <w:t>زاد عدد الموظفين العموميين المعنيين بقضايا المسا</w:t>
      </w:r>
      <w:r w:rsidR="00B37166">
        <w:rPr>
          <w:rtl/>
        </w:rPr>
        <w:t>واة بين الجنسين في كل الوزارات؛</w:t>
      </w:r>
    </w:p>
    <w:p w:rsidR="002B79B5" w:rsidRDefault="0079367C" w:rsidP="00E65A5F">
      <w:pPr>
        <w:pStyle w:val="SingleTxtGA"/>
        <w:spacing w:line="390" w:lineRule="exact"/>
        <w:rPr>
          <w:rFonts w:hint="cs"/>
          <w:rtl/>
        </w:rPr>
      </w:pPr>
      <w:r>
        <w:rPr>
          <w:rtl/>
        </w:rPr>
        <w:tab/>
        <w:t>(</w:t>
      </w:r>
      <w:r w:rsidR="002B79B5">
        <w:rPr>
          <w:rtl/>
        </w:rPr>
        <w:t>د</w:t>
      </w:r>
      <w:r>
        <w:rPr>
          <w:rtl/>
        </w:rPr>
        <w:t>)</w:t>
      </w:r>
      <w:r>
        <w:rPr>
          <w:rtl/>
        </w:rPr>
        <w:tab/>
      </w:r>
      <w:r w:rsidR="002B79B5">
        <w:rPr>
          <w:rtl/>
        </w:rPr>
        <w:t>زاد التشديد على التدريب المتعلق بقضايا المساواة بين الجنسين، و</w:t>
      </w:r>
      <w:r w:rsidR="00E840A2">
        <w:rPr>
          <w:rtl/>
        </w:rPr>
        <w:t>لا </w:t>
      </w:r>
      <w:proofErr w:type="spellStart"/>
      <w:r w:rsidR="00E840A2">
        <w:rPr>
          <w:rtl/>
        </w:rPr>
        <w:t>سيما</w:t>
      </w:r>
      <w:proofErr w:type="spellEnd"/>
      <w:r w:rsidR="002B79B5">
        <w:rPr>
          <w:rtl/>
        </w:rPr>
        <w:t xml:space="preserve"> بواسطة الأك</w:t>
      </w:r>
      <w:r w:rsidR="00B37166">
        <w:rPr>
          <w:rtl/>
        </w:rPr>
        <w:t>اديمية القبرصية للإدارة العامة؛</w:t>
      </w:r>
    </w:p>
    <w:p w:rsidR="002B79B5" w:rsidRDefault="0079367C" w:rsidP="00E65A5F">
      <w:pPr>
        <w:pStyle w:val="SingleTxtGA"/>
        <w:spacing w:line="390" w:lineRule="exact"/>
        <w:rPr>
          <w:rtl/>
        </w:rPr>
      </w:pPr>
      <w:r>
        <w:rPr>
          <w:rtl/>
        </w:rPr>
        <w:tab/>
        <w:t>(</w:t>
      </w:r>
      <w:r w:rsidR="00416995">
        <w:rPr>
          <w:rtl/>
        </w:rPr>
        <w:t>ﻫ</w:t>
      </w:r>
      <w:r>
        <w:rPr>
          <w:rtl/>
        </w:rPr>
        <w:t>)</w:t>
      </w:r>
      <w:r>
        <w:rPr>
          <w:rtl/>
        </w:rPr>
        <w:tab/>
      </w:r>
      <w:r w:rsidR="002B79B5">
        <w:rPr>
          <w:rtl/>
        </w:rPr>
        <w:t xml:space="preserve">تم تشكيل لجان متعددة الاختصاصات في وزارات أخرى تُعنى بقضايا المساواة. ويشارك الجهاز الوطني و/أو عدد من المنظمات غير الحكومية في تلك اللجان من أجل السعي إلى تعميم مراعاة المنظور </w:t>
      </w:r>
      <w:proofErr w:type="spellStart"/>
      <w:r w:rsidR="002B79B5">
        <w:rPr>
          <w:rtl/>
        </w:rPr>
        <w:t>الجنساني</w:t>
      </w:r>
      <w:proofErr w:type="spellEnd"/>
      <w:r w:rsidR="002B79B5">
        <w:rPr>
          <w:rtl/>
        </w:rPr>
        <w:t xml:space="preserve"> في مجال الاختصاص المحدد؛</w:t>
      </w:r>
    </w:p>
    <w:p w:rsidR="002B79B5" w:rsidRDefault="0079367C" w:rsidP="00E65A5F">
      <w:pPr>
        <w:pStyle w:val="SingleTxtGA"/>
        <w:spacing w:line="390" w:lineRule="exact"/>
        <w:rPr>
          <w:rtl/>
        </w:rPr>
      </w:pPr>
      <w:r>
        <w:rPr>
          <w:rtl/>
        </w:rPr>
        <w:tab/>
        <w:t>(</w:t>
      </w:r>
      <w:r w:rsidR="002B79B5">
        <w:rPr>
          <w:rtl/>
        </w:rPr>
        <w:t>و</w:t>
      </w:r>
      <w:r>
        <w:rPr>
          <w:rtl/>
        </w:rPr>
        <w:t>)</w:t>
      </w:r>
      <w:r>
        <w:rPr>
          <w:rtl/>
        </w:rPr>
        <w:tab/>
      </w:r>
      <w:r w:rsidR="002B79B5">
        <w:rPr>
          <w:rtl/>
        </w:rPr>
        <w:t xml:space="preserve">أصبحت السلطات المحلية أكثر فاعلية في تناول قضايا المساواة بين الجنسين. </w:t>
      </w:r>
    </w:p>
    <w:p w:rsidR="002B79B5" w:rsidRDefault="002B79B5" w:rsidP="00E65A5F">
      <w:pPr>
        <w:pStyle w:val="SingleTxtGA"/>
        <w:spacing w:line="390" w:lineRule="exact"/>
        <w:rPr>
          <w:rtl/>
        </w:rPr>
      </w:pPr>
      <w:r>
        <w:rPr>
          <w:rtl/>
        </w:rPr>
        <w:t>23</w:t>
      </w:r>
      <w:r w:rsidR="0079367C">
        <w:rPr>
          <w:rtl/>
        </w:rPr>
        <w:t>-</w:t>
      </w:r>
      <w:r w:rsidR="0079367C">
        <w:rPr>
          <w:rtl/>
        </w:rPr>
        <w:tab/>
      </w:r>
      <w:r>
        <w:rPr>
          <w:rtl/>
        </w:rPr>
        <w:t>إلا أن التقرير المرحلي كشف أيض</w:t>
      </w:r>
      <w:r w:rsidR="00D94BE0">
        <w:rPr>
          <w:rtl/>
        </w:rPr>
        <w:t xml:space="preserve">اً </w:t>
      </w:r>
      <w:r>
        <w:rPr>
          <w:rtl/>
        </w:rPr>
        <w:t>عن النقطتين التاليتين:</w:t>
      </w:r>
    </w:p>
    <w:p w:rsidR="002B79B5" w:rsidRDefault="0079367C" w:rsidP="00E65A5F">
      <w:pPr>
        <w:pStyle w:val="SingleTxtGA"/>
        <w:spacing w:line="390" w:lineRule="exact"/>
        <w:rPr>
          <w:rtl/>
        </w:rPr>
      </w:pPr>
      <w:r>
        <w:rPr>
          <w:rtl/>
        </w:rPr>
        <w:tab/>
        <w:t>(</w:t>
      </w:r>
      <w:r w:rsidR="002B79B5">
        <w:rPr>
          <w:rtl/>
        </w:rPr>
        <w:t>أ</w:t>
      </w:r>
      <w:r>
        <w:rPr>
          <w:rtl/>
        </w:rPr>
        <w:t>)</w:t>
      </w:r>
      <w:r>
        <w:rPr>
          <w:rtl/>
        </w:rPr>
        <w:tab/>
      </w:r>
      <w:r w:rsidR="002B79B5">
        <w:rPr>
          <w:rtl/>
        </w:rPr>
        <w:t>لا يزال ينظر لقضايا المساواة بين الجنسين على أنها "قضايا نسائية"؛</w:t>
      </w:r>
    </w:p>
    <w:p w:rsidR="002B79B5" w:rsidRDefault="0079367C" w:rsidP="00E65A5F">
      <w:pPr>
        <w:pStyle w:val="SingleTxtGA"/>
        <w:spacing w:line="390" w:lineRule="exact"/>
        <w:rPr>
          <w:rtl/>
        </w:rPr>
      </w:pPr>
      <w:r>
        <w:rPr>
          <w:rtl/>
        </w:rPr>
        <w:tab/>
        <w:t>(</w:t>
      </w:r>
      <w:r w:rsidR="002B79B5">
        <w:rPr>
          <w:rtl/>
        </w:rPr>
        <w:t>ب</w:t>
      </w:r>
      <w:r>
        <w:rPr>
          <w:rtl/>
        </w:rPr>
        <w:t>)</w:t>
      </w:r>
      <w:r>
        <w:rPr>
          <w:rtl/>
        </w:rPr>
        <w:tab/>
      </w:r>
      <w:r w:rsidR="002B79B5">
        <w:rPr>
          <w:rtl/>
        </w:rPr>
        <w:t xml:space="preserve">لم ينفذ تعميم مراعاة المنظور </w:t>
      </w:r>
      <w:proofErr w:type="spellStart"/>
      <w:r w:rsidR="002B79B5">
        <w:rPr>
          <w:rtl/>
        </w:rPr>
        <w:t>الجنساني</w:t>
      </w:r>
      <w:proofErr w:type="spellEnd"/>
      <w:r w:rsidR="002B79B5">
        <w:rPr>
          <w:rtl/>
        </w:rPr>
        <w:t xml:space="preserve"> بشكل عام.</w:t>
      </w:r>
    </w:p>
    <w:p w:rsidR="002B79B5" w:rsidRDefault="002B79B5" w:rsidP="00E65A5F">
      <w:pPr>
        <w:pStyle w:val="SingleTxtGA"/>
        <w:spacing w:line="390" w:lineRule="exact"/>
        <w:rPr>
          <w:rtl/>
        </w:rPr>
      </w:pPr>
      <w:r>
        <w:rPr>
          <w:rtl/>
        </w:rPr>
        <w:t>24</w:t>
      </w:r>
      <w:r w:rsidR="0079367C">
        <w:rPr>
          <w:rtl/>
        </w:rPr>
        <w:t>-</w:t>
      </w:r>
      <w:r w:rsidR="0079367C">
        <w:rPr>
          <w:rtl/>
        </w:rPr>
        <w:tab/>
      </w:r>
      <w:r>
        <w:rPr>
          <w:rtl/>
        </w:rPr>
        <w:t>بالإضافة إلى ذلك، يقترح التقرير المرحلي أن يركز العمل المستقبلي على ما يلي:</w:t>
      </w:r>
    </w:p>
    <w:p w:rsidR="002B79B5" w:rsidRDefault="0079367C" w:rsidP="00E65A5F">
      <w:pPr>
        <w:pStyle w:val="SingleTxtGA"/>
        <w:spacing w:line="390" w:lineRule="exact"/>
        <w:rPr>
          <w:rtl/>
        </w:rPr>
      </w:pPr>
      <w:r>
        <w:rPr>
          <w:rtl/>
        </w:rPr>
        <w:tab/>
        <w:t>(</w:t>
      </w:r>
      <w:r w:rsidR="002B79B5">
        <w:rPr>
          <w:rtl/>
        </w:rPr>
        <w:t>أ</w:t>
      </w:r>
      <w:r>
        <w:rPr>
          <w:rtl/>
        </w:rPr>
        <w:t>)</w:t>
      </w:r>
      <w:r>
        <w:rPr>
          <w:rtl/>
        </w:rPr>
        <w:tab/>
      </w:r>
      <w:r w:rsidR="002B79B5">
        <w:rPr>
          <w:rtl/>
        </w:rPr>
        <w:t>تغيير المواقف الاجتماعية لدى النساء والرجال</w:t>
      </w:r>
      <w:r w:rsidR="00E840A2">
        <w:rPr>
          <w:rtl/>
        </w:rPr>
        <w:t xml:space="preserve"> فيما </w:t>
      </w:r>
      <w:r w:rsidR="002B79B5">
        <w:rPr>
          <w:rtl/>
        </w:rPr>
        <w:t xml:space="preserve">يتعلق بقضايا المساواة بين الجنسين والقضاء على </w:t>
      </w:r>
      <w:proofErr w:type="spellStart"/>
      <w:r w:rsidR="002B79B5">
        <w:rPr>
          <w:rtl/>
        </w:rPr>
        <w:t>التنميطات</w:t>
      </w:r>
      <w:proofErr w:type="spellEnd"/>
      <w:r w:rsidR="002B79B5">
        <w:rPr>
          <w:rtl/>
        </w:rPr>
        <w:t xml:space="preserve"> </w:t>
      </w:r>
      <w:proofErr w:type="spellStart"/>
      <w:r w:rsidR="002B79B5">
        <w:rPr>
          <w:rtl/>
        </w:rPr>
        <w:t>الجنسانية</w:t>
      </w:r>
      <w:proofErr w:type="spellEnd"/>
      <w:r w:rsidR="002B79B5">
        <w:rPr>
          <w:rtl/>
        </w:rPr>
        <w:t xml:space="preserve"> من خلال النظام التعليمي ووسائط الإعلام؛</w:t>
      </w:r>
    </w:p>
    <w:p w:rsidR="002B79B5" w:rsidRDefault="0079367C" w:rsidP="00E65A5F">
      <w:pPr>
        <w:pStyle w:val="SingleTxtGA"/>
        <w:spacing w:line="390" w:lineRule="exact"/>
        <w:rPr>
          <w:rtl/>
        </w:rPr>
      </w:pPr>
      <w:r>
        <w:rPr>
          <w:rtl/>
        </w:rPr>
        <w:tab/>
        <w:t>(</w:t>
      </w:r>
      <w:r w:rsidR="002B79B5">
        <w:rPr>
          <w:rtl/>
        </w:rPr>
        <w:t>ب</w:t>
      </w:r>
      <w:r>
        <w:rPr>
          <w:rtl/>
        </w:rPr>
        <w:t>)</w:t>
      </w:r>
      <w:r>
        <w:rPr>
          <w:rtl/>
        </w:rPr>
        <w:tab/>
      </w:r>
      <w:r w:rsidR="002B79B5">
        <w:rPr>
          <w:rtl/>
        </w:rPr>
        <w:t>زيادة تعزيز التدريب المتخصص والتوعية للمهنيين المعنيين بقضايا المساواة بين الجنسين؛</w:t>
      </w:r>
    </w:p>
    <w:p w:rsidR="002B79B5" w:rsidRDefault="0079367C" w:rsidP="00E65A5F">
      <w:pPr>
        <w:pStyle w:val="SingleTxtGA"/>
        <w:spacing w:line="390" w:lineRule="exact"/>
        <w:rPr>
          <w:rFonts w:hint="cs"/>
          <w:rtl/>
        </w:rPr>
      </w:pPr>
      <w:r>
        <w:rPr>
          <w:rtl/>
        </w:rPr>
        <w:tab/>
        <w:t>(</w:t>
      </w:r>
      <w:r w:rsidR="002B79B5">
        <w:rPr>
          <w:rtl/>
        </w:rPr>
        <w:t>ج</w:t>
      </w:r>
      <w:r>
        <w:rPr>
          <w:rtl/>
        </w:rPr>
        <w:t>)</w:t>
      </w:r>
      <w:r>
        <w:rPr>
          <w:rtl/>
        </w:rPr>
        <w:tab/>
      </w:r>
      <w:r w:rsidR="002B79B5">
        <w:rPr>
          <w:rtl/>
        </w:rPr>
        <w:t xml:space="preserve">تعزيز تدابير العمل الإيجابي وكذلك تعميم مراعاة المنظور </w:t>
      </w:r>
      <w:proofErr w:type="spellStart"/>
      <w:r w:rsidR="002B79B5">
        <w:rPr>
          <w:rtl/>
        </w:rPr>
        <w:t>ال</w:t>
      </w:r>
      <w:r w:rsidR="00B37166">
        <w:rPr>
          <w:rtl/>
        </w:rPr>
        <w:t>جنساني</w:t>
      </w:r>
      <w:proofErr w:type="spellEnd"/>
      <w:r w:rsidR="00B37166">
        <w:rPr>
          <w:rtl/>
        </w:rPr>
        <w:t xml:space="preserve"> في كل السياسات الحكومية؛</w:t>
      </w:r>
    </w:p>
    <w:p w:rsidR="002B79B5" w:rsidRDefault="0079367C" w:rsidP="00E65A5F">
      <w:pPr>
        <w:pStyle w:val="SingleTxtGA"/>
        <w:spacing w:line="390" w:lineRule="exact"/>
        <w:rPr>
          <w:rFonts w:hint="cs"/>
          <w:rtl/>
        </w:rPr>
      </w:pPr>
      <w:r>
        <w:rPr>
          <w:rtl/>
        </w:rPr>
        <w:tab/>
        <w:t>(</w:t>
      </w:r>
      <w:r w:rsidR="002B79B5">
        <w:rPr>
          <w:rtl/>
        </w:rPr>
        <w:t>د</w:t>
      </w:r>
      <w:r>
        <w:rPr>
          <w:rtl/>
        </w:rPr>
        <w:t>)</w:t>
      </w:r>
      <w:r>
        <w:rPr>
          <w:rtl/>
        </w:rPr>
        <w:tab/>
      </w:r>
      <w:r w:rsidR="002B79B5">
        <w:rPr>
          <w:rtl/>
        </w:rPr>
        <w:t>الرصد والتقييم المنهجيين لخطة العم</w:t>
      </w:r>
      <w:r w:rsidR="00B37166">
        <w:rPr>
          <w:rtl/>
        </w:rPr>
        <w:t>ل الوطنية للمساواة بين الجنسين؛</w:t>
      </w:r>
    </w:p>
    <w:p w:rsidR="002B79B5" w:rsidRDefault="0079367C" w:rsidP="00E65A5F">
      <w:pPr>
        <w:pStyle w:val="SingleTxtGA"/>
        <w:spacing w:line="390" w:lineRule="exact"/>
        <w:rPr>
          <w:rtl/>
        </w:rPr>
      </w:pPr>
      <w:r>
        <w:rPr>
          <w:rtl/>
        </w:rPr>
        <w:tab/>
        <w:t>(</w:t>
      </w:r>
      <w:r w:rsidR="00416995">
        <w:rPr>
          <w:rtl/>
        </w:rPr>
        <w:t>ﻫ</w:t>
      </w:r>
      <w:r>
        <w:rPr>
          <w:rtl/>
        </w:rPr>
        <w:t>)</w:t>
      </w:r>
      <w:r>
        <w:rPr>
          <w:rtl/>
        </w:rPr>
        <w:tab/>
      </w:r>
      <w:r w:rsidR="002B79B5">
        <w:rPr>
          <w:rtl/>
        </w:rPr>
        <w:t>زيادة تطوير أعمال البحث والتحسين الخاصة بالبيانات الإحصائية.</w:t>
      </w:r>
    </w:p>
    <w:p w:rsidR="002B79B5" w:rsidRPr="00E65A5F" w:rsidRDefault="002B79B5" w:rsidP="000E778D">
      <w:pPr>
        <w:pStyle w:val="SingleTxtGA"/>
        <w:spacing w:line="390" w:lineRule="exact"/>
        <w:rPr>
          <w:rtl/>
        </w:rPr>
      </w:pPr>
      <w:r w:rsidRPr="00E65A5F">
        <w:rPr>
          <w:rtl/>
        </w:rPr>
        <w:t>25</w:t>
      </w:r>
      <w:r w:rsidR="0079367C" w:rsidRPr="00E65A5F">
        <w:rPr>
          <w:rtl/>
        </w:rPr>
        <w:t>-</w:t>
      </w:r>
      <w:r w:rsidR="0079367C" w:rsidRPr="00E65A5F">
        <w:rPr>
          <w:rtl/>
        </w:rPr>
        <w:tab/>
      </w:r>
      <w:r w:rsidRPr="00E65A5F">
        <w:rPr>
          <w:rtl/>
        </w:rPr>
        <w:t>وأعد فريق التنسيق المتعدد الاختصاصات لمكافحة الاتجار بالبشر خطة العمل الجديدة لمكافحة الاتجار بالبشر للفترة 2010-201</w:t>
      </w:r>
      <w:r w:rsidR="000E778D">
        <w:rPr>
          <w:rFonts w:hint="cs"/>
          <w:rtl/>
        </w:rPr>
        <w:t>2</w:t>
      </w:r>
      <w:r w:rsidRPr="00E65A5F">
        <w:rPr>
          <w:rtl/>
        </w:rPr>
        <w:t>. وتضع الخطة إطار</w:t>
      </w:r>
      <w:r w:rsidR="00D94BE0" w:rsidRPr="00E65A5F">
        <w:rPr>
          <w:rtl/>
        </w:rPr>
        <w:t xml:space="preserve">اً </w:t>
      </w:r>
      <w:r w:rsidRPr="00E65A5F">
        <w:rPr>
          <w:rtl/>
        </w:rPr>
        <w:t>عام</w:t>
      </w:r>
      <w:r w:rsidR="00D94BE0" w:rsidRPr="00E65A5F">
        <w:rPr>
          <w:rtl/>
        </w:rPr>
        <w:t xml:space="preserve">اً </w:t>
      </w:r>
      <w:r w:rsidRPr="00E65A5F">
        <w:rPr>
          <w:rtl/>
        </w:rPr>
        <w:t>لمكافحة هذا الاتجار</w:t>
      </w:r>
      <w:r w:rsidR="00B37166" w:rsidRPr="00E65A5F">
        <w:rPr>
          <w:rFonts w:hint="cs"/>
          <w:rtl/>
        </w:rPr>
        <w:t> </w:t>
      </w:r>
      <w:r w:rsidRPr="00E65A5F">
        <w:rPr>
          <w:rtl/>
        </w:rPr>
        <w:t>في سياق الواقع القبرصي. وتشمل خطة العمل الوطنية للفترة 2010-2012، بخلاف سابقتها، كل جوانب المشكلة وتضم تدابير وإجراءات عملية يجب أن تنفذها السلطات الحكومية المختصة والمنظمات غير الحكومية المعنية في أطر زمنية محددة. كما توفر</w:t>
      </w:r>
      <w:r w:rsidR="00E65A5F">
        <w:rPr>
          <w:rFonts w:hint="cs"/>
          <w:rtl/>
        </w:rPr>
        <w:t> </w:t>
      </w:r>
      <w:r w:rsidRPr="00E65A5F">
        <w:rPr>
          <w:rtl/>
        </w:rPr>
        <w:t>التمويل لتلك العمليات. وتقع على عاتق الموظفين الحكوميين لدى كل السلطات المعنية</w:t>
      </w:r>
      <w:r w:rsidR="00E65A5F">
        <w:rPr>
          <w:rFonts w:hint="cs"/>
          <w:rtl/>
        </w:rPr>
        <w:t> </w:t>
      </w:r>
      <w:r w:rsidRPr="00E65A5F">
        <w:rPr>
          <w:rtl/>
        </w:rPr>
        <w:t xml:space="preserve">مسؤولية تنفيذ الإجراءات المكلفين </w:t>
      </w:r>
      <w:proofErr w:type="spellStart"/>
      <w:r w:rsidRPr="00E65A5F">
        <w:rPr>
          <w:rtl/>
        </w:rPr>
        <w:t>بها</w:t>
      </w:r>
      <w:proofErr w:type="spellEnd"/>
      <w:r w:rsidRPr="00E65A5F">
        <w:rPr>
          <w:rtl/>
        </w:rPr>
        <w:t xml:space="preserve">. وكل هيئة حكومية </w:t>
      </w:r>
      <w:proofErr w:type="spellStart"/>
      <w:r w:rsidRPr="00E65A5F">
        <w:rPr>
          <w:rtl/>
        </w:rPr>
        <w:t>مسؤولة</w:t>
      </w:r>
      <w:proofErr w:type="spellEnd"/>
      <w:r w:rsidRPr="00E65A5F">
        <w:rPr>
          <w:rtl/>
        </w:rPr>
        <w:t xml:space="preserve"> عن تمويل الإجراءات التي</w:t>
      </w:r>
      <w:r w:rsidR="00E65A5F">
        <w:rPr>
          <w:rFonts w:hint="cs"/>
          <w:rtl/>
        </w:rPr>
        <w:t> </w:t>
      </w:r>
      <w:r w:rsidRPr="00E65A5F">
        <w:rPr>
          <w:rtl/>
        </w:rPr>
        <w:t>تدخل في نطاق مسؤوليتها على النحو المشار إليه في خطة العمل الوطنية للفترة 2010-2012. وعلى سبيل المثال، تمول وزارة الداخلية إصدار مواد إعلامية وتنظيم حملات وحلقات دراسية وحلقات عمل ودورات تدريبية لموظفين حكوميين. وبالمثل، تقوم</w:t>
      </w:r>
      <w:r w:rsidR="00E65A5F">
        <w:rPr>
          <w:rFonts w:hint="cs"/>
          <w:rtl/>
        </w:rPr>
        <w:t> </w:t>
      </w:r>
      <w:r w:rsidRPr="00E65A5F">
        <w:rPr>
          <w:rtl/>
        </w:rPr>
        <w:t xml:space="preserve">الشرطة بتمويل وإصدار ملصقات وبطاقات ومنشورات لتنوير وتوعية الجمهور بشأن الاتجار بالبشر. وعلى نفس المنوال، وافقت وزارة العمل والتأمينات الاجتماعية على تمويل منظمة غير حكومية باسم معهد البحر المتوسط للدراسات </w:t>
      </w:r>
      <w:proofErr w:type="spellStart"/>
      <w:r w:rsidRPr="00E65A5F">
        <w:rPr>
          <w:rtl/>
        </w:rPr>
        <w:t>الجنسانية</w:t>
      </w:r>
      <w:proofErr w:type="spellEnd"/>
      <w:r w:rsidRPr="00E65A5F">
        <w:rPr>
          <w:rtl/>
        </w:rPr>
        <w:t xml:space="preserve"> من أجل استعراض وتحديث دليل الإجراءات المشتركة بين الإدارات. وبلغت ميزانية وزارة الداخلية لأنشطة فريق التنسيق المتعدد الاختصاصات لمكافحة الاتجار بالبشر ولتنفيذ إجراءات الوزارة</w:t>
      </w:r>
      <w:r w:rsidR="000725DD">
        <w:rPr>
          <w:rFonts w:hint="cs"/>
          <w:rtl/>
        </w:rPr>
        <w:t xml:space="preserve">            </w:t>
      </w:r>
      <w:r w:rsidRPr="00E65A5F">
        <w:rPr>
          <w:rtl/>
        </w:rPr>
        <w:t xml:space="preserve">ما قدره 826 82 </w:t>
      </w:r>
      <w:proofErr w:type="spellStart"/>
      <w:r w:rsidRPr="00E65A5F">
        <w:rPr>
          <w:rtl/>
        </w:rPr>
        <w:t>يورو</w:t>
      </w:r>
      <w:proofErr w:type="spellEnd"/>
      <w:r w:rsidRPr="00E65A5F">
        <w:rPr>
          <w:rtl/>
        </w:rPr>
        <w:t xml:space="preserve"> في عام 2012.</w:t>
      </w:r>
    </w:p>
    <w:p w:rsidR="002B79B5" w:rsidRPr="00B37166" w:rsidRDefault="002B79B5" w:rsidP="00B37166">
      <w:pPr>
        <w:pStyle w:val="SingleTxtGA"/>
        <w:rPr>
          <w:spacing w:val="-2"/>
          <w:rtl/>
        </w:rPr>
      </w:pPr>
      <w:r w:rsidRPr="00B37166">
        <w:rPr>
          <w:spacing w:val="-2"/>
          <w:rtl/>
        </w:rPr>
        <w:t>26</w:t>
      </w:r>
      <w:r w:rsidR="0079367C" w:rsidRPr="00B37166">
        <w:rPr>
          <w:spacing w:val="-2"/>
          <w:rtl/>
        </w:rPr>
        <w:t>-</w:t>
      </w:r>
      <w:r w:rsidR="0079367C" w:rsidRPr="00B37166">
        <w:rPr>
          <w:spacing w:val="-2"/>
          <w:rtl/>
        </w:rPr>
        <w:tab/>
      </w:r>
      <w:r w:rsidRPr="00B37166">
        <w:rPr>
          <w:spacing w:val="-2"/>
          <w:rtl/>
        </w:rPr>
        <w:t xml:space="preserve">وهناك تطور آخر يتسم بأهمية خاصة وهو تنفيذ خطة العمل الوطنية لمنع العنف المنزلي ومواجهته للفترة 2010-2013 التي أعدتها اللجنة الاستشارية لمنع العنف المنزلي ومكافحته. وقد خصصت اللجنة الاستشارية 000 2 </w:t>
      </w:r>
      <w:proofErr w:type="spellStart"/>
      <w:r w:rsidRPr="00B37166">
        <w:rPr>
          <w:spacing w:val="-2"/>
          <w:rtl/>
        </w:rPr>
        <w:t>يورو</w:t>
      </w:r>
      <w:proofErr w:type="spellEnd"/>
      <w:r w:rsidRPr="00B37166">
        <w:rPr>
          <w:spacing w:val="-2"/>
          <w:rtl/>
        </w:rPr>
        <w:t xml:space="preserve"> من ميزانيتها لتقييم تنفيذ خطة العمل الوطنية لمنع العنف المنزلي ومواجهته للفترة 2012-2013. وفي المراحل الأولية للتقييم، تم تحديد المشاكل التي تتعلق بتنفيذ الإجراءات المشتركة بين الإدارات في وزارة الصحة ووزارة التعليم</w:t>
      </w:r>
      <w:r w:rsidR="00B37166">
        <w:rPr>
          <w:rFonts w:hint="cs"/>
          <w:spacing w:val="-2"/>
          <w:rtl/>
        </w:rPr>
        <w:t> </w:t>
      </w:r>
      <w:r w:rsidRPr="00B37166">
        <w:rPr>
          <w:spacing w:val="-2"/>
          <w:rtl/>
        </w:rPr>
        <w:t>والثقافة.</w:t>
      </w:r>
    </w:p>
    <w:p w:rsidR="002B79B5" w:rsidRDefault="002B79B5" w:rsidP="002B79B5">
      <w:pPr>
        <w:pStyle w:val="SingleTxtGA"/>
        <w:rPr>
          <w:rtl/>
        </w:rPr>
      </w:pPr>
      <w:r>
        <w:rPr>
          <w:rtl/>
        </w:rPr>
        <w:t>27</w:t>
      </w:r>
      <w:r w:rsidR="0079367C">
        <w:rPr>
          <w:rtl/>
        </w:rPr>
        <w:t>-</w:t>
      </w:r>
      <w:r w:rsidR="0079367C">
        <w:rPr>
          <w:rtl/>
        </w:rPr>
        <w:tab/>
      </w:r>
      <w:r>
        <w:rPr>
          <w:rtl/>
        </w:rPr>
        <w:t>واستمرت خطة العمل الوطنية للعمالة لمدة سنتين واكتملت في عام 2006. وسعت تلك الخطة إلى تحقيق الهدف الذي حدده الاتحاد الأوروبي بالوصول إلى توظيف ما نسبته 57 في المائة من النساء اللاتي تتراوح أعمارهن بين 15 و64 عام</w:t>
      </w:r>
      <w:r w:rsidR="00D94BE0">
        <w:rPr>
          <w:rtl/>
        </w:rPr>
        <w:t xml:space="preserve">اً </w:t>
      </w:r>
      <w:r>
        <w:rPr>
          <w:rtl/>
        </w:rPr>
        <w:t>بحلول عام 2005، و60 في المائة بحلول عام 2010، وقد تجاوزت ذلك الهدف. وتحديد</w:t>
      </w:r>
      <w:r w:rsidR="00D94BE0">
        <w:rPr>
          <w:rtl/>
        </w:rPr>
        <w:t>اً،</w:t>
      </w:r>
      <w:r>
        <w:rPr>
          <w:rtl/>
        </w:rPr>
        <w:t xml:space="preserve"> كانت نسبة مشاركة الإناث في سوق العمل 62.5 في المائة في عام 2009.</w:t>
      </w:r>
    </w:p>
    <w:p w:rsidR="002B79B5" w:rsidRDefault="002B79B5" w:rsidP="002B79B5">
      <w:pPr>
        <w:pStyle w:val="SingleTxtGA"/>
        <w:rPr>
          <w:rtl/>
        </w:rPr>
      </w:pPr>
      <w:r>
        <w:rPr>
          <w:rtl/>
        </w:rPr>
        <w:t>28</w:t>
      </w:r>
      <w:r w:rsidR="0079367C">
        <w:rPr>
          <w:rtl/>
        </w:rPr>
        <w:t>-</w:t>
      </w:r>
      <w:r w:rsidR="0079367C">
        <w:rPr>
          <w:rtl/>
        </w:rPr>
        <w:tab/>
      </w:r>
      <w:r>
        <w:rPr>
          <w:rtl/>
        </w:rPr>
        <w:t>بالإضافة إلى ذلك، استحدثت خطة العمل الوطنية للعمالة تدابير تستهدف ضمان تحقيق التوازن بين الحياة المهنية والحياة الأسرية. وتضمنت تلك التدابير ما يلي:</w:t>
      </w:r>
    </w:p>
    <w:p w:rsidR="002B79B5" w:rsidRDefault="0079367C" w:rsidP="002B79B5">
      <w:pPr>
        <w:pStyle w:val="SingleTxtGA"/>
        <w:rPr>
          <w:rFonts w:hint="cs"/>
          <w:rtl/>
        </w:rPr>
      </w:pPr>
      <w:r>
        <w:rPr>
          <w:rtl/>
        </w:rPr>
        <w:tab/>
        <w:t>(</w:t>
      </w:r>
      <w:r w:rsidR="002B79B5">
        <w:rPr>
          <w:rtl/>
        </w:rPr>
        <w:t>أ</w:t>
      </w:r>
      <w:r>
        <w:rPr>
          <w:rtl/>
        </w:rPr>
        <w:t>)</w:t>
      </w:r>
      <w:r>
        <w:rPr>
          <w:rtl/>
        </w:rPr>
        <w:tab/>
      </w:r>
      <w:r w:rsidR="002B79B5">
        <w:rPr>
          <w:rtl/>
        </w:rPr>
        <w:t>ت</w:t>
      </w:r>
      <w:r w:rsidR="00B37166">
        <w:rPr>
          <w:rtl/>
        </w:rPr>
        <w:t>غطية جزئية لتكاليف رعاية الطفل؛</w:t>
      </w:r>
    </w:p>
    <w:p w:rsidR="002B79B5" w:rsidRDefault="0079367C" w:rsidP="002B79B5">
      <w:pPr>
        <w:pStyle w:val="SingleTxtGA"/>
        <w:rPr>
          <w:rFonts w:hint="cs"/>
          <w:rtl/>
        </w:rPr>
      </w:pPr>
      <w:r>
        <w:rPr>
          <w:rtl/>
        </w:rPr>
        <w:tab/>
        <w:t>(</w:t>
      </w:r>
      <w:r w:rsidR="002B79B5">
        <w:rPr>
          <w:rtl/>
        </w:rPr>
        <w:t>ب</w:t>
      </w:r>
      <w:r>
        <w:rPr>
          <w:rtl/>
        </w:rPr>
        <w:t>)</w:t>
      </w:r>
      <w:r>
        <w:rPr>
          <w:rtl/>
        </w:rPr>
        <w:tab/>
      </w:r>
      <w:r w:rsidR="002B79B5">
        <w:rPr>
          <w:rtl/>
        </w:rPr>
        <w:t>توفير المساعدة المنزلية (</w:t>
      </w:r>
      <w:r w:rsidR="00B37166">
        <w:rPr>
          <w:rtl/>
        </w:rPr>
        <w:t>في حالة الأسر الأحادية الوالد)؛</w:t>
      </w:r>
    </w:p>
    <w:p w:rsidR="002B79B5" w:rsidRDefault="0079367C" w:rsidP="002B79B5">
      <w:pPr>
        <w:pStyle w:val="SingleTxtGA"/>
        <w:rPr>
          <w:rtl/>
        </w:rPr>
      </w:pPr>
      <w:r>
        <w:rPr>
          <w:rtl/>
        </w:rPr>
        <w:tab/>
        <w:t>(</w:t>
      </w:r>
      <w:r w:rsidR="002B79B5">
        <w:rPr>
          <w:rtl/>
        </w:rPr>
        <w:t>ج</w:t>
      </w:r>
      <w:r>
        <w:rPr>
          <w:rtl/>
        </w:rPr>
        <w:t>)</w:t>
      </w:r>
      <w:r>
        <w:rPr>
          <w:rtl/>
        </w:rPr>
        <w:tab/>
      </w:r>
      <w:r w:rsidR="002B79B5">
        <w:rPr>
          <w:rtl/>
        </w:rPr>
        <w:t>تقديم مزايا شهرية لمن يعول (أطفال</w:t>
      </w:r>
      <w:r w:rsidR="00D94BE0">
        <w:rPr>
          <w:rtl/>
        </w:rPr>
        <w:t xml:space="preserve">اً </w:t>
      </w:r>
      <w:r w:rsidR="002B79B5">
        <w:rPr>
          <w:rtl/>
        </w:rPr>
        <w:t>أو شيوخ</w:t>
      </w:r>
      <w:r w:rsidR="00D94BE0">
        <w:rPr>
          <w:rtl/>
        </w:rPr>
        <w:t>اً)</w:t>
      </w:r>
      <w:r w:rsidR="002B79B5">
        <w:rPr>
          <w:rtl/>
        </w:rPr>
        <w:t>.</w:t>
      </w:r>
    </w:p>
    <w:p w:rsidR="002B79B5" w:rsidRDefault="002B79B5" w:rsidP="00D94BE0">
      <w:pPr>
        <w:pStyle w:val="SingleTxtGA"/>
        <w:rPr>
          <w:rtl/>
        </w:rPr>
      </w:pPr>
      <w:r>
        <w:rPr>
          <w:rtl/>
        </w:rPr>
        <w:t>29</w:t>
      </w:r>
      <w:r w:rsidR="0079367C">
        <w:rPr>
          <w:rtl/>
        </w:rPr>
        <w:t>-</w:t>
      </w:r>
      <w:r w:rsidR="0079367C">
        <w:rPr>
          <w:rtl/>
        </w:rPr>
        <w:tab/>
      </w:r>
      <w:r>
        <w:rPr>
          <w:rtl/>
        </w:rPr>
        <w:t>ودخل حيز التنفيذ في عام 2002 برنامج لتعزيز مباشرة الإناث للأعمال الحرة، ولا</w:t>
      </w:r>
      <w:r w:rsidR="00D94BE0">
        <w:rPr>
          <w:rFonts w:hint="cs"/>
          <w:rtl/>
        </w:rPr>
        <w:t> </w:t>
      </w:r>
      <w:r>
        <w:rPr>
          <w:rtl/>
        </w:rPr>
        <w:t>يزال مستمر</w:t>
      </w:r>
      <w:r w:rsidR="00D94BE0">
        <w:rPr>
          <w:rtl/>
        </w:rPr>
        <w:t>اً.</w:t>
      </w:r>
      <w:r>
        <w:rPr>
          <w:rtl/>
        </w:rPr>
        <w:t xml:space="preserve"> وفضل</w:t>
      </w:r>
      <w:r w:rsidR="00D94BE0">
        <w:rPr>
          <w:rtl/>
        </w:rPr>
        <w:t xml:space="preserve">اً </w:t>
      </w:r>
      <w:r>
        <w:rPr>
          <w:rtl/>
        </w:rPr>
        <w:t>عن ذلك، ينظم مركز قبرص للإنتاجية برامج للتدريب المهني لقوة العمل العاطلة من الإناث.</w:t>
      </w:r>
    </w:p>
    <w:p w:rsidR="002B79B5" w:rsidRDefault="002B79B5" w:rsidP="002B79B5">
      <w:pPr>
        <w:pStyle w:val="SingleTxtGA"/>
        <w:rPr>
          <w:rtl/>
        </w:rPr>
      </w:pPr>
      <w:r>
        <w:rPr>
          <w:rtl/>
        </w:rPr>
        <w:t>30</w:t>
      </w:r>
      <w:r w:rsidR="0079367C">
        <w:rPr>
          <w:rtl/>
        </w:rPr>
        <w:t>-</w:t>
      </w:r>
      <w:r w:rsidR="0079367C">
        <w:rPr>
          <w:rtl/>
        </w:rPr>
        <w:tab/>
      </w:r>
      <w:r>
        <w:rPr>
          <w:rtl/>
        </w:rPr>
        <w:t>وكانت خطة العمل الوطنية للحماية الاجتماعية والإدماج الاجتماعي سارية في الفترة 2008-2010، ولم يتم تجديدها.</w:t>
      </w:r>
    </w:p>
    <w:p w:rsidR="002B79B5" w:rsidRDefault="00E65A5F" w:rsidP="00E65A5F">
      <w:pPr>
        <w:pStyle w:val="H1GA"/>
        <w:spacing w:before="120"/>
        <w:rPr>
          <w:rtl/>
        </w:rPr>
      </w:pPr>
      <w:r>
        <w:rPr>
          <w:rtl/>
        </w:rPr>
        <w:br w:type="page"/>
      </w:r>
      <w:r w:rsidR="00B37166">
        <w:rPr>
          <w:rFonts w:hint="cs"/>
          <w:rtl/>
        </w:rPr>
        <w:tab/>
      </w:r>
      <w:r w:rsidR="00B37166">
        <w:rPr>
          <w:rFonts w:hint="cs"/>
          <w:rtl/>
        </w:rPr>
        <w:tab/>
      </w:r>
      <w:r w:rsidR="002B79B5">
        <w:rPr>
          <w:rtl/>
        </w:rPr>
        <w:t>العنف ضد المرأة</w:t>
      </w:r>
    </w:p>
    <w:p w:rsidR="002B79B5" w:rsidRDefault="00B37166" w:rsidP="00484AC9">
      <w:pPr>
        <w:pStyle w:val="H23GA"/>
        <w:spacing w:before="0"/>
        <w:rPr>
          <w:rtl/>
        </w:rPr>
      </w:pPr>
      <w:r>
        <w:rPr>
          <w:rFonts w:hint="cs"/>
          <w:rtl/>
        </w:rPr>
        <w:tab/>
      </w:r>
      <w:r>
        <w:rPr>
          <w:rFonts w:hint="cs"/>
          <w:rtl/>
        </w:rPr>
        <w:tab/>
      </w:r>
      <w:r w:rsidR="002B79B5">
        <w:rPr>
          <w:rtl/>
        </w:rPr>
        <w:t xml:space="preserve">الرد على القضايا المطروحة في الفقرة 6 من قائمة القضايا </w:t>
      </w:r>
    </w:p>
    <w:p w:rsidR="002B79B5" w:rsidRDefault="002B79B5" w:rsidP="00E65A5F">
      <w:pPr>
        <w:pStyle w:val="SingleTxtGA"/>
        <w:spacing w:before="120"/>
        <w:rPr>
          <w:rtl/>
        </w:rPr>
      </w:pPr>
      <w:r>
        <w:rPr>
          <w:rtl/>
        </w:rPr>
        <w:t>الجدول 1</w:t>
      </w:r>
    </w:p>
    <w:p w:rsidR="008B4BC6" w:rsidRPr="00E65A5F" w:rsidRDefault="002B79B5" w:rsidP="00E65A5F">
      <w:pPr>
        <w:pStyle w:val="SingleTxtGA"/>
        <w:rPr>
          <w:rFonts w:hint="cs"/>
          <w:b/>
          <w:bCs/>
          <w:rtl/>
        </w:rPr>
      </w:pPr>
      <w:r w:rsidRPr="00E65A5F">
        <w:rPr>
          <w:b/>
          <w:bCs/>
          <w:rtl/>
        </w:rPr>
        <w:t>بيانات عن عدد حالات العنف المنزلي المبلغ عنها والملاحقات القضائية والإدانات والعقوبات الصادرة منذ عام 2009 - البيانات مقدمة من الشرطة</w:t>
      </w:r>
    </w:p>
    <w:tbl>
      <w:tblPr>
        <w:tblStyle w:val="TableGrid"/>
        <w:bidiVisual/>
        <w:tblW w:w="0" w:type="auto"/>
        <w:tblInd w:w="87" w:type="dxa"/>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39"/>
        <w:gridCol w:w="1080"/>
        <w:gridCol w:w="1076"/>
        <w:gridCol w:w="1092"/>
        <w:gridCol w:w="1176"/>
        <w:gridCol w:w="1344"/>
        <w:gridCol w:w="812"/>
        <w:gridCol w:w="854"/>
        <w:gridCol w:w="1494"/>
      </w:tblGrid>
      <w:tr w:rsidR="00E65A5F" w:rsidRPr="00E65A5F" w:rsidTr="00E65A5F">
        <w:tc>
          <w:tcPr>
            <w:tcW w:w="839"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السنة</w:t>
            </w:r>
          </w:p>
        </w:tc>
        <w:tc>
          <w:tcPr>
            <w:tcW w:w="1080"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الحوادث المبلغ عنها</w:t>
            </w:r>
          </w:p>
        </w:tc>
        <w:tc>
          <w:tcPr>
            <w:tcW w:w="1076"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الدعاوى الجنائية موضع التحقيق</w:t>
            </w:r>
          </w:p>
        </w:tc>
        <w:tc>
          <w:tcPr>
            <w:tcW w:w="1092"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الدعاوى المقامة أمام المحاكم</w:t>
            </w:r>
          </w:p>
        </w:tc>
        <w:tc>
          <w:tcPr>
            <w:tcW w:w="1176"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الدعاوى المسحوبة أو المعلقة أو المتوقفة</w:t>
            </w:r>
          </w:p>
        </w:tc>
        <w:tc>
          <w:tcPr>
            <w:tcW w:w="1344"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الدعاوى القائمة بانتظار حكم المحكمة</w:t>
            </w:r>
          </w:p>
        </w:tc>
        <w:tc>
          <w:tcPr>
            <w:tcW w:w="812"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أحكام الإدانة</w:t>
            </w:r>
          </w:p>
        </w:tc>
        <w:tc>
          <w:tcPr>
            <w:tcW w:w="854" w:type="dxa"/>
            <w:tcBorders>
              <w:top w:val="single" w:sz="4" w:space="0" w:color="auto"/>
              <w:bottom w:val="single" w:sz="12" w:space="0" w:color="auto"/>
            </w:tcBorders>
          </w:tcPr>
          <w:p w:rsidR="00E65A5F" w:rsidRPr="00E65A5F" w:rsidRDefault="00E65A5F" w:rsidP="00E65A5F">
            <w:pPr>
              <w:ind w:right="113"/>
              <w:rPr>
                <w:i/>
                <w:iCs/>
                <w:sz w:val="18"/>
                <w:szCs w:val="26"/>
                <w:rtl/>
              </w:rPr>
            </w:pPr>
            <w:r w:rsidRPr="00E65A5F">
              <w:rPr>
                <w:i/>
                <w:iCs/>
                <w:sz w:val="18"/>
                <w:szCs w:val="26"/>
                <w:rtl/>
              </w:rPr>
              <w:t xml:space="preserve">أحكام البراءة </w:t>
            </w:r>
          </w:p>
        </w:tc>
        <w:tc>
          <w:tcPr>
            <w:tcW w:w="1494" w:type="dxa"/>
            <w:tcBorders>
              <w:top w:val="single" w:sz="4" w:space="0" w:color="auto"/>
              <w:bottom w:val="single" w:sz="12" w:space="0" w:color="auto"/>
            </w:tcBorders>
          </w:tcPr>
          <w:p w:rsidR="00E65A5F" w:rsidRPr="00E65A5F" w:rsidRDefault="00E65A5F" w:rsidP="00E65A5F">
            <w:pPr>
              <w:ind w:right="113"/>
              <w:rPr>
                <w:i/>
                <w:iCs/>
                <w:sz w:val="18"/>
                <w:szCs w:val="26"/>
              </w:rPr>
            </w:pPr>
            <w:r w:rsidRPr="00E65A5F">
              <w:rPr>
                <w:i/>
                <w:iCs/>
                <w:sz w:val="18"/>
                <w:szCs w:val="26"/>
                <w:rtl/>
              </w:rPr>
              <w:t>الدعاوى المعلقة لأغراض التحقيق أو الحفظ</w:t>
            </w:r>
          </w:p>
        </w:tc>
      </w:tr>
      <w:tr w:rsidR="00E65A5F" w:rsidRPr="00E65A5F" w:rsidTr="00E65A5F">
        <w:tc>
          <w:tcPr>
            <w:tcW w:w="839" w:type="dxa"/>
            <w:tcBorders>
              <w:top w:val="single" w:sz="12" w:space="0" w:color="auto"/>
            </w:tcBorders>
          </w:tcPr>
          <w:p w:rsidR="00E65A5F" w:rsidRPr="00E65A5F" w:rsidRDefault="00E65A5F" w:rsidP="00A652E6">
            <w:pPr>
              <w:rPr>
                <w:sz w:val="18"/>
                <w:szCs w:val="26"/>
                <w:rtl/>
              </w:rPr>
            </w:pPr>
            <w:r w:rsidRPr="00E65A5F">
              <w:rPr>
                <w:sz w:val="18"/>
                <w:szCs w:val="26"/>
                <w:rtl/>
              </w:rPr>
              <w:t>2009</w:t>
            </w:r>
          </w:p>
        </w:tc>
        <w:tc>
          <w:tcPr>
            <w:tcW w:w="1080" w:type="dxa"/>
            <w:tcBorders>
              <w:top w:val="single" w:sz="12" w:space="0" w:color="auto"/>
            </w:tcBorders>
            <w:vAlign w:val="bottom"/>
          </w:tcPr>
          <w:p w:rsidR="00E65A5F" w:rsidRPr="00E65A5F" w:rsidRDefault="00E65A5F" w:rsidP="00E65A5F">
            <w:pPr>
              <w:rPr>
                <w:sz w:val="18"/>
                <w:szCs w:val="26"/>
              </w:rPr>
            </w:pPr>
            <w:r w:rsidRPr="00E65A5F">
              <w:rPr>
                <w:sz w:val="18"/>
                <w:szCs w:val="26"/>
                <w:rtl/>
              </w:rPr>
              <w:t>٨٢٦</w:t>
            </w:r>
          </w:p>
        </w:tc>
        <w:tc>
          <w:tcPr>
            <w:tcW w:w="1076" w:type="dxa"/>
            <w:tcBorders>
              <w:top w:val="single" w:sz="12" w:space="0" w:color="auto"/>
            </w:tcBorders>
            <w:vAlign w:val="bottom"/>
          </w:tcPr>
          <w:p w:rsidR="00E65A5F" w:rsidRPr="00E65A5F" w:rsidRDefault="00E65A5F" w:rsidP="00E65A5F">
            <w:pPr>
              <w:rPr>
                <w:sz w:val="18"/>
                <w:szCs w:val="26"/>
              </w:rPr>
            </w:pPr>
            <w:r w:rsidRPr="00E65A5F">
              <w:rPr>
                <w:sz w:val="18"/>
                <w:szCs w:val="26"/>
                <w:rtl/>
              </w:rPr>
              <w:t>٤٨٥</w:t>
            </w:r>
          </w:p>
        </w:tc>
        <w:tc>
          <w:tcPr>
            <w:tcW w:w="1092" w:type="dxa"/>
            <w:tcBorders>
              <w:top w:val="single" w:sz="12" w:space="0" w:color="auto"/>
            </w:tcBorders>
            <w:vAlign w:val="bottom"/>
          </w:tcPr>
          <w:p w:rsidR="00E65A5F" w:rsidRPr="00E65A5F" w:rsidRDefault="00E65A5F" w:rsidP="00E65A5F">
            <w:pPr>
              <w:rPr>
                <w:sz w:val="18"/>
                <w:szCs w:val="26"/>
              </w:rPr>
            </w:pPr>
            <w:r w:rsidRPr="00E65A5F">
              <w:rPr>
                <w:sz w:val="18"/>
                <w:szCs w:val="26"/>
                <w:rtl/>
              </w:rPr>
              <w:t>٤٢٠</w:t>
            </w:r>
          </w:p>
        </w:tc>
        <w:tc>
          <w:tcPr>
            <w:tcW w:w="1176" w:type="dxa"/>
            <w:tcBorders>
              <w:top w:val="single" w:sz="12" w:space="0" w:color="auto"/>
            </w:tcBorders>
            <w:vAlign w:val="bottom"/>
          </w:tcPr>
          <w:p w:rsidR="00E65A5F" w:rsidRPr="00E65A5F" w:rsidRDefault="00E65A5F" w:rsidP="00E65A5F">
            <w:pPr>
              <w:rPr>
                <w:sz w:val="18"/>
                <w:szCs w:val="26"/>
              </w:rPr>
            </w:pPr>
            <w:r w:rsidRPr="00E65A5F">
              <w:rPr>
                <w:sz w:val="18"/>
                <w:szCs w:val="26"/>
                <w:rtl/>
              </w:rPr>
              <w:t>٢٤٠</w:t>
            </w:r>
          </w:p>
        </w:tc>
        <w:tc>
          <w:tcPr>
            <w:tcW w:w="1344" w:type="dxa"/>
            <w:tcBorders>
              <w:top w:val="single" w:sz="12" w:space="0" w:color="auto"/>
            </w:tcBorders>
            <w:vAlign w:val="bottom"/>
          </w:tcPr>
          <w:p w:rsidR="00E65A5F" w:rsidRPr="00E65A5F" w:rsidRDefault="00E65A5F" w:rsidP="00E65A5F">
            <w:pPr>
              <w:rPr>
                <w:sz w:val="18"/>
                <w:szCs w:val="26"/>
              </w:rPr>
            </w:pPr>
            <w:r w:rsidRPr="00E65A5F">
              <w:rPr>
                <w:sz w:val="18"/>
                <w:szCs w:val="26"/>
                <w:rtl/>
              </w:rPr>
              <w:t>٢٤</w:t>
            </w:r>
          </w:p>
        </w:tc>
        <w:tc>
          <w:tcPr>
            <w:tcW w:w="812" w:type="dxa"/>
            <w:tcBorders>
              <w:top w:val="single" w:sz="12" w:space="0" w:color="auto"/>
            </w:tcBorders>
            <w:vAlign w:val="bottom"/>
          </w:tcPr>
          <w:p w:rsidR="00E65A5F" w:rsidRPr="00E65A5F" w:rsidRDefault="00E65A5F" w:rsidP="00E65A5F">
            <w:pPr>
              <w:rPr>
                <w:sz w:val="18"/>
                <w:szCs w:val="26"/>
              </w:rPr>
            </w:pPr>
            <w:r w:rsidRPr="00E65A5F">
              <w:rPr>
                <w:sz w:val="18"/>
                <w:szCs w:val="26"/>
                <w:rtl/>
              </w:rPr>
              <w:t>١١٤</w:t>
            </w:r>
          </w:p>
        </w:tc>
        <w:tc>
          <w:tcPr>
            <w:tcW w:w="854" w:type="dxa"/>
            <w:tcBorders>
              <w:top w:val="single" w:sz="12" w:space="0" w:color="auto"/>
            </w:tcBorders>
            <w:vAlign w:val="bottom"/>
          </w:tcPr>
          <w:p w:rsidR="00E65A5F" w:rsidRPr="00E65A5F" w:rsidRDefault="00E65A5F" w:rsidP="00E65A5F">
            <w:pPr>
              <w:rPr>
                <w:sz w:val="18"/>
                <w:szCs w:val="26"/>
              </w:rPr>
            </w:pPr>
            <w:r w:rsidRPr="00E65A5F">
              <w:rPr>
                <w:sz w:val="18"/>
                <w:szCs w:val="26"/>
                <w:rtl/>
              </w:rPr>
              <w:t>٤٢</w:t>
            </w:r>
          </w:p>
        </w:tc>
        <w:tc>
          <w:tcPr>
            <w:tcW w:w="1494" w:type="dxa"/>
            <w:tcBorders>
              <w:top w:val="single" w:sz="12" w:space="0" w:color="auto"/>
            </w:tcBorders>
            <w:vAlign w:val="bottom"/>
          </w:tcPr>
          <w:p w:rsidR="00E65A5F" w:rsidRPr="00E65A5F" w:rsidRDefault="00E65A5F" w:rsidP="00E65A5F">
            <w:pPr>
              <w:rPr>
                <w:rFonts w:hint="cs"/>
                <w:sz w:val="18"/>
                <w:szCs w:val="26"/>
              </w:rPr>
            </w:pPr>
            <w:r>
              <w:rPr>
                <w:rFonts w:hint="cs"/>
                <w:sz w:val="18"/>
                <w:szCs w:val="26"/>
                <w:rtl/>
              </w:rPr>
              <w:t>صفر</w:t>
            </w:r>
          </w:p>
        </w:tc>
      </w:tr>
      <w:tr w:rsidR="00E65A5F" w:rsidRPr="00E65A5F" w:rsidTr="00E65A5F">
        <w:tc>
          <w:tcPr>
            <w:tcW w:w="839" w:type="dxa"/>
          </w:tcPr>
          <w:p w:rsidR="00E65A5F" w:rsidRPr="00E65A5F" w:rsidRDefault="00E65A5F" w:rsidP="00A652E6">
            <w:pPr>
              <w:rPr>
                <w:sz w:val="18"/>
                <w:szCs w:val="26"/>
                <w:rtl/>
              </w:rPr>
            </w:pPr>
            <w:r w:rsidRPr="00E65A5F">
              <w:rPr>
                <w:sz w:val="18"/>
                <w:szCs w:val="26"/>
                <w:rtl/>
              </w:rPr>
              <w:t>2010</w:t>
            </w:r>
          </w:p>
        </w:tc>
        <w:tc>
          <w:tcPr>
            <w:tcW w:w="1080" w:type="dxa"/>
            <w:vAlign w:val="bottom"/>
          </w:tcPr>
          <w:p w:rsidR="00E65A5F" w:rsidRPr="00E65A5F" w:rsidRDefault="00E65A5F" w:rsidP="00E65A5F">
            <w:pPr>
              <w:rPr>
                <w:sz w:val="18"/>
                <w:szCs w:val="26"/>
              </w:rPr>
            </w:pPr>
            <w:r w:rsidRPr="00E65A5F">
              <w:rPr>
                <w:sz w:val="18"/>
                <w:szCs w:val="26"/>
                <w:rtl/>
              </w:rPr>
              <w:t>٨١٩</w:t>
            </w:r>
          </w:p>
        </w:tc>
        <w:tc>
          <w:tcPr>
            <w:tcW w:w="1076" w:type="dxa"/>
            <w:vAlign w:val="bottom"/>
          </w:tcPr>
          <w:p w:rsidR="00E65A5F" w:rsidRPr="00E65A5F" w:rsidRDefault="00E65A5F" w:rsidP="00E65A5F">
            <w:pPr>
              <w:rPr>
                <w:sz w:val="18"/>
                <w:szCs w:val="26"/>
              </w:rPr>
            </w:pPr>
            <w:r w:rsidRPr="00E65A5F">
              <w:rPr>
                <w:sz w:val="18"/>
                <w:szCs w:val="26"/>
                <w:rtl/>
              </w:rPr>
              <w:t>٥٢٥</w:t>
            </w:r>
          </w:p>
        </w:tc>
        <w:tc>
          <w:tcPr>
            <w:tcW w:w="1092" w:type="dxa"/>
            <w:vAlign w:val="bottom"/>
          </w:tcPr>
          <w:p w:rsidR="00E65A5F" w:rsidRPr="00E65A5F" w:rsidRDefault="00E65A5F" w:rsidP="00E65A5F">
            <w:pPr>
              <w:rPr>
                <w:sz w:val="18"/>
                <w:szCs w:val="26"/>
              </w:rPr>
            </w:pPr>
            <w:r w:rsidRPr="00E65A5F">
              <w:rPr>
                <w:sz w:val="18"/>
                <w:szCs w:val="26"/>
                <w:rtl/>
              </w:rPr>
              <w:t>٤٢٢</w:t>
            </w:r>
          </w:p>
        </w:tc>
        <w:tc>
          <w:tcPr>
            <w:tcW w:w="1176" w:type="dxa"/>
            <w:vAlign w:val="bottom"/>
          </w:tcPr>
          <w:p w:rsidR="00E65A5F" w:rsidRPr="00E65A5F" w:rsidRDefault="00E65A5F" w:rsidP="00E65A5F">
            <w:pPr>
              <w:rPr>
                <w:sz w:val="18"/>
                <w:szCs w:val="26"/>
              </w:rPr>
            </w:pPr>
            <w:r w:rsidRPr="00E65A5F">
              <w:rPr>
                <w:sz w:val="18"/>
                <w:szCs w:val="26"/>
                <w:rtl/>
              </w:rPr>
              <w:t>٢٥٣</w:t>
            </w:r>
          </w:p>
        </w:tc>
        <w:tc>
          <w:tcPr>
            <w:tcW w:w="1344" w:type="dxa"/>
            <w:vAlign w:val="bottom"/>
          </w:tcPr>
          <w:p w:rsidR="00E65A5F" w:rsidRPr="00E65A5F" w:rsidRDefault="00E65A5F" w:rsidP="00E65A5F">
            <w:pPr>
              <w:rPr>
                <w:sz w:val="18"/>
                <w:szCs w:val="26"/>
              </w:rPr>
            </w:pPr>
            <w:r w:rsidRPr="00E65A5F">
              <w:rPr>
                <w:sz w:val="18"/>
                <w:szCs w:val="26"/>
                <w:rtl/>
              </w:rPr>
              <w:t>٧٩</w:t>
            </w:r>
          </w:p>
        </w:tc>
        <w:tc>
          <w:tcPr>
            <w:tcW w:w="812" w:type="dxa"/>
            <w:vAlign w:val="bottom"/>
          </w:tcPr>
          <w:p w:rsidR="00E65A5F" w:rsidRPr="00E65A5F" w:rsidRDefault="00E65A5F" w:rsidP="00E65A5F">
            <w:pPr>
              <w:rPr>
                <w:sz w:val="18"/>
                <w:szCs w:val="26"/>
              </w:rPr>
            </w:pPr>
            <w:r w:rsidRPr="00E65A5F">
              <w:rPr>
                <w:sz w:val="18"/>
                <w:szCs w:val="26"/>
                <w:rtl/>
              </w:rPr>
              <w:t>٧٠</w:t>
            </w:r>
          </w:p>
        </w:tc>
        <w:tc>
          <w:tcPr>
            <w:tcW w:w="854" w:type="dxa"/>
            <w:vAlign w:val="bottom"/>
          </w:tcPr>
          <w:p w:rsidR="00E65A5F" w:rsidRPr="00E65A5F" w:rsidRDefault="00E65A5F" w:rsidP="00E65A5F">
            <w:pPr>
              <w:rPr>
                <w:sz w:val="18"/>
                <w:szCs w:val="26"/>
              </w:rPr>
            </w:pPr>
            <w:r w:rsidRPr="00E65A5F">
              <w:rPr>
                <w:sz w:val="18"/>
                <w:szCs w:val="26"/>
                <w:rtl/>
              </w:rPr>
              <w:t>٢٠</w:t>
            </w:r>
          </w:p>
        </w:tc>
        <w:tc>
          <w:tcPr>
            <w:tcW w:w="1494" w:type="dxa"/>
            <w:vAlign w:val="bottom"/>
          </w:tcPr>
          <w:p w:rsidR="00E65A5F" w:rsidRPr="00E65A5F" w:rsidRDefault="00E65A5F" w:rsidP="00E65A5F">
            <w:pPr>
              <w:rPr>
                <w:sz w:val="18"/>
                <w:szCs w:val="26"/>
              </w:rPr>
            </w:pPr>
            <w:r w:rsidRPr="00E65A5F">
              <w:rPr>
                <w:sz w:val="18"/>
                <w:szCs w:val="26"/>
                <w:rtl/>
              </w:rPr>
              <w:t>٥</w:t>
            </w:r>
          </w:p>
        </w:tc>
      </w:tr>
      <w:tr w:rsidR="00E65A5F" w:rsidRPr="00E65A5F" w:rsidTr="00E65A5F">
        <w:tc>
          <w:tcPr>
            <w:tcW w:w="839" w:type="dxa"/>
          </w:tcPr>
          <w:p w:rsidR="00E65A5F" w:rsidRPr="00E65A5F" w:rsidRDefault="00E65A5F" w:rsidP="00A652E6">
            <w:pPr>
              <w:rPr>
                <w:sz w:val="18"/>
                <w:szCs w:val="26"/>
                <w:rtl/>
              </w:rPr>
            </w:pPr>
            <w:r w:rsidRPr="00E65A5F">
              <w:rPr>
                <w:sz w:val="18"/>
                <w:szCs w:val="26"/>
                <w:rtl/>
              </w:rPr>
              <w:t>2011</w:t>
            </w:r>
          </w:p>
        </w:tc>
        <w:tc>
          <w:tcPr>
            <w:tcW w:w="1080" w:type="dxa"/>
            <w:vAlign w:val="bottom"/>
          </w:tcPr>
          <w:p w:rsidR="00E65A5F" w:rsidRPr="00E65A5F" w:rsidRDefault="00E65A5F" w:rsidP="00E65A5F">
            <w:pPr>
              <w:rPr>
                <w:sz w:val="18"/>
                <w:szCs w:val="26"/>
              </w:rPr>
            </w:pPr>
            <w:r w:rsidRPr="00E65A5F">
              <w:rPr>
                <w:sz w:val="18"/>
                <w:szCs w:val="26"/>
                <w:rtl/>
              </w:rPr>
              <w:t>٧١١</w:t>
            </w:r>
          </w:p>
        </w:tc>
        <w:tc>
          <w:tcPr>
            <w:tcW w:w="1076" w:type="dxa"/>
            <w:vAlign w:val="bottom"/>
          </w:tcPr>
          <w:p w:rsidR="00E65A5F" w:rsidRPr="00E65A5F" w:rsidRDefault="00E65A5F" w:rsidP="00E65A5F">
            <w:pPr>
              <w:rPr>
                <w:sz w:val="18"/>
                <w:szCs w:val="26"/>
              </w:rPr>
            </w:pPr>
            <w:r w:rsidRPr="00E65A5F">
              <w:rPr>
                <w:sz w:val="18"/>
                <w:szCs w:val="26"/>
                <w:rtl/>
              </w:rPr>
              <w:t>٤٤٠</w:t>
            </w:r>
          </w:p>
        </w:tc>
        <w:tc>
          <w:tcPr>
            <w:tcW w:w="1092" w:type="dxa"/>
            <w:vAlign w:val="bottom"/>
          </w:tcPr>
          <w:p w:rsidR="00E65A5F" w:rsidRPr="00E65A5F" w:rsidRDefault="00E65A5F" w:rsidP="00E65A5F">
            <w:pPr>
              <w:rPr>
                <w:sz w:val="18"/>
                <w:szCs w:val="26"/>
              </w:rPr>
            </w:pPr>
          </w:p>
        </w:tc>
        <w:tc>
          <w:tcPr>
            <w:tcW w:w="1176" w:type="dxa"/>
            <w:vAlign w:val="bottom"/>
          </w:tcPr>
          <w:p w:rsidR="00E65A5F" w:rsidRPr="00E65A5F" w:rsidRDefault="00E65A5F" w:rsidP="00E65A5F">
            <w:pPr>
              <w:rPr>
                <w:sz w:val="18"/>
                <w:szCs w:val="26"/>
              </w:rPr>
            </w:pPr>
          </w:p>
        </w:tc>
        <w:tc>
          <w:tcPr>
            <w:tcW w:w="1344" w:type="dxa"/>
            <w:vAlign w:val="bottom"/>
          </w:tcPr>
          <w:p w:rsidR="00E65A5F" w:rsidRPr="00E65A5F" w:rsidRDefault="00E65A5F" w:rsidP="00E65A5F">
            <w:pPr>
              <w:rPr>
                <w:sz w:val="18"/>
                <w:szCs w:val="26"/>
              </w:rPr>
            </w:pPr>
          </w:p>
        </w:tc>
        <w:tc>
          <w:tcPr>
            <w:tcW w:w="812" w:type="dxa"/>
            <w:vAlign w:val="bottom"/>
          </w:tcPr>
          <w:p w:rsidR="00E65A5F" w:rsidRPr="00E65A5F" w:rsidRDefault="00E65A5F" w:rsidP="00E65A5F">
            <w:pPr>
              <w:rPr>
                <w:sz w:val="18"/>
                <w:szCs w:val="26"/>
              </w:rPr>
            </w:pPr>
          </w:p>
        </w:tc>
        <w:tc>
          <w:tcPr>
            <w:tcW w:w="854" w:type="dxa"/>
            <w:vAlign w:val="bottom"/>
          </w:tcPr>
          <w:p w:rsidR="00E65A5F" w:rsidRPr="00E65A5F" w:rsidRDefault="00E65A5F" w:rsidP="00E65A5F">
            <w:pPr>
              <w:rPr>
                <w:sz w:val="18"/>
                <w:szCs w:val="26"/>
              </w:rPr>
            </w:pPr>
          </w:p>
        </w:tc>
        <w:tc>
          <w:tcPr>
            <w:tcW w:w="1494" w:type="dxa"/>
            <w:vAlign w:val="bottom"/>
          </w:tcPr>
          <w:p w:rsidR="00E65A5F" w:rsidRPr="00E65A5F" w:rsidRDefault="00E65A5F" w:rsidP="00E65A5F">
            <w:pPr>
              <w:rPr>
                <w:sz w:val="18"/>
                <w:szCs w:val="26"/>
              </w:rPr>
            </w:pPr>
          </w:p>
        </w:tc>
      </w:tr>
    </w:tbl>
    <w:p w:rsidR="002B79B5" w:rsidRDefault="002B79B5" w:rsidP="00484AC9">
      <w:pPr>
        <w:pStyle w:val="SingleTxtGA"/>
        <w:spacing w:before="180" w:line="360" w:lineRule="exact"/>
        <w:rPr>
          <w:rtl/>
        </w:rPr>
      </w:pPr>
      <w:r>
        <w:rPr>
          <w:rtl/>
        </w:rPr>
        <w:t>31</w:t>
      </w:r>
      <w:r w:rsidR="0079367C">
        <w:rPr>
          <w:rtl/>
        </w:rPr>
        <w:t>-</w:t>
      </w:r>
      <w:r w:rsidR="0079367C">
        <w:rPr>
          <w:rtl/>
        </w:rPr>
        <w:tab/>
      </w:r>
      <w:r>
        <w:rPr>
          <w:rtl/>
        </w:rPr>
        <w:t>لا يوجد حالي</w:t>
      </w:r>
      <w:r w:rsidR="00D94BE0">
        <w:rPr>
          <w:rtl/>
        </w:rPr>
        <w:t xml:space="preserve">اً </w:t>
      </w:r>
      <w:r>
        <w:rPr>
          <w:rtl/>
        </w:rPr>
        <w:t>ملاجئ تديرها الحكومة لضحايا العنف المنزلي. إلا أن جمعية منع العنف المنزلي ومواجهته، وهي منظمة غير حكومية، تدير ملجأ بدعم مالي من دوائر الرعاية الاجتماعية التابعة لوزارة العمل والتأمينات الاجتماعية من خلال برنامج الإعانات. بالإضافة إلى ذلك، وفرت الجمعية أرض</w:t>
      </w:r>
      <w:r w:rsidR="00D94BE0">
        <w:rPr>
          <w:rtl/>
        </w:rPr>
        <w:t xml:space="preserve">اً </w:t>
      </w:r>
      <w:r>
        <w:rPr>
          <w:rtl/>
        </w:rPr>
        <w:t xml:space="preserve">عامة لبناء ملجأ جديد للنساء ضحايا العنف المنزلي. </w:t>
      </w:r>
    </w:p>
    <w:p w:rsidR="002B79B5" w:rsidRDefault="002B79B5" w:rsidP="00484AC9">
      <w:pPr>
        <w:pStyle w:val="SingleTxtGA"/>
        <w:spacing w:line="360" w:lineRule="exact"/>
        <w:rPr>
          <w:rtl/>
        </w:rPr>
      </w:pPr>
      <w:r>
        <w:rPr>
          <w:rtl/>
        </w:rPr>
        <w:t>32</w:t>
      </w:r>
      <w:r w:rsidR="0079367C">
        <w:rPr>
          <w:rtl/>
        </w:rPr>
        <w:t>-</w:t>
      </w:r>
      <w:r w:rsidR="0079367C">
        <w:rPr>
          <w:rtl/>
        </w:rPr>
        <w:tab/>
      </w:r>
      <w:r>
        <w:rPr>
          <w:rtl/>
        </w:rPr>
        <w:t xml:space="preserve">ولا توجد بيانات إحصائية عن عدد أوامر التقييد الصادرة. </w:t>
      </w:r>
    </w:p>
    <w:p w:rsidR="002B79B5" w:rsidRDefault="00E65A5F" w:rsidP="00E65A5F">
      <w:pPr>
        <w:pStyle w:val="H1GA"/>
        <w:rPr>
          <w:rtl/>
        </w:rPr>
      </w:pPr>
      <w:r>
        <w:rPr>
          <w:rFonts w:hint="cs"/>
          <w:rtl/>
        </w:rPr>
        <w:tab/>
      </w:r>
      <w:r>
        <w:rPr>
          <w:rFonts w:hint="cs"/>
          <w:rtl/>
        </w:rPr>
        <w:tab/>
      </w:r>
      <w:r w:rsidR="002B79B5">
        <w:rPr>
          <w:rtl/>
        </w:rPr>
        <w:t xml:space="preserve">رد على القضايا المطروحة في الفقرة 7 من قائمة القضايا </w:t>
      </w:r>
    </w:p>
    <w:p w:rsidR="002B79B5" w:rsidRDefault="002B79B5" w:rsidP="00484AC9">
      <w:pPr>
        <w:pStyle w:val="SingleTxtGA"/>
        <w:rPr>
          <w:rtl/>
        </w:rPr>
      </w:pPr>
      <w:r>
        <w:rPr>
          <w:rtl/>
        </w:rPr>
        <w:t>الجدول 2</w:t>
      </w:r>
    </w:p>
    <w:p w:rsidR="002B79B5" w:rsidRPr="00E65A5F" w:rsidRDefault="002B79B5" w:rsidP="00E65A5F">
      <w:pPr>
        <w:pStyle w:val="SingleTxtGA"/>
        <w:rPr>
          <w:b/>
          <w:bCs/>
          <w:rtl/>
        </w:rPr>
      </w:pPr>
      <w:r w:rsidRPr="00E65A5F">
        <w:rPr>
          <w:b/>
          <w:bCs/>
          <w:rtl/>
        </w:rPr>
        <w:t>بيانات عن انتشار واتجاهات أشكال أخرى من العنف ضد النساء والفتيات، بما في ذلك الاغتصاب والانتهاكات الجنسية والتحرش الجنسي</w:t>
      </w:r>
      <w:r w:rsidRPr="00E65A5F">
        <w:rPr>
          <w:rFonts w:hint="cs"/>
          <w:b/>
          <w:bCs/>
          <w:rtl/>
        </w:rPr>
        <w:t xml:space="preserve"> </w:t>
      </w:r>
      <w:r w:rsidRPr="00E65A5F">
        <w:rPr>
          <w:b/>
          <w:bCs/>
          <w:rtl/>
        </w:rPr>
        <w:t>- البيانات مقدمة من الشرطة</w:t>
      </w:r>
    </w:p>
    <w:p w:rsidR="002B79B5" w:rsidRPr="002B79B5" w:rsidRDefault="002B79B5" w:rsidP="00BF2C66">
      <w:pPr>
        <w:pStyle w:val="SingleTxtGA"/>
        <w:spacing w:after="240"/>
        <w:rPr>
          <w:rFonts w:hint="cs"/>
          <w:rtl/>
        </w:rPr>
      </w:pPr>
      <w:r>
        <w:rPr>
          <w:rtl/>
        </w:rPr>
        <w:t>بيانات عن الجرائم المرتكبة ضد المرأة</w:t>
      </w:r>
    </w:p>
    <w:tbl>
      <w:tblPr>
        <w:tblStyle w:val="TableGrid"/>
        <w:bidiVisual/>
        <w:tblW w:w="0" w:type="auto"/>
        <w:tblBorders>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3489"/>
        <w:gridCol w:w="699"/>
        <w:gridCol w:w="706"/>
        <w:gridCol w:w="697"/>
        <w:gridCol w:w="697"/>
        <w:gridCol w:w="700"/>
        <w:gridCol w:w="700"/>
        <w:gridCol w:w="770"/>
        <w:gridCol w:w="699"/>
        <w:gridCol w:w="697"/>
      </w:tblGrid>
      <w:tr w:rsidR="002D691F" w:rsidRPr="002D691F" w:rsidTr="00BF2C66">
        <w:trPr>
          <w:tblHeader/>
        </w:trPr>
        <w:tc>
          <w:tcPr>
            <w:tcW w:w="3489"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p>
        </w:tc>
        <w:tc>
          <w:tcPr>
            <w:tcW w:w="699"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2003</w:t>
            </w:r>
          </w:p>
        </w:tc>
        <w:tc>
          <w:tcPr>
            <w:tcW w:w="706"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2004</w:t>
            </w:r>
          </w:p>
        </w:tc>
        <w:tc>
          <w:tcPr>
            <w:tcW w:w="697"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2005</w:t>
            </w:r>
          </w:p>
        </w:tc>
        <w:tc>
          <w:tcPr>
            <w:tcW w:w="697"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2006</w:t>
            </w:r>
          </w:p>
        </w:tc>
        <w:tc>
          <w:tcPr>
            <w:tcW w:w="700"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2007</w:t>
            </w:r>
          </w:p>
        </w:tc>
        <w:tc>
          <w:tcPr>
            <w:tcW w:w="700"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2008</w:t>
            </w:r>
          </w:p>
        </w:tc>
        <w:tc>
          <w:tcPr>
            <w:tcW w:w="770"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2009</w:t>
            </w:r>
          </w:p>
        </w:tc>
        <w:tc>
          <w:tcPr>
            <w:tcW w:w="699" w:type="dxa"/>
            <w:tcBorders>
              <w:top w:val="single" w:sz="4" w:space="0" w:color="auto"/>
              <w:bottom w:val="single" w:sz="12" w:space="0" w:color="auto"/>
            </w:tcBorders>
          </w:tcPr>
          <w:p w:rsidR="002D691F" w:rsidRPr="00BF2C66" w:rsidRDefault="002D691F" w:rsidP="00BF2C66">
            <w:pPr>
              <w:spacing w:line="320" w:lineRule="exact"/>
              <w:rPr>
                <w:i/>
                <w:iCs/>
                <w:sz w:val="18"/>
                <w:szCs w:val="26"/>
                <w:rtl/>
              </w:rPr>
            </w:pPr>
            <w:r w:rsidRPr="00BF2C66">
              <w:rPr>
                <w:i/>
                <w:iCs/>
                <w:sz w:val="18"/>
                <w:szCs w:val="26"/>
                <w:rtl/>
              </w:rPr>
              <w:t>2010</w:t>
            </w:r>
          </w:p>
        </w:tc>
        <w:tc>
          <w:tcPr>
            <w:tcW w:w="697" w:type="dxa"/>
            <w:tcBorders>
              <w:top w:val="single" w:sz="4" w:space="0" w:color="auto"/>
              <w:bottom w:val="single" w:sz="12" w:space="0" w:color="auto"/>
            </w:tcBorders>
          </w:tcPr>
          <w:p w:rsidR="002D691F" w:rsidRPr="00BF2C66" w:rsidRDefault="002D691F" w:rsidP="00BF2C66">
            <w:pPr>
              <w:spacing w:line="320" w:lineRule="exact"/>
              <w:rPr>
                <w:i/>
                <w:iCs/>
                <w:sz w:val="18"/>
                <w:szCs w:val="26"/>
              </w:rPr>
            </w:pPr>
            <w:r w:rsidRPr="00BF2C66">
              <w:rPr>
                <w:i/>
                <w:iCs/>
                <w:sz w:val="18"/>
                <w:szCs w:val="26"/>
                <w:rtl/>
              </w:rPr>
              <w:t>2011</w:t>
            </w:r>
          </w:p>
        </w:tc>
      </w:tr>
      <w:tr w:rsidR="002D691F" w:rsidRPr="002D691F" w:rsidTr="00BF2C66">
        <w:tc>
          <w:tcPr>
            <w:tcW w:w="3489" w:type="dxa"/>
            <w:tcBorders>
              <w:top w:val="single" w:sz="12" w:space="0" w:color="auto"/>
            </w:tcBorders>
          </w:tcPr>
          <w:p w:rsidR="002D691F" w:rsidRPr="002D691F" w:rsidRDefault="002D691F" w:rsidP="00BF2C66">
            <w:pPr>
              <w:spacing w:line="320" w:lineRule="exact"/>
              <w:rPr>
                <w:sz w:val="18"/>
                <w:szCs w:val="26"/>
                <w:rtl/>
              </w:rPr>
            </w:pPr>
            <w:r w:rsidRPr="002D691F">
              <w:rPr>
                <w:sz w:val="18"/>
                <w:szCs w:val="26"/>
                <w:rtl/>
              </w:rPr>
              <w:t>الجرائم</w:t>
            </w:r>
          </w:p>
        </w:tc>
        <w:tc>
          <w:tcPr>
            <w:tcW w:w="699" w:type="dxa"/>
            <w:tcBorders>
              <w:top w:val="single" w:sz="12" w:space="0" w:color="auto"/>
            </w:tcBorders>
            <w:vAlign w:val="bottom"/>
          </w:tcPr>
          <w:p w:rsidR="002D691F" w:rsidRPr="002D691F" w:rsidRDefault="002D691F" w:rsidP="00BF2C66">
            <w:pPr>
              <w:spacing w:line="320" w:lineRule="exact"/>
              <w:rPr>
                <w:sz w:val="18"/>
                <w:szCs w:val="26"/>
              </w:rPr>
            </w:pPr>
          </w:p>
        </w:tc>
        <w:tc>
          <w:tcPr>
            <w:tcW w:w="706" w:type="dxa"/>
            <w:tcBorders>
              <w:top w:val="single" w:sz="12" w:space="0" w:color="auto"/>
            </w:tcBorders>
            <w:vAlign w:val="bottom"/>
          </w:tcPr>
          <w:p w:rsidR="002D691F" w:rsidRPr="002D691F" w:rsidRDefault="002D691F" w:rsidP="00BF2C66">
            <w:pPr>
              <w:spacing w:line="320" w:lineRule="exact"/>
              <w:rPr>
                <w:sz w:val="18"/>
                <w:szCs w:val="26"/>
              </w:rPr>
            </w:pPr>
          </w:p>
        </w:tc>
        <w:tc>
          <w:tcPr>
            <w:tcW w:w="697" w:type="dxa"/>
            <w:tcBorders>
              <w:top w:val="single" w:sz="12" w:space="0" w:color="auto"/>
            </w:tcBorders>
            <w:vAlign w:val="bottom"/>
          </w:tcPr>
          <w:p w:rsidR="002D691F" w:rsidRPr="002D691F" w:rsidRDefault="002D691F" w:rsidP="00BF2C66">
            <w:pPr>
              <w:spacing w:line="320" w:lineRule="exact"/>
              <w:rPr>
                <w:sz w:val="18"/>
                <w:szCs w:val="26"/>
              </w:rPr>
            </w:pPr>
          </w:p>
        </w:tc>
        <w:tc>
          <w:tcPr>
            <w:tcW w:w="697" w:type="dxa"/>
            <w:tcBorders>
              <w:top w:val="single" w:sz="12" w:space="0" w:color="auto"/>
            </w:tcBorders>
            <w:vAlign w:val="bottom"/>
          </w:tcPr>
          <w:p w:rsidR="002D691F" w:rsidRPr="002D691F" w:rsidRDefault="002D691F" w:rsidP="00BF2C66">
            <w:pPr>
              <w:spacing w:line="320" w:lineRule="exact"/>
              <w:rPr>
                <w:sz w:val="18"/>
                <w:szCs w:val="26"/>
              </w:rPr>
            </w:pPr>
          </w:p>
        </w:tc>
        <w:tc>
          <w:tcPr>
            <w:tcW w:w="700" w:type="dxa"/>
            <w:tcBorders>
              <w:top w:val="single" w:sz="12" w:space="0" w:color="auto"/>
            </w:tcBorders>
            <w:vAlign w:val="bottom"/>
          </w:tcPr>
          <w:p w:rsidR="002D691F" w:rsidRPr="002D691F" w:rsidRDefault="002D691F" w:rsidP="00BF2C66">
            <w:pPr>
              <w:spacing w:line="320" w:lineRule="exact"/>
              <w:rPr>
                <w:sz w:val="18"/>
                <w:szCs w:val="26"/>
              </w:rPr>
            </w:pPr>
          </w:p>
        </w:tc>
        <w:tc>
          <w:tcPr>
            <w:tcW w:w="700" w:type="dxa"/>
            <w:tcBorders>
              <w:top w:val="single" w:sz="12" w:space="0" w:color="auto"/>
            </w:tcBorders>
            <w:vAlign w:val="bottom"/>
          </w:tcPr>
          <w:p w:rsidR="002D691F" w:rsidRPr="002D691F" w:rsidRDefault="002D691F" w:rsidP="00BF2C66">
            <w:pPr>
              <w:spacing w:line="320" w:lineRule="exact"/>
              <w:rPr>
                <w:sz w:val="18"/>
                <w:szCs w:val="26"/>
              </w:rPr>
            </w:pPr>
          </w:p>
        </w:tc>
        <w:tc>
          <w:tcPr>
            <w:tcW w:w="770" w:type="dxa"/>
            <w:tcBorders>
              <w:top w:val="single" w:sz="12" w:space="0" w:color="auto"/>
            </w:tcBorders>
            <w:vAlign w:val="bottom"/>
          </w:tcPr>
          <w:p w:rsidR="002D691F" w:rsidRPr="002D691F" w:rsidRDefault="002D691F" w:rsidP="00BF2C66">
            <w:pPr>
              <w:spacing w:line="320" w:lineRule="exact"/>
              <w:rPr>
                <w:sz w:val="18"/>
                <w:szCs w:val="26"/>
              </w:rPr>
            </w:pPr>
          </w:p>
        </w:tc>
        <w:tc>
          <w:tcPr>
            <w:tcW w:w="699" w:type="dxa"/>
            <w:tcBorders>
              <w:top w:val="single" w:sz="12" w:space="0" w:color="auto"/>
            </w:tcBorders>
            <w:vAlign w:val="bottom"/>
          </w:tcPr>
          <w:p w:rsidR="002D691F" w:rsidRPr="002D691F" w:rsidRDefault="002D691F" w:rsidP="00BF2C66">
            <w:pPr>
              <w:spacing w:line="320" w:lineRule="exact"/>
              <w:rPr>
                <w:sz w:val="18"/>
                <w:szCs w:val="26"/>
              </w:rPr>
            </w:pPr>
          </w:p>
        </w:tc>
        <w:tc>
          <w:tcPr>
            <w:tcW w:w="697" w:type="dxa"/>
            <w:tcBorders>
              <w:top w:val="single" w:sz="12" w:space="0" w:color="auto"/>
            </w:tcBorders>
            <w:vAlign w:val="bottom"/>
          </w:tcPr>
          <w:p w:rsidR="002D691F" w:rsidRPr="002D691F" w:rsidRDefault="002D691F" w:rsidP="00BF2C66">
            <w:pPr>
              <w:spacing w:line="320" w:lineRule="exact"/>
              <w:rPr>
                <w:sz w:val="18"/>
                <w:szCs w:val="26"/>
              </w:rPr>
            </w:pPr>
          </w:p>
        </w:tc>
      </w:tr>
      <w:tr w:rsidR="002D691F" w:rsidRPr="002D691F" w:rsidTr="00BF2C66">
        <w:tc>
          <w:tcPr>
            <w:tcW w:w="3489" w:type="dxa"/>
            <w:tcBorders>
              <w:bottom w:val="nil"/>
            </w:tcBorders>
          </w:tcPr>
          <w:p w:rsidR="002D691F" w:rsidRPr="002D691F" w:rsidRDefault="002D691F" w:rsidP="00BF2C66">
            <w:pPr>
              <w:spacing w:line="320" w:lineRule="exact"/>
              <w:rPr>
                <w:sz w:val="18"/>
                <w:szCs w:val="26"/>
                <w:rtl/>
              </w:rPr>
            </w:pPr>
            <w:r w:rsidRPr="002D691F">
              <w:rPr>
                <w:sz w:val="18"/>
                <w:szCs w:val="26"/>
                <w:rtl/>
              </w:rPr>
              <w:t>اغتصاب</w:t>
            </w:r>
          </w:p>
        </w:tc>
        <w:tc>
          <w:tcPr>
            <w:tcW w:w="699"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٣١</w:t>
            </w:r>
          </w:p>
        </w:tc>
        <w:tc>
          <w:tcPr>
            <w:tcW w:w="706"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٤٠</w:t>
            </w:r>
          </w:p>
        </w:tc>
        <w:tc>
          <w:tcPr>
            <w:tcW w:w="697"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٣٣</w:t>
            </w:r>
          </w:p>
        </w:tc>
        <w:tc>
          <w:tcPr>
            <w:tcW w:w="697"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٢٧</w:t>
            </w:r>
          </w:p>
        </w:tc>
        <w:tc>
          <w:tcPr>
            <w:tcW w:w="700"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١٧</w:t>
            </w:r>
          </w:p>
        </w:tc>
        <w:tc>
          <w:tcPr>
            <w:tcW w:w="700"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٣٠</w:t>
            </w:r>
          </w:p>
        </w:tc>
        <w:tc>
          <w:tcPr>
            <w:tcW w:w="770"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٢٤</w:t>
            </w:r>
          </w:p>
        </w:tc>
        <w:tc>
          <w:tcPr>
            <w:tcW w:w="699"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٣٣</w:t>
            </w:r>
          </w:p>
        </w:tc>
        <w:tc>
          <w:tcPr>
            <w:tcW w:w="697" w:type="dxa"/>
            <w:tcBorders>
              <w:bottom w:val="nil"/>
            </w:tcBorders>
            <w:vAlign w:val="bottom"/>
          </w:tcPr>
          <w:p w:rsidR="002D691F" w:rsidRPr="002D691F" w:rsidRDefault="002D691F" w:rsidP="00BF2C66">
            <w:pPr>
              <w:spacing w:line="320" w:lineRule="exact"/>
              <w:rPr>
                <w:sz w:val="18"/>
                <w:szCs w:val="26"/>
              </w:rPr>
            </w:pPr>
            <w:r w:rsidRPr="002D691F">
              <w:rPr>
                <w:sz w:val="18"/>
                <w:szCs w:val="26"/>
                <w:rtl/>
              </w:rPr>
              <w:t>٣١</w:t>
            </w:r>
          </w:p>
        </w:tc>
      </w:tr>
      <w:tr w:rsidR="002D691F" w:rsidRPr="002D691F" w:rsidTr="00BF2C66">
        <w:tc>
          <w:tcPr>
            <w:tcW w:w="3489" w:type="dxa"/>
            <w:tcBorders>
              <w:top w:val="nil"/>
              <w:bottom w:val="nil"/>
            </w:tcBorders>
          </w:tcPr>
          <w:p w:rsidR="002D691F" w:rsidRPr="002D691F" w:rsidRDefault="002D691F" w:rsidP="00BF2C66">
            <w:pPr>
              <w:spacing w:line="320" w:lineRule="exact"/>
              <w:rPr>
                <w:rFonts w:hint="cs"/>
                <w:sz w:val="18"/>
                <w:szCs w:val="26"/>
                <w:rtl/>
              </w:rPr>
            </w:pPr>
            <w:r w:rsidRPr="002D691F">
              <w:rPr>
                <w:sz w:val="18"/>
                <w:szCs w:val="26"/>
                <w:rtl/>
              </w:rPr>
              <w:t>اغتصاب زوجي</w:t>
            </w:r>
          </w:p>
        </w:tc>
        <w:tc>
          <w:tcPr>
            <w:tcW w:w="699"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706"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٦</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٢</w:t>
            </w:r>
          </w:p>
        </w:tc>
        <w:tc>
          <w:tcPr>
            <w:tcW w:w="700"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٢</w:t>
            </w:r>
          </w:p>
        </w:tc>
        <w:tc>
          <w:tcPr>
            <w:tcW w:w="700"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٤</w:t>
            </w:r>
          </w:p>
        </w:tc>
        <w:tc>
          <w:tcPr>
            <w:tcW w:w="770"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٣</w:t>
            </w:r>
          </w:p>
        </w:tc>
        <w:tc>
          <w:tcPr>
            <w:tcW w:w="699"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٣</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٧</w:t>
            </w:r>
          </w:p>
        </w:tc>
      </w:tr>
      <w:tr w:rsidR="002D691F" w:rsidRPr="002D691F" w:rsidTr="00484AC9">
        <w:tc>
          <w:tcPr>
            <w:tcW w:w="3489" w:type="dxa"/>
            <w:tcBorders>
              <w:top w:val="nil"/>
              <w:bottom w:val="nil"/>
            </w:tcBorders>
          </w:tcPr>
          <w:p w:rsidR="002D691F" w:rsidRPr="002D691F" w:rsidRDefault="002D691F" w:rsidP="00BF2C66">
            <w:pPr>
              <w:spacing w:line="320" w:lineRule="exact"/>
              <w:rPr>
                <w:sz w:val="18"/>
                <w:szCs w:val="26"/>
                <w:rtl/>
              </w:rPr>
            </w:pPr>
            <w:r w:rsidRPr="002D691F">
              <w:rPr>
                <w:sz w:val="18"/>
                <w:szCs w:val="26"/>
                <w:rtl/>
              </w:rPr>
              <w:t>الشروع في الاغتصاب</w:t>
            </w:r>
          </w:p>
        </w:tc>
        <w:tc>
          <w:tcPr>
            <w:tcW w:w="699"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٣</w:t>
            </w:r>
          </w:p>
        </w:tc>
        <w:tc>
          <w:tcPr>
            <w:tcW w:w="706"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700" w:type="dxa"/>
            <w:tcBorders>
              <w:top w:val="nil"/>
              <w:bottom w:val="nil"/>
            </w:tcBorders>
            <w:vAlign w:val="bottom"/>
          </w:tcPr>
          <w:p w:rsidR="002D691F" w:rsidRPr="002D691F" w:rsidRDefault="002D691F" w:rsidP="00BF2C66">
            <w:pPr>
              <w:spacing w:line="320" w:lineRule="exact"/>
              <w:rPr>
                <w:sz w:val="18"/>
                <w:szCs w:val="26"/>
              </w:rPr>
            </w:pPr>
          </w:p>
        </w:tc>
        <w:tc>
          <w:tcPr>
            <w:tcW w:w="700" w:type="dxa"/>
            <w:tcBorders>
              <w:top w:val="nil"/>
              <w:bottom w:val="nil"/>
            </w:tcBorders>
            <w:vAlign w:val="bottom"/>
          </w:tcPr>
          <w:p w:rsidR="002D691F" w:rsidRPr="002D691F" w:rsidRDefault="002D691F" w:rsidP="00BF2C66">
            <w:pPr>
              <w:spacing w:line="320" w:lineRule="exact"/>
              <w:rPr>
                <w:sz w:val="18"/>
                <w:szCs w:val="26"/>
              </w:rPr>
            </w:pPr>
          </w:p>
        </w:tc>
        <w:tc>
          <w:tcPr>
            <w:tcW w:w="770"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٢</w:t>
            </w:r>
          </w:p>
        </w:tc>
        <w:tc>
          <w:tcPr>
            <w:tcW w:w="699"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٢</w:t>
            </w:r>
          </w:p>
        </w:tc>
        <w:tc>
          <w:tcPr>
            <w:tcW w:w="697"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٢</w:t>
            </w:r>
          </w:p>
        </w:tc>
      </w:tr>
      <w:tr w:rsidR="002D691F" w:rsidRPr="002D691F" w:rsidTr="00484AC9">
        <w:tc>
          <w:tcPr>
            <w:tcW w:w="3489" w:type="dxa"/>
            <w:tcBorders>
              <w:top w:val="nil"/>
              <w:bottom w:val="nil"/>
            </w:tcBorders>
          </w:tcPr>
          <w:p w:rsidR="002D691F" w:rsidRPr="002D691F" w:rsidRDefault="002D691F" w:rsidP="00BF2C66">
            <w:pPr>
              <w:spacing w:line="320" w:lineRule="exact"/>
              <w:rPr>
                <w:sz w:val="18"/>
                <w:szCs w:val="26"/>
                <w:rtl/>
              </w:rPr>
            </w:pPr>
            <w:r w:rsidRPr="002D691F">
              <w:rPr>
                <w:sz w:val="18"/>
                <w:szCs w:val="26"/>
                <w:rtl/>
              </w:rPr>
              <w:t xml:space="preserve">الشروع في الاغتصاب </w:t>
            </w:r>
            <w:r w:rsidR="000E778D">
              <w:rPr>
                <w:rFonts w:hint="cs"/>
                <w:sz w:val="18"/>
                <w:szCs w:val="26"/>
                <w:rtl/>
              </w:rPr>
              <w:t>ال</w:t>
            </w:r>
            <w:r w:rsidRPr="002D691F">
              <w:rPr>
                <w:sz w:val="18"/>
                <w:szCs w:val="26"/>
                <w:rtl/>
              </w:rPr>
              <w:t>زوجي</w:t>
            </w:r>
          </w:p>
        </w:tc>
        <w:tc>
          <w:tcPr>
            <w:tcW w:w="699" w:type="dxa"/>
            <w:tcBorders>
              <w:top w:val="nil"/>
              <w:bottom w:val="nil"/>
            </w:tcBorders>
            <w:vAlign w:val="bottom"/>
          </w:tcPr>
          <w:p w:rsidR="002D691F" w:rsidRPr="002D691F" w:rsidRDefault="002D691F" w:rsidP="00BF2C66">
            <w:pPr>
              <w:spacing w:line="320" w:lineRule="exact"/>
              <w:rPr>
                <w:sz w:val="18"/>
                <w:szCs w:val="26"/>
              </w:rPr>
            </w:pPr>
          </w:p>
        </w:tc>
        <w:tc>
          <w:tcPr>
            <w:tcW w:w="706" w:type="dxa"/>
            <w:tcBorders>
              <w:top w:val="nil"/>
              <w:bottom w:val="nil"/>
            </w:tcBorders>
            <w:vAlign w:val="bottom"/>
          </w:tcPr>
          <w:p w:rsidR="002D691F" w:rsidRPr="002D691F" w:rsidRDefault="002D691F" w:rsidP="00BF2C66">
            <w:pPr>
              <w:spacing w:line="320" w:lineRule="exact"/>
              <w:rPr>
                <w:sz w:val="18"/>
                <w:szCs w:val="26"/>
              </w:rPr>
            </w:pPr>
          </w:p>
        </w:tc>
        <w:tc>
          <w:tcPr>
            <w:tcW w:w="697" w:type="dxa"/>
            <w:tcBorders>
              <w:top w:val="nil"/>
              <w:bottom w:val="nil"/>
            </w:tcBorders>
            <w:vAlign w:val="bottom"/>
          </w:tcPr>
          <w:p w:rsidR="002D691F" w:rsidRPr="002D691F" w:rsidRDefault="002D691F" w:rsidP="00BF2C66">
            <w:pPr>
              <w:spacing w:line="320" w:lineRule="exact"/>
              <w:rPr>
                <w:sz w:val="18"/>
                <w:szCs w:val="26"/>
              </w:rPr>
            </w:pPr>
          </w:p>
        </w:tc>
        <w:tc>
          <w:tcPr>
            <w:tcW w:w="697" w:type="dxa"/>
            <w:tcBorders>
              <w:top w:val="nil"/>
              <w:bottom w:val="nil"/>
            </w:tcBorders>
            <w:vAlign w:val="bottom"/>
          </w:tcPr>
          <w:p w:rsidR="002D691F" w:rsidRPr="002D691F" w:rsidRDefault="002D691F" w:rsidP="00BF2C66">
            <w:pPr>
              <w:spacing w:line="320" w:lineRule="exact"/>
              <w:rPr>
                <w:sz w:val="18"/>
                <w:szCs w:val="26"/>
              </w:rPr>
            </w:pPr>
          </w:p>
        </w:tc>
        <w:tc>
          <w:tcPr>
            <w:tcW w:w="700" w:type="dxa"/>
            <w:tcBorders>
              <w:top w:val="nil"/>
              <w:bottom w:val="nil"/>
            </w:tcBorders>
            <w:vAlign w:val="bottom"/>
          </w:tcPr>
          <w:p w:rsidR="002D691F" w:rsidRPr="002D691F" w:rsidRDefault="002D691F" w:rsidP="00BF2C66">
            <w:pPr>
              <w:spacing w:line="320" w:lineRule="exact"/>
              <w:rPr>
                <w:sz w:val="18"/>
                <w:szCs w:val="26"/>
              </w:rPr>
            </w:pPr>
          </w:p>
        </w:tc>
        <w:tc>
          <w:tcPr>
            <w:tcW w:w="700" w:type="dxa"/>
            <w:tcBorders>
              <w:top w:val="nil"/>
              <w:bottom w:val="nil"/>
            </w:tcBorders>
            <w:vAlign w:val="bottom"/>
          </w:tcPr>
          <w:p w:rsidR="002D691F" w:rsidRPr="002D691F" w:rsidRDefault="002D691F" w:rsidP="00BF2C66">
            <w:pPr>
              <w:spacing w:line="320" w:lineRule="exact"/>
              <w:rPr>
                <w:sz w:val="18"/>
                <w:szCs w:val="26"/>
              </w:rPr>
            </w:pPr>
          </w:p>
        </w:tc>
        <w:tc>
          <w:tcPr>
            <w:tcW w:w="770" w:type="dxa"/>
            <w:tcBorders>
              <w:top w:val="nil"/>
              <w:bottom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9" w:type="dxa"/>
            <w:tcBorders>
              <w:top w:val="nil"/>
              <w:bottom w:val="nil"/>
            </w:tcBorders>
            <w:vAlign w:val="bottom"/>
          </w:tcPr>
          <w:p w:rsidR="002D691F" w:rsidRPr="002D691F" w:rsidRDefault="002D691F" w:rsidP="00BF2C66">
            <w:pPr>
              <w:spacing w:line="320" w:lineRule="exact"/>
              <w:rPr>
                <w:sz w:val="18"/>
                <w:szCs w:val="26"/>
              </w:rPr>
            </w:pPr>
          </w:p>
        </w:tc>
        <w:tc>
          <w:tcPr>
            <w:tcW w:w="697" w:type="dxa"/>
            <w:tcBorders>
              <w:top w:val="nil"/>
              <w:bottom w:val="nil"/>
            </w:tcBorders>
            <w:vAlign w:val="bottom"/>
          </w:tcPr>
          <w:p w:rsidR="002D691F" w:rsidRPr="002D691F" w:rsidRDefault="002D691F" w:rsidP="00BF2C66">
            <w:pPr>
              <w:spacing w:line="320" w:lineRule="exact"/>
              <w:rPr>
                <w:sz w:val="18"/>
                <w:szCs w:val="26"/>
              </w:rPr>
            </w:pPr>
          </w:p>
        </w:tc>
      </w:tr>
      <w:tr w:rsidR="002D691F" w:rsidRPr="002D691F" w:rsidTr="00484AC9">
        <w:tc>
          <w:tcPr>
            <w:tcW w:w="3489" w:type="dxa"/>
            <w:tcBorders>
              <w:top w:val="nil"/>
            </w:tcBorders>
          </w:tcPr>
          <w:p w:rsidR="002D691F" w:rsidRPr="002D691F" w:rsidRDefault="002D691F" w:rsidP="00BF2C66">
            <w:pPr>
              <w:spacing w:line="320" w:lineRule="exact"/>
              <w:rPr>
                <w:sz w:val="18"/>
                <w:szCs w:val="26"/>
                <w:rtl/>
              </w:rPr>
            </w:pPr>
            <w:r w:rsidRPr="002D691F">
              <w:rPr>
                <w:sz w:val="18"/>
                <w:szCs w:val="26"/>
                <w:rtl/>
              </w:rPr>
              <w:t>هتك حرمة الفتيات تحت 13 سنة</w:t>
            </w:r>
          </w:p>
        </w:tc>
        <w:tc>
          <w:tcPr>
            <w:tcW w:w="699" w:type="dxa"/>
            <w:tcBorders>
              <w:top w:val="nil"/>
            </w:tcBorders>
            <w:vAlign w:val="bottom"/>
          </w:tcPr>
          <w:p w:rsidR="002D691F" w:rsidRPr="002D691F" w:rsidRDefault="002D691F" w:rsidP="00BF2C66">
            <w:pPr>
              <w:spacing w:line="320" w:lineRule="exact"/>
              <w:rPr>
                <w:sz w:val="18"/>
                <w:szCs w:val="26"/>
              </w:rPr>
            </w:pPr>
          </w:p>
        </w:tc>
        <w:tc>
          <w:tcPr>
            <w:tcW w:w="706" w:type="dxa"/>
            <w:tcBorders>
              <w:top w:val="nil"/>
            </w:tcBorders>
            <w:vAlign w:val="bottom"/>
          </w:tcPr>
          <w:p w:rsidR="002D691F" w:rsidRPr="002D691F" w:rsidRDefault="002D691F" w:rsidP="00BF2C66">
            <w:pPr>
              <w:spacing w:line="320" w:lineRule="exact"/>
              <w:rPr>
                <w:sz w:val="18"/>
                <w:szCs w:val="26"/>
              </w:rPr>
            </w:pPr>
            <w:r w:rsidRPr="002D691F">
              <w:rPr>
                <w:sz w:val="18"/>
                <w:szCs w:val="26"/>
                <w:rtl/>
              </w:rPr>
              <w:t>٢</w:t>
            </w:r>
          </w:p>
        </w:tc>
        <w:tc>
          <w:tcPr>
            <w:tcW w:w="697" w:type="dxa"/>
            <w:tcBorders>
              <w:top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tcBorders>
              <w:top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700" w:type="dxa"/>
            <w:tcBorders>
              <w:top w:val="nil"/>
            </w:tcBorders>
            <w:vAlign w:val="bottom"/>
          </w:tcPr>
          <w:p w:rsidR="002D691F" w:rsidRPr="002D691F" w:rsidRDefault="002D691F" w:rsidP="00BF2C66">
            <w:pPr>
              <w:spacing w:line="320" w:lineRule="exact"/>
              <w:rPr>
                <w:sz w:val="18"/>
                <w:szCs w:val="26"/>
              </w:rPr>
            </w:pPr>
          </w:p>
        </w:tc>
        <w:tc>
          <w:tcPr>
            <w:tcW w:w="700" w:type="dxa"/>
            <w:tcBorders>
              <w:top w:val="nil"/>
            </w:tcBorders>
            <w:vAlign w:val="bottom"/>
          </w:tcPr>
          <w:p w:rsidR="002D691F" w:rsidRPr="002D691F" w:rsidRDefault="002D691F" w:rsidP="00BF2C66">
            <w:pPr>
              <w:spacing w:line="320" w:lineRule="exact"/>
              <w:rPr>
                <w:sz w:val="18"/>
                <w:szCs w:val="26"/>
              </w:rPr>
            </w:pPr>
          </w:p>
        </w:tc>
        <w:tc>
          <w:tcPr>
            <w:tcW w:w="770" w:type="dxa"/>
            <w:tcBorders>
              <w:top w:val="nil"/>
            </w:tcBorders>
            <w:vAlign w:val="bottom"/>
          </w:tcPr>
          <w:p w:rsidR="002D691F" w:rsidRPr="002D691F" w:rsidRDefault="002D691F" w:rsidP="00BF2C66">
            <w:pPr>
              <w:spacing w:line="320" w:lineRule="exact"/>
              <w:rPr>
                <w:sz w:val="18"/>
                <w:szCs w:val="26"/>
              </w:rPr>
            </w:pPr>
            <w:r w:rsidRPr="002D691F">
              <w:rPr>
                <w:sz w:val="18"/>
                <w:szCs w:val="26"/>
                <w:rtl/>
              </w:rPr>
              <w:t>١</w:t>
            </w:r>
          </w:p>
        </w:tc>
        <w:tc>
          <w:tcPr>
            <w:tcW w:w="699" w:type="dxa"/>
            <w:tcBorders>
              <w:top w:val="nil"/>
            </w:tcBorders>
            <w:vAlign w:val="bottom"/>
          </w:tcPr>
          <w:p w:rsidR="002D691F" w:rsidRPr="002D691F" w:rsidRDefault="002D691F" w:rsidP="00BF2C66">
            <w:pPr>
              <w:spacing w:line="320" w:lineRule="exact"/>
              <w:rPr>
                <w:sz w:val="18"/>
                <w:szCs w:val="26"/>
              </w:rPr>
            </w:pPr>
            <w:r w:rsidRPr="002D691F">
              <w:rPr>
                <w:sz w:val="18"/>
                <w:szCs w:val="26"/>
                <w:rtl/>
              </w:rPr>
              <w:t>٣</w:t>
            </w:r>
          </w:p>
        </w:tc>
        <w:tc>
          <w:tcPr>
            <w:tcW w:w="697" w:type="dxa"/>
            <w:tcBorders>
              <w:top w:val="nil"/>
            </w:tcBorders>
            <w:vAlign w:val="bottom"/>
          </w:tcPr>
          <w:p w:rsidR="002D691F" w:rsidRPr="002D691F" w:rsidRDefault="002D691F" w:rsidP="00BF2C66">
            <w:pPr>
              <w:spacing w:line="320" w:lineRule="exact"/>
              <w:rPr>
                <w:sz w:val="18"/>
                <w:szCs w:val="26"/>
              </w:rPr>
            </w:pPr>
          </w:p>
        </w:tc>
      </w:tr>
      <w:tr w:rsidR="002D691F" w:rsidRPr="002D691F" w:rsidTr="00BF2C66">
        <w:tc>
          <w:tcPr>
            <w:tcW w:w="3489" w:type="dxa"/>
          </w:tcPr>
          <w:p w:rsidR="002D691F" w:rsidRPr="002D691F" w:rsidRDefault="002D691F" w:rsidP="00BF2C66">
            <w:pPr>
              <w:spacing w:line="320" w:lineRule="exact"/>
              <w:rPr>
                <w:sz w:val="18"/>
                <w:szCs w:val="26"/>
                <w:rtl/>
              </w:rPr>
            </w:pPr>
            <w:r w:rsidRPr="002D691F">
              <w:rPr>
                <w:sz w:val="18"/>
                <w:szCs w:val="26"/>
                <w:rtl/>
              </w:rPr>
              <w:t>هتك حرمة الفتيات تحت 13 سنة (عنف منزلي)</w:t>
            </w:r>
          </w:p>
        </w:tc>
        <w:tc>
          <w:tcPr>
            <w:tcW w:w="699" w:type="dxa"/>
            <w:vAlign w:val="bottom"/>
          </w:tcPr>
          <w:p w:rsidR="002D691F" w:rsidRPr="002D691F" w:rsidRDefault="002D691F" w:rsidP="00BF2C66">
            <w:pPr>
              <w:spacing w:line="320" w:lineRule="exact"/>
              <w:rPr>
                <w:sz w:val="18"/>
                <w:szCs w:val="26"/>
              </w:rPr>
            </w:pPr>
            <w:r w:rsidRPr="002D691F">
              <w:rPr>
                <w:sz w:val="18"/>
                <w:szCs w:val="26"/>
                <w:rtl/>
              </w:rPr>
              <w:t>٣</w:t>
            </w:r>
          </w:p>
        </w:tc>
        <w:tc>
          <w:tcPr>
            <w:tcW w:w="706" w:type="dxa"/>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c>
          <w:tcPr>
            <w:tcW w:w="700" w:type="dxa"/>
            <w:vAlign w:val="bottom"/>
          </w:tcPr>
          <w:p w:rsidR="002D691F" w:rsidRPr="002D691F" w:rsidRDefault="002D691F" w:rsidP="00BF2C66">
            <w:pPr>
              <w:spacing w:line="320" w:lineRule="exact"/>
              <w:rPr>
                <w:sz w:val="18"/>
                <w:szCs w:val="26"/>
              </w:rPr>
            </w:pPr>
          </w:p>
        </w:tc>
        <w:tc>
          <w:tcPr>
            <w:tcW w:w="700" w:type="dxa"/>
            <w:vAlign w:val="bottom"/>
          </w:tcPr>
          <w:p w:rsidR="002D691F" w:rsidRPr="002D691F" w:rsidRDefault="002D691F" w:rsidP="00BF2C66">
            <w:pPr>
              <w:spacing w:line="320" w:lineRule="exact"/>
              <w:rPr>
                <w:sz w:val="18"/>
                <w:szCs w:val="26"/>
              </w:rPr>
            </w:pPr>
            <w:r w:rsidRPr="002D691F">
              <w:rPr>
                <w:sz w:val="18"/>
                <w:szCs w:val="26"/>
                <w:rtl/>
              </w:rPr>
              <w:t>١</w:t>
            </w:r>
          </w:p>
        </w:tc>
        <w:tc>
          <w:tcPr>
            <w:tcW w:w="770" w:type="dxa"/>
            <w:vAlign w:val="bottom"/>
          </w:tcPr>
          <w:p w:rsidR="002D691F" w:rsidRPr="002D691F" w:rsidRDefault="002D691F" w:rsidP="00BF2C66">
            <w:pPr>
              <w:spacing w:line="320" w:lineRule="exact"/>
              <w:rPr>
                <w:sz w:val="18"/>
                <w:szCs w:val="26"/>
              </w:rPr>
            </w:pPr>
          </w:p>
        </w:tc>
        <w:tc>
          <w:tcPr>
            <w:tcW w:w="699"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r>
      <w:tr w:rsidR="002D691F" w:rsidRPr="002D691F" w:rsidTr="00BF2C66">
        <w:tc>
          <w:tcPr>
            <w:tcW w:w="3489" w:type="dxa"/>
          </w:tcPr>
          <w:p w:rsidR="002D691F" w:rsidRPr="002D691F" w:rsidRDefault="002D691F" w:rsidP="00BF2C66">
            <w:pPr>
              <w:spacing w:line="320" w:lineRule="exact"/>
              <w:rPr>
                <w:sz w:val="18"/>
                <w:szCs w:val="26"/>
                <w:rtl/>
              </w:rPr>
            </w:pPr>
            <w:r w:rsidRPr="002D691F">
              <w:rPr>
                <w:sz w:val="18"/>
                <w:szCs w:val="26"/>
                <w:rtl/>
              </w:rPr>
              <w:t>هتك حرمة الفتيات بين 13 و16 سنة</w:t>
            </w:r>
          </w:p>
        </w:tc>
        <w:tc>
          <w:tcPr>
            <w:tcW w:w="699" w:type="dxa"/>
            <w:vAlign w:val="bottom"/>
          </w:tcPr>
          <w:p w:rsidR="002D691F" w:rsidRPr="002D691F" w:rsidRDefault="002D691F" w:rsidP="00BF2C66">
            <w:pPr>
              <w:spacing w:line="320" w:lineRule="exact"/>
              <w:rPr>
                <w:sz w:val="18"/>
                <w:szCs w:val="26"/>
              </w:rPr>
            </w:pPr>
            <w:r w:rsidRPr="002D691F">
              <w:rPr>
                <w:sz w:val="18"/>
                <w:szCs w:val="26"/>
                <w:rtl/>
              </w:rPr>
              <w:t>٢</w:t>
            </w:r>
          </w:p>
        </w:tc>
        <w:tc>
          <w:tcPr>
            <w:tcW w:w="706" w:type="dxa"/>
            <w:vAlign w:val="bottom"/>
          </w:tcPr>
          <w:p w:rsidR="002D691F" w:rsidRPr="002D691F" w:rsidRDefault="002D691F" w:rsidP="00BF2C66">
            <w:pPr>
              <w:spacing w:line="320" w:lineRule="exact"/>
              <w:rPr>
                <w:sz w:val="18"/>
                <w:szCs w:val="26"/>
              </w:rPr>
            </w:pPr>
            <w:r w:rsidRPr="002D691F">
              <w:rPr>
                <w:sz w:val="18"/>
                <w:szCs w:val="26"/>
                <w:rtl/>
              </w:rPr>
              <w:t>٥</w:t>
            </w:r>
          </w:p>
        </w:tc>
        <w:tc>
          <w:tcPr>
            <w:tcW w:w="697" w:type="dxa"/>
            <w:vAlign w:val="bottom"/>
          </w:tcPr>
          <w:p w:rsidR="002D691F" w:rsidRPr="002D691F" w:rsidRDefault="002D691F" w:rsidP="00BF2C66">
            <w:pPr>
              <w:spacing w:line="320" w:lineRule="exact"/>
              <w:rPr>
                <w:sz w:val="18"/>
                <w:szCs w:val="26"/>
              </w:rPr>
            </w:pPr>
            <w:r w:rsidRPr="002D691F">
              <w:rPr>
                <w:sz w:val="18"/>
                <w:szCs w:val="26"/>
                <w:rtl/>
              </w:rPr>
              <w:t>٧</w:t>
            </w:r>
          </w:p>
        </w:tc>
        <w:tc>
          <w:tcPr>
            <w:tcW w:w="697" w:type="dxa"/>
            <w:vAlign w:val="bottom"/>
          </w:tcPr>
          <w:p w:rsidR="002D691F" w:rsidRPr="002D691F" w:rsidRDefault="002D691F" w:rsidP="00BF2C66">
            <w:pPr>
              <w:spacing w:line="320" w:lineRule="exact"/>
              <w:rPr>
                <w:sz w:val="18"/>
                <w:szCs w:val="26"/>
              </w:rPr>
            </w:pPr>
            <w:r w:rsidRPr="002D691F">
              <w:rPr>
                <w:sz w:val="18"/>
                <w:szCs w:val="26"/>
                <w:rtl/>
              </w:rPr>
              <w:t>١٣</w:t>
            </w:r>
          </w:p>
        </w:tc>
        <w:tc>
          <w:tcPr>
            <w:tcW w:w="700" w:type="dxa"/>
            <w:vAlign w:val="bottom"/>
          </w:tcPr>
          <w:p w:rsidR="002D691F" w:rsidRPr="002D691F" w:rsidRDefault="002D691F" w:rsidP="00BF2C66">
            <w:pPr>
              <w:spacing w:line="320" w:lineRule="exact"/>
              <w:rPr>
                <w:sz w:val="18"/>
                <w:szCs w:val="26"/>
              </w:rPr>
            </w:pPr>
            <w:r w:rsidRPr="002D691F">
              <w:rPr>
                <w:sz w:val="18"/>
                <w:szCs w:val="26"/>
                <w:rtl/>
              </w:rPr>
              <w:t>٩</w:t>
            </w:r>
          </w:p>
        </w:tc>
        <w:tc>
          <w:tcPr>
            <w:tcW w:w="700" w:type="dxa"/>
            <w:vAlign w:val="bottom"/>
          </w:tcPr>
          <w:p w:rsidR="002D691F" w:rsidRPr="002D691F" w:rsidRDefault="002D691F" w:rsidP="00BF2C66">
            <w:pPr>
              <w:spacing w:line="320" w:lineRule="exact"/>
              <w:rPr>
                <w:sz w:val="18"/>
                <w:szCs w:val="26"/>
              </w:rPr>
            </w:pPr>
            <w:r w:rsidRPr="002D691F">
              <w:rPr>
                <w:sz w:val="18"/>
                <w:szCs w:val="26"/>
                <w:rtl/>
              </w:rPr>
              <w:t>٣</w:t>
            </w:r>
          </w:p>
        </w:tc>
        <w:tc>
          <w:tcPr>
            <w:tcW w:w="770" w:type="dxa"/>
            <w:vAlign w:val="bottom"/>
          </w:tcPr>
          <w:p w:rsidR="002D691F" w:rsidRPr="002D691F" w:rsidRDefault="002D691F" w:rsidP="00BF2C66">
            <w:pPr>
              <w:spacing w:line="320" w:lineRule="exact"/>
              <w:rPr>
                <w:sz w:val="18"/>
                <w:szCs w:val="26"/>
              </w:rPr>
            </w:pPr>
            <w:r w:rsidRPr="002D691F">
              <w:rPr>
                <w:sz w:val="18"/>
                <w:szCs w:val="26"/>
                <w:rtl/>
              </w:rPr>
              <w:t>٥</w:t>
            </w:r>
          </w:p>
        </w:tc>
        <w:tc>
          <w:tcPr>
            <w:tcW w:w="699" w:type="dxa"/>
            <w:vAlign w:val="bottom"/>
          </w:tcPr>
          <w:p w:rsidR="002D691F" w:rsidRPr="002D691F" w:rsidRDefault="002D691F" w:rsidP="00BF2C66">
            <w:pPr>
              <w:spacing w:line="320" w:lineRule="exact"/>
              <w:rPr>
                <w:sz w:val="18"/>
                <w:szCs w:val="26"/>
              </w:rPr>
            </w:pPr>
            <w:r w:rsidRPr="002D691F">
              <w:rPr>
                <w:sz w:val="18"/>
                <w:szCs w:val="26"/>
                <w:rtl/>
              </w:rPr>
              <w:t>٣</w:t>
            </w:r>
          </w:p>
        </w:tc>
        <w:tc>
          <w:tcPr>
            <w:tcW w:w="697" w:type="dxa"/>
            <w:vAlign w:val="bottom"/>
          </w:tcPr>
          <w:p w:rsidR="002D691F" w:rsidRPr="002D691F" w:rsidRDefault="002D691F" w:rsidP="00BF2C66">
            <w:pPr>
              <w:spacing w:line="320" w:lineRule="exact"/>
              <w:rPr>
                <w:sz w:val="18"/>
                <w:szCs w:val="26"/>
              </w:rPr>
            </w:pPr>
            <w:r w:rsidRPr="002D691F">
              <w:rPr>
                <w:sz w:val="18"/>
                <w:szCs w:val="26"/>
                <w:rtl/>
              </w:rPr>
              <w:t>٦</w:t>
            </w:r>
          </w:p>
        </w:tc>
      </w:tr>
      <w:tr w:rsidR="002D691F" w:rsidRPr="002D691F" w:rsidTr="00BF2C66">
        <w:tc>
          <w:tcPr>
            <w:tcW w:w="3489" w:type="dxa"/>
          </w:tcPr>
          <w:p w:rsidR="002D691F" w:rsidRPr="002D691F" w:rsidRDefault="002D691F" w:rsidP="00BF2C66">
            <w:pPr>
              <w:spacing w:line="320" w:lineRule="exact"/>
              <w:rPr>
                <w:sz w:val="18"/>
                <w:szCs w:val="26"/>
                <w:rtl/>
              </w:rPr>
            </w:pPr>
            <w:r w:rsidRPr="002D691F">
              <w:rPr>
                <w:sz w:val="18"/>
                <w:szCs w:val="26"/>
                <w:rtl/>
              </w:rPr>
              <w:t>هتك حرمة الفتيات بين 13 و16 سنة (عنف</w:t>
            </w:r>
            <w:r w:rsidR="000725DD">
              <w:rPr>
                <w:rFonts w:hint="cs"/>
                <w:sz w:val="18"/>
                <w:szCs w:val="26"/>
                <w:rtl/>
              </w:rPr>
              <w:t> </w:t>
            </w:r>
            <w:r w:rsidRPr="002D691F">
              <w:rPr>
                <w:sz w:val="18"/>
                <w:szCs w:val="26"/>
                <w:rtl/>
              </w:rPr>
              <w:t>منزلي)</w:t>
            </w:r>
          </w:p>
        </w:tc>
        <w:tc>
          <w:tcPr>
            <w:tcW w:w="699" w:type="dxa"/>
            <w:vAlign w:val="bottom"/>
          </w:tcPr>
          <w:p w:rsidR="002D691F" w:rsidRPr="002D691F" w:rsidRDefault="002D691F" w:rsidP="00BF2C66">
            <w:pPr>
              <w:spacing w:line="320" w:lineRule="exact"/>
              <w:rPr>
                <w:sz w:val="18"/>
                <w:szCs w:val="26"/>
              </w:rPr>
            </w:pPr>
            <w:r w:rsidRPr="002D691F">
              <w:rPr>
                <w:sz w:val="18"/>
                <w:szCs w:val="26"/>
                <w:rtl/>
              </w:rPr>
              <w:t>١</w:t>
            </w:r>
          </w:p>
        </w:tc>
        <w:tc>
          <w:tcPr>
            <w:tcW w:w="706"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c>
          <w:tcPr>
            <w:tcW w:w="700" w:type="dxa"/>
            <w:vAlign w:val="bottom"/>
          </w:tcPr>
          <w:p w:rsidR="002D691F" w:rsidRPr="002D691F" w:rsidRDefault="002D691F" w:rsidP="00BF2C66">
            <w:pPr>
              <w:spacing w:line="320" w:lineRule="exact"/>
              <w:rPr>
                <w:sz w:val="18"/>
                <w:szCs w:val="26"/>
              </w:rPr>
            </w:pPr>
          </w:p>
        </w:tc>
        <w:tc>
          <w:tcPr>
            <w:tcW w:w="700" w:type="dxa"/>
            <w:vAlign w:val="bottom"/>
          </w:tcPr>
          <w:p w:rsidR="002D691F" w:rsidRPr="002D691F" w:rsidRDefault="002D691F" w:rsidP="00BF2C66">
            <w:pPr>
              <w:spacing w:line="320" w:lineRule="exact"/>
              <w:rPr>
                <w:sz w:val="18"/>
                <w:szCs w:val="26"/>
              </w:rPr>
            </w:pPr>
            <w:r w:rsidRPr="002D691F">
              <w:rPr>
                <w:sz w:val="18"/>
                <w:szCs w:val="26"/>
                <w:rtl/>
              </w:rPr>
              <w:t>١</w:t>
            </w:r>
          </w:p>
        </w:tc>
        <w:tc>
          <w:tcPr>
            <w:tcW w:w="770" w:type="dxa"/>
            <w:vAlign w:val="bottom"/>
          </w:tcPr>
          <w:p w:rsidR="002D691F" w:rsidRPr="002D691F" w:rsidRDefault="002D691F" w:rsidP="00BF2C66">
            <w:pPr>
              <w:spacing w:line="320" w:lineRule="exact"/>
              <w:rPr>
                <w:sz w:val="18"/>
                <w:szCs w:val="26"/>
              </w:rPr>
            </w:pPr>
            <w:r w:rsidRPr="002D691F">
              <w:rPr>
                <w:sz w:val="18"/>
                <w:szCs w:val="26"/>
                <w:rtl/>
              </w:rPr>
              <w:t>١</w:t>
            </w:r>
          </w:p>
        </w:tc>
        <w:tc>
          <w:tcPr>
            <w:tcW w:w="699"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r w:rsidRPr="002D691F">
              <w:rPr>
                <w:sz w:val="18"/>
                <w:szCs w:val="26"/>
                <w:rtl/>
              </w:rPr>
              <w:t>١</w:t>
            </w:r>
          </w:p>
        </w:tc>
      </w:tr>
      <w:tr w:rsidR="002D691F" w:rsidRPr="002D691F" w:rsidTr="00BF2C66">
        <w:tc>
          <w:tcPr>
            <w:tcW w:w="3489" w:type="dxa"/>
          </w:tcPr>
          <w:p w:rsidR="002D691F" w:rsidRPr="002D691F" w:rsidRDefault="002D691F" w:rsidP="00BF2C66">
            <w:pPr>
              <w:spacing w:line="320" w:lineRule="exact"/>
              <w:rPr>
                <w:rFonts w:hint="cs"/>
                <w:sz w:val="18"/>
                <w:szCs w:val="26"/>
                <w:rtl/>
              </w:rPr>
            </w:pPr>
            <w:r w:rsidRPr="002D691F">
              <w:rPr>
                <w:sz w:val="18"/>
                <w:szCs w:val="26"/>
                <w:rtl/>
              </w:rPr>
              <w:t>تحقيق هتك حرمة المرأة بالتهديد أو الاحتيال أو</w:t>
            </w:r>
            <w:r w:rsidR="000725DD">
              <w:rPr>
                <w:rFonts w:hint="cs"/>
                <w:sz w:val="18"/>
                <w:szCs w:val="26"/>
                <w:rtl/>
              </w:rPr>
              <w:t> </w:t>
            </w:r>
            <w:r w:rsidR="000725DD">
              <w:rPr>
                <w:sz w:val="18"/>
                <w:szCs w:val="26"/>
                <w:rtl/>
              </w:rPr>
              <w:t>التخدير</w:t>
            </w:r>
          </w:p>
        </w:tc>
        <w:tc>
          <w:tcPr>
            <w:tcW w:w="699" w:type="dxa"/>
            <w:vAlign w:val="bottom"/>
          </w:tcPr>
          <w:p w:rsidR="002D691F" w:rsidRPr="002D691F" w:rsidRDefault="002D691F" w:rsidP="00BF2C66">
            <w:pPr>
              <w:spacing w:line="320" w:lineRule="exact"/>
              <w:rPr>
                <w:sz w:val="18"/>
                <w:szCs w:val="26"/>
              </w:rPr>
            </w:pPr>
            <w:r w:rsidRPr="002D691F">
              <w:rPr>
                <w:sz w:val="18"/>
                <w:szCs w:val="26"/>
                <w:rtl/>
              </w:rPr>
              <w:t>١</w:t>
            </w:r>
          </w:p>
        </w:tc>
        <w:tc>
          <w:tcPr>
            <w:tcW w:w="706"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r w:rsidRPr="002D691F">
              <w:rPr>
                <w:sz w:val="18"/>
                <w:szCs w:val="26"/>
                <w:rtl/>
              </w:rPr>
              <w:t>١</w:t>
            </w:r>
          </w:p>
        </w:tc>
        <w:tc>
          <w:tcPr>
            <w:tcW w:w="700" w:type="dxa"/>
            <w:vAlign w:val="bottom"/>
          </w:tcPr>
          <w:p w:rsidR="002D691F" w:rsidRPr="002D691F" w:rsidRDefault="002D691F" w:rsidP="00BF2C66">
            <w:pPr>
              <w:spacing w:line="320" w:lineRule="exact"/>
              <w:rPr>
                <w:sz w:val="18"/>
                <w:szCs w:val="26"/>
              </w:rPr>
            </w:pPr>
          </w:p>
        </w:tc>
        <w:tc>
          <w:tcPr>
            <w:tcW w:w="700" w:type="dxa"/>
            <w:vAlign w:val="bottom"/>
          </w:tcPr>
          <w:p w:rsidR="002D691F" w:rsidRPr="002D691F" w:rsidRDefault="002D691F" w:rsidP="00BF2C66">
            <w:pPr>
              <w:spacing w:line="320" w:lineRule="exact"/>
              <w:rPr>
                <w:sz w:val="18"/>
                <w:szCs w:val="26"/>
              </w:rPr>
            </w:pPr>
          </w:p>
        </w:tc>
        <w:tc>
          <w:tcPr>
            <w:tcW w:w="770" w:type="dxa"/>
            <w:vAlign w:val="bottom"/>
          </w:tcPr>
          <w:p w:rsidR="002D691F" w:rsidRPr="002D691F" w:rsidRDefault="002D691F" w:rsidP="00BF2C66">
            <w:pPr>
              <w:spacing w:line="320" w:lineRule="exact"/>
              <w:rPr>
                <w:sz w:val="18"/>
                <w:szCs w:val="26"/>
              </w:rPr>
            </w:pPr>
            <w:r w:rsidRPr="002D691F">
              <w:rPr>
                <w:sz w:val="18"/>
                <w:szCs w:val="26"/>
                <w:rtl/>
              </w:rPr>
              <w:t>١</w:t>
            </w:r>
          </w:p>
        </w:tc>
        <w:tc>
          <w:tcPr>
            <w:tcW w:w="699" w:type="dxa"/>
            <w:vAlign w:val="bottom"/>
          </w:tcPr>
          <w:p w:rsidR="002D691F" w:rsidRPr="002D691F" w:rsidRDefault="002D691F" w:rsidP="00BF2C66">
            <w:pPr>
              <w:spacing w:line="320" w:lineRule="exact"/>
              <w:rPr>
                <w:sz w:val="18"/>
                <w:szCs w:val="26"/>
              </w:rPr>
            </w:pPr>
          </w:p>
        </w:tc>
        <w:tc>
          <w:tcPr>
            <w:tcW w:w="697" w:type="dxa"/>
            <w:vAlign w:val="bottom"/>
          </w:tcPr>
          <w:p w:rsidR="002D691F" w:rsidRPr="002D691F" w:rsidRDefault="002D691F" w:rsidP="00BF2C66">
            <w:pPr>
              <w:spacing w:line="320" w:lineRule="exact"/>
              <w:rPr>
                <w:sz w:val="18"/>
                <w:szCs w:val="26"/>
              </w:rPr>
            </w:pPr>
          </w:p>
        </w:tc>
      </w:tr>
      <w:tr w:rsidR="002D691F" w:rsidRPr="002D691F" w:rsidTr="00BF2C66">
        <w:tc>
          <w:tcPr>
            <w:tcW w:w="3489" w:type="dxa"/>
          </w:tcPr>
          <w:p w:rsidR="002D691F" w:rsidRPr="002D691F" w:rsidRDefault="002D691F" w:rsidP="00BF2C66">
            <w:pPr>
              <w:spacing w:line="320" w:lineRule="exact"/>
              <w:rPr>
                <w:sz w:val="18"/>
                <w:szCs w:val="26"/>
                <w:rtl/>
              </w:rPr>
            </w:pPr>
            <w:r w:rsidRPr="002D691F">
              <w:rPr>
                <w:sz w:val="18"/>
                <w:szCs w:val="26"/>
                <w:rtl/>
              </w:rPr>
              <w:t xml:space="preserve">الاعتداء على الإناث بالإكراه </w:t>
            </w:r>
          </w:p>
        </w:tc>
        <w:tc>
          <w:tcPr>
            <w:tcW w:w="699" w:type="dxa"/>
            <w:vAlign w:val="bottom"/>
          </w:tcPr>
          <w:p w:rsidR="002D691F" w:rsidRPr="002D691F" w:rsidRDefault="002D691F" w:rsidP="00BF2C66">
            <w:pPr>
              <w:spacing w:line="320" w:lineRule="exact"/>
              <w:rPr>
                <w:sz w:val="18"/>
                <w:szCs w:val="26"/>
              </w:rPr>
            </w:pPr>
            <w:r w:rsidRPr="002D691F">
              <w:rPr>
                <w:sz w:val="18"/>
                <w:szCs w:val="26"/>
                <w:rtl/>
              </w:rPr>
              <w:t>١٦</w:t>
            </w:r>
          </w:p>
        </w:tc>
        <w:tc>
          <w:tcPr>
            <w:tcW w:w="706" w:type="dxa"/>
            <w:vAlign w:val="bottom"/>
          </w:tcPr>
          <w:p w:rsidR="002D691F" w:rsidRPr="002D691F" w:rsidRDefault="002D691F" w:rsidP="00BF2C66">
            <w:pPr>
              <w:spacing w:line="320" w:lineRule="exact"/>
              <w:rPr>
                <w:sz w:val="18"/>
                <w:szCs w:val="26"/>
              </w:rPr>
            </w:pPr>
            <w:r w:rsidRPr="002D691F">
              <w:rPr>
                <w:sz w:val="18"/>
                <w:szCs w:val="26"/>
                <w:rtl/>
              </w:rPr>
              <w:t>٢٦</w:t>
            </w:r>
          </w:p>
        </w:tc>
        <w:tc>
          <w:tcPr>
            <w:tcW w:w="697" w:type="dxa"/>
            <w:vAlign w:val="bottom"/>
          </w:tcPr>
          <w:p w:rsidR="002D691F" w:rsidRPr="002D691F" w:rsidRDefault="002D691F" w:rsidP="00BF2C66">
            <w:pPr>
              <w:spacing w:line="320" w:lineRule="exact"/>
              <w:rPr>
                <w:sz w:val="18"/>
                <w:szCs w:val="26"/>
              </w:rPr>
            </w:pPr>
            <w:r w:rsidRPr="002D691F">
              <w:rPr>
                <w:sz w:val="18"/>
                <w:szCs w:val="26"/>
                <w:rtl/>
              </w:rPr>
              <w:t>٢٩</w:t>
            </w:r>
          </w:p>
        </w:tc>
        <w:tc>
          <w:tcPr>
            <w:tcW w:w="697" w:type="dxa"/>
            <w:vAlign w:val="bottom"/>
          </w:tcPr>
          <w:p w:rsidR="002D691F" w:rsidRPr="002D691F" w:rsidRDefault="002D691F" w:rsidP="00BF2C66">
            <w:pPr>
              <w:spacing w:line="320" w:lineRule="exact"/>
              <w:rPr>
                <w:sz w:val="18"/>
                <w:szCs w:val="26"/>
              </w:rPr>
            </w:pPr>
            <w:r w:rsidRPr="002D691F">
              <w:rPr>
                <w:sz w:val="18"/>
                <w:szCs w:val="26"/>
                <w:rtl/>
              </w:rPr>
              <w:t>٢٤</w:t>
            </w:r>
          </w:p>
        </w:tc>
        <w:tc>
          <w:tcPr>
            <w:tcW w:w="700" w:type="dxa"/>
            <w:vAlign w:val="bottom"/>
          </w:tcPr>
          <w:p w:rsidR="002D691F" w:rsidRPr="002D691F" w:rsidRDefault="002D691F" w:rsidP="00BF2C66">
            <w:pPr>
              <w:spacing w:line="320" w:lineRule="exact"/>
              <w:rPr>
                <w:sz w:val="18"/>
                <w:szCs w:val="26"/>
              </w:rPr>
            </w:pPr>
            <w:r w:rsidRPr="002D691F">
              <w:rPr>
                <w:sz w:val="18"/>
                <w:szCs w:val="26"/>
                <w:rtl/>
              </w:rPr>
              <w:t>٣٩</w:t>
            </w:r>
          </w:p>
        </w:tc>
        <w:tc>
          <w:tcPr>
            <w:tcW w:w="700" w:type="dxa"/>
            <w:vAlign w:val="bottom"/>
          </w:tcPr>
          <w:p w:rsidR="002D691F" w:rsidRPr="002D691F" w:rsidRDefault="002D691F" w:rsidP="00BF2C66">
            <w:pPr>
              <w:spacing w:line="320" w:lineRule="exact"/>
              <w:rPr>
                <w:sz w:val="18"/>
                <w:szCs w:val="26"/>
              </w:rPr>
            </w:pPr>
            <w:r w:rsidRPr="002D691F">
              <w:rPr>
                <w:sz w:val="18"/>
                <w:szCs w:val="26"/>
                <w:rtl/>
              </w:rPr>
              <w:t>٢٥</w:t>
            </w:r>
          </w:p>
        </w:tc>
        <w:tc>
          <w:tcPr>
            <w:tcW w:w="770" w:type="dxa"/>
            <w:vAlign w:val="bottom"/>
          </w:tcPr>
          <w:p w:rsidR="002D691F" w:rsidRPr="002D691F" w:rsidRDefault="002D691F" w:rsidP="00BF2C66">
            <w:pPr>
              <w:spacing w:line="320" w:lineRule="exact"/>
              <w:rPr>
                <w:sz w:val="18"/>
                <w:szCs w:val="26"/>
              </w:rPr>
            </w:pPr>
            <w:r w:rsidRPr="002D691F">
              <w:rPr>
                <w:sz w:val="18"/>
                <w:szCs w:val="26"/>
                <w:rtl/>
              </w:rPr>
              <w:t>٢٩</w:t>
            </w:r>
          </w:p>
        </w:tc>
        <w:tc>
          <w:tcPr>
            <w:tcW w:w="699" w:type="dxa"/>
            <w:vAlign w:val="bottom"/>
          </w:tcPr>
          <w:p w:rsidR="002D691F" w:rsidRPr="002D691F" w:rsidRDefault="002D691F" w:rsidP="00BF2C66">
            <w:pPr>
              <w:spacing w:line="320" w:lineRule="exact"/>
              <w:rPr>
                <w:sz w:val="18"/>
                <w:szCs w:val="26"/>
              </w:rPr>
            </w:pPr>
            <w:r w:rsidRPr="002D691F">
              <w:rPr>
                <w:sz w:val="18"/>
                <w:szCs w:val="26"/>
                <w:rtl/>
              </w:rPr>
              <w:t>٤٢</w:t>
            </w:r>
          </w:p>
        </w:tc>
        <w:tc>
          <w:tcPr>
            <w:tcW w:w="697" w:type="dxa"/>
            <w:vAlign w:val="bottom"/>
          </w:tcPr>
          <w:p w:rsidR="002D691F" w:rsidRPr="002D691F" w:rsidRDefault="002D691F" w:rsidP="00BF2C66">
            <w:pPr>
              <w:spacing w:line="320" w:lineRule="exact"/>
              <w:rPr>
                <w:sz w:val="18"/>
                <w:szCs w:val="26"/>
              </w:rPr>
            </w:pPr>
            <w:r w:rsidRPr="002D691F">
              <w:rPr>
                <w:sz w:val="18"/>
                <w:szCs w:val="26"/>
                <w:rtl/>
              </w:rPr>
              <w:t>١٩</w:t>
            </w:r>
          </w:p>
        </w:tc>
      </w:tr>
      <w:tr w:rsidR="002D691F" w:rsidRPr="002D691F" w:rsidTr="00BF2C66">
        <w:tc>
          <w:tcPr>
            <w:tcW w:w="3489" w:type="dxa"/>
          </w:tcPr>
          <w:p w:rsidR="002D691F" w:rsidRPr="002D691F" w:rsidRDefault="002D691F" w:rsidP="00BF2C66">
            <w:pPr>
              <w:spacing w:line="320" w:lineRule="exact"/>
              <w:rPr>
                <w:sz w:val="18"/>
                <w:szCs w:val="26"/>
                <w:rtl/>
              </w:rPr>
            </w:pPr>
            <w:r w:rsidRPr="002D691F">
              <w:rPr>
                <w:sz w:val="18"/>
                <w:szCs w:val="26"/>
                <w:rtl/>
              </w:rPr>
              <w:t>الاعتداء على الإناث بالإكراه (عنف منزلي)</w:t>
            </w:r>
          </w:p>
        </w:tc>
        <w:tc>
          <w:tcPr>
            <w:tcW w:w="699" w:type="dxa"/>
            <w:vAlign w:val="bottom"/>
          </w:tcPr>
          <w:p w:rsidR="002D691F" w:rsidRPr="002D691F" w:rsidRDefault="002D691F" w:rsidP="00BF2C66">
            <w:pPr>
              <w:spacing w:line="320" w:lineRule="exact"/>
              <w:rPr>
                <w:sz w:val="18"/>
                <w:szCs w:val="26"/>
              </w:rPr>
            </w:pPr>
            <w:r w:rsidRPr="002D691F">
              <w:rPr>
                <w:sz w:val="18"/>
                <w:szCs w:val="26"/>
                <w:rtl/>
              </w:rPr>
              <w:t>٢</w:t>
            </w:r>
          </w:p>
        </w:tc>
        <w:tc>
          <w:tcPr>
            <w:tcW w:w="706" w:type="dxa"/>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vAlign w:val="bottom"/>
          </w:tcPr>
          <w:p w:rsidR="002D691F" w:rsidRPr="002D691F" w:rsidRDefault="002D691F" w:rsidP="00BF2C66">
            <w:pPr>
              <w:spacing w:line="320" w:lineRule="exact"/>
              <w:rPr>
                <w:sz w:val="18"/>
                <w:szCs w:val="26"/>
              </w:rPr>
            </w:pPr>
            <w:r w:rsidRPr="002D691F">
              <w:rPr>
                <w:sz w:val="18"/>
                <w:szCs w:val="26"/>
                <w:rtl/>
              </w:rPr>
              <w:t>١</w:t>
            </w:r>
          </w:p>
        </w:tc>
        <w:tc>
          <w:tcPr>
            <w:tcW w:w="697" w:type="dxa"/>
            <w:vAlign w:val="bottom"/>
          </w:tcPr>
          <w:p w:rsidR="002D691F" w:rsidRPr="002D691F" w:rsidRDefault="002D691F" w:rsidP="00BF2C66">
            <w:pPr>
              <w:spacing w:line="320" w:lineRule="exact"/>
              <w:rPr>
                <w:sz w:val="18"/>
                <w:szCs w:val="26"/>
              </w:rPr>
            </w:pPr>
            <w:r w:rsidRPr="002D691F">
              <w:rPr>
                <w:sz w:val="18"/>
                <w:szCs w:val="26"/>
                <w:rtl/>
              </w:rPr>
              <w:t>١</w:t>
            </w:r>
          </w:p>
        </w:tc>
        <w:tc>
          <w:tcPr>
            <w:tcW w:w="700" w:type="dxa"/>
            <w:vAlign w:val="bottom"/>
          </w:tcPr>
          <w:p w:rsidR="002D691F" w:rsidRPr="002D691F" w:rsidRDefault="002D691F" w:rsidP="00BF2C66">
            <w:pPr>
              <w:spacing w:line="320" w:lineRule="exact"/>
              <w:rPr>
                <w:sz w:val="18"/>
                <w:szCs w:val="26"/>
              </w:rPr>
            </w:pPr>
            <w:r w:rsidRPr="002D691F">
              <w:rPr>
                <w:sz w:val="18"/>
                <w:szCs w:val="26"/>
                <w:rtl/>
              </w:rPr>
              <w:t>٥</w:t>
            </w:r>
          </w:p>
        </w:tc>
        <w:tc>
          <w:tcPr>
            <w:tcW w:w="700" w:type="dxa"/>
            <w:vAlign w:val="bottom"/>
          </w:tcPr>
          <w:p w:rsidR="002D691F" w:rsidRPr="002D691F" w:rsidRDefault="002D691F" w:rsidP="00BF2C66">
            <w:pPr>
              <w:spacing w:line="320" w:lineRule="exact"/>
              <w:rPr>
                <w:sz w:val="18"/>
                <w:szCs w:val="26"/>
              </w:rPr>
            </w:pPr>
            <w:r w:rsidRPr="002D691F">
              <w:rPr>
                <w:sz w:val="18"/>
                <w:szCs w:val="26"/>
                <w:rtl/>
              </w:rPr>
              <w:t>١</w:t>
            </w:r>
          </w:p>
        </w:tc>
        <w:tc>
          <w:tcPr>
            <w:tcW w:w="770" w:type="dxa"/>
            <w:vAlign w:val="bottom"/>
          </w:tcPr>
          <w:p w:rsidR="002D691F" w:rsidRPr="002D691F" w:rsidRDefault="002D691F" w:rsidP="00BF2C66">
            <w:pPr>
              <w:spacing w:line="320" w:lineRule="exact"/>
              <w:rPr>
                <w:sz w:val="18"/>
                <w:szCs w:val="26"/>
              </w:rPr>
            </w:pPr>
            <w:r w:rsidRPr="002D691F">
              <w:rPr>
                <w:sz w:val="18"/>
                <w:szCs w:val="26"/>
                <w:rtl/>
              </w:rPr>
              <w:t>٧</w:t>
            </w:r>
          </w:p>
        </w:tc>
        <w:tc>
          <w:tcPr>
            <w:tcW w:w="699" w:type="dxa"/>
            <w:vAlign w:val="bottom"/>
          </w:tcPr>
          <w:p w:rsidR="002D691F" w:rsidRPr="002D691F" w:rsidRDefault="002D691F" w:rsidP="00BF2C66">
            <w:pPr>
              <w:spacing w:line="320" w:lineRule="exact"/>
              <w:rPr>
                <w:sz w:val="18"/>
                <w:szCs w:val="26"/>
              </w:rPr>
            </w:pPr>
            <w:r w:rsidRPr="002D691F">
              <w:rPr>
                <w:sz w:val="18"/>
                <w:szCs w:val="26"/>
                <w:rtl/>
              </w:rPr>
              <w:t>٢</w:t>
            </w:r>
          </w:p>
        </w:tc>
        <w:tc>
          <w:tcPr>
            <w:tcW w:w="697" w:type="dxa"/>
            <w:vAlign w:val="bottom"/>
          </w:tcPr>
          <w:p w:rsidR="002D691F" w:rsidRPr="002D691F" w:rsidRDefault="002D691F" w:rsidP="00BF2C66">
            <w:pPr>
              <w:spacing w:line="320" w:lineRule="exact"/>
              <w:rPr>
                <w:sz w:val="18"/>
                <w:szCs w:val="26"/>
              </w:rPr>
            </w:pPr>
            <w:r w:rsidRPr="002D691F">
              <w:rPr>
                <w:sz w:val="18"/>
                <w:szCs w:val="26"/>
                <w:rtl/>
              </w:rPr>
              <w:t>٣</w:t>
            </w:r>
          </w:p>
        </w:tc>
      </w:tr>
    </w:tbl>
    <w:p w:rsidR="002B79B5" w:rsidRDefault="002B79B5" w:rsidP="00484AC9">
      <w:pPr>
        <w:pStyle w:val="SingleTxtGA"/>
        <w:spacing w:before="240" w:line="360" w:lineRule="exact"/>
        <w:rPr>
          <w:rtl/>
        </w:rPr>
      </w:pPr>
      <w:r>
        <w:rPr>
          <w:rtl/>
        </w:rPr>
        <w:t>33</w:t>
      </w:r>
      <w:r w:rsidR="0079367C">
        <w:rPr>
          <w:rtl/>
        </w:rPr>
        <w:t>-</w:t>
      </w:r>
      <w:r w:rsidR="0079367C">
        <w:rPr>
          <w:rtl/>
        </w:rPr>
        <w:tab/>
      </w:r>
      <w:r>
        <w:rPr>
          <w:rtl/>
        </w:rPr>
        <w:t>وفيما يتعلق بالبيانات المصنفة حسب المناطق، تلقت الهيئة المعنية بالمساواة منذ عام</w:t>
      </w:r>
      <w:r w:rsidR="00E65A5F">
        <w:rPr>
          <w:rFonts w:hint="cs"/>
          <w:rtl/>
        </w:rPr>
        <w:t> </w:t>
      </w:r>
      <w:r w:rsidR="002D691F">
        <w:rPr>
          <w:rFonts w:hint="cs"/>
          <w:rtl/>
        </w:rPr>
        <w:t>2004</w:t>
      </w:r>
      <w:r>
        <w:rPr>
          <w:rtl/>
        </w:rPr>
        <w:t xml:space="preserve"> عدده 40 شكوى تتعلق بالتحرش الجنسي، منها:</w:t>
      </w:r>
    </w:p>
    <w:p w:rsidR="002B79B5" w:rsidRDefault="0079367C" w:rsidP="00484AC9">
      <w:pPr>
        <w:pStyle w:val="SingleTxtGA"/>
        <w:spacing w:line="360" w:lineRule="exact"/>
        <w:rPr>
          <w:rtl/>
        </w:rPr>
      </w:pPr>
      <w:r>
        <w:rPr>
          <w:rtl/>
        </w:rPr>
        <w:tab/>
        <w:t>(</w:t>
      </w:r>
      <w:r w:rsidR="002B79B5">
        <w:rPr>
          <w:rtl/>
        </w:rPr>
        <w:t>أ</w:t>
      </w:r>
      <w:r>
        <w:rPr>
          <w:rtl/>
        </w:rPr>
        <w:t>)</w:t>
      </w:r>
      <w:r>
        <w:rPr>
          <w:rtl/>
        </w:rPr>
        <w:tab/>
      </w:r>
      <w:r w:rsidR="002B79B5">
        <w:rPr>
          <w:rtl/>
        </w:rPr>
        <w:t>22 في نيقوسيا؛</w:t>
      </w:r>
    </w:p>
    <w:p w:rsidR="002B79B5" w:rsidRDefault="0079367C" w:rsidP="00484AC9">
      <w:pPr>
        <w:pStyle w:val="SingleTxtGA"/>
        <w:spacing w:line="360" w:lineRule="exact"/>
        <w:rPr>
          <w:rtl/>
        </w:rPr>
      </w:pPr>
      <w:r>
        <w:rPr>
          <w:rtl/>
        </w:rPr>
        <w:tab/>
        <w:t>(</w:t>
      </w:r>
      <w:r w:rsidR="002B79B5">
        <w:rPr>
          <w:rtl/>
        </w:rPr>
        <w:t>ب</w:t>
      </w:r>
      <w:r>
        <w:rPr>
          <w:rtl/>
        </w:rPr>
        <w:t>)</w:t>
      </w:r>
      <w:r>
        <w:rPr>
          <w:rtl/>
        </w:rPr>
        <w:tab/>
      </w:r>
      <w:r w:rsidR="002B79B5">
        <w:rPr>
          <w:rtl/>
        </w:rPr>
        <w:t xml:space="preserve">7 في </w:t>
      </w:r>
      <w:proofErr w:type="spellStart"/>
      <w:r w:rsidR="002B79B5">
        <w:rPr>
          <w:rtl/>
        </w:rPr>
        <w:t>ليماسول</w:t>
      </w:r>
      <w:proofErr w:type="spellEnd"/>
      <w:r w:rsidR="002B79B5">
        <w:rPr>
          <w:rtl/>
        </w:rPr>
        <w:t>؛</w:t>
      </w:r>
    </w:p>
    <w:p w:rsidR="002B79B5" w:rsidRDefault="0079367C" w:rsidP="00484AC9">
      <w:pPr>
        <w:pStyle w:val="SingleTxtGA"/>
        <w:spacing w:line="360" w:lineRule="exact"/>
        <w:rPr>
          <w:rtl/>
        </w:rPr>
      </w:pPr>
      <w:r>
        <w:rPr>
          <w:rtl/>
        </w:rPr>
        <w:tab/>
        <w:t>(</w:t>
      </w:r>
      <w:r w:rsidR="002B79B5">
        <w:rPr>
          <w:rtl/>
        </w:rPr>
        <w:t>ج</w:t>
      </w:r>
      <w:r>
        <w:rPr>
          <w:rtl/>
        </w:rPr>
        <w:t>)</w:t>
      </w:r>
      <w:r>
        <w:rPr>
          <w:rtl/>
        </w:rPr>
        <w:tab/>
      </w:r>
      <w:r w:rsidR="002B79B5">
        <w:rPr>
          <w:rtl/>
        </w:rPr>
        <w:t xml:space="preserve">1 في </w:t>
      </w:r>
      <w:proofErr w:type="spellStart"/>
      <w:r w:rsidR="002B79B5">
        <w:rPr>
          <w:rtl/>
        </w:rPr>
        <w:t>لارنكا</w:t>
      </w:r>
      <w:proofErr w:type="spellEnd"/>
      <w:r w:rsidR="002B79B5">
        <w:rPr>
          <w:rtl/>
        </w:rPr>
        <w:t>؛</w:t>
      </w:r>
    </w:p>
    <w:p w:rsidR="002B79B5" w:rsidRDefault="0079367C" w:rsidP="00484AC9">
      <w:pPr>
        <w:pStyle w:val="SingleTxtGA"/>
        <w:spacing w:line="360" w:lineRule="exact"/>
        <w:rPr>
          <w:rFonts w:hint="cs"/>
          <w:rtl/>
        </w:rPr>
      </w:pPr>
      <w:r>
        <w:rPr>
          <w:rtl/>
        </w:rPr>
        <w:tab/>
        <w:t>(</w:t>
      </w:r>
      <w:r w:rsidR="002B79B5">
        <w:rPr>
          <w:rtl/>
        </w:rPr>
        <w:t>د</w:t>
      </w:r>
      <w:r>
        <w:rPr>
          <w:rtl/>
        </w:rPr>
        <w:t>)</w:t>
      </w:r>
      <w:r>
        <w:rPr>
          <w:rtl/>
        </w:rPr>
        <w:tab/>
      </w:r>
      <w:r w:rsidR="000725DD">
        <w:rPr>
          <w:rtl/>
        </w:rPr>
        <w:t xml:space="preserve">9 في </w:t>
      </w:r>
      <w:proofErr w:type="spellStart"/>
      <w:r w:rsidR="000725DD">
        <w:rPr>
          <w:rtl/>
        </w:rPr>
        <w:t>بافوس</w:t>
      </w:r>
      <w:proofErr w:type="spellEnd"/>
      <w:r w:rsidR="000725DD">
        <w:rPr>
          <w:rtl/>
        </w:rPr>
        <w:t>؛</w:t>
      </w:r>
    </w:p>
    <w:p w:rsidR="002B79B5" w:rsidRDefault="0079367C" w:rsidP="00484AC9">
      <w:pPr>
        <w:pStyle w:val="SingleTxtGA"/>
        <w:spacing w:line="360" w:lineRule="exact"/>
        <w:rPr>
          <w:rFonts w:hint="cs"/>
          <w:rtl/>
        </w:rPr>
      </w:pPr>
      <w:r>
        <w:rPr>
          <w:rtl/>
        </w:rPr>
        <w:tab/>
        <w:t>(</w:t>
      </w:r>
      <w:r w:rsidR="00416995">
        <w:rPr>
          <w:rtl/>
        </w:rPr>
        <w:t>ﻫ</w:t>
      </w:r>
      <w:r>
        <w:rPr>
          <w:rtl/>
        </w:rPr>
        <w:t>)</w:t>
      </w:r>
      <w:r>
        <w:rPr>
          <w:rtl/>
        </w:rPr>
        <w:tab/>
      </w:r>
      <w:r w:rsidR="000725DD">
        <w:rPr>
          <w:rtl/>
        </w:rPr>
        <w:t xml:space="preserve">1 </w:t>
      </w:r>
      <w:proofErr w:type="spellStart"/>
      <w:r w:rsidR="000725DD">
        <w:rPr>
          <w:rtl/>
        </w:rPr>
        <w:t>فاماغوستا</w:t>
      </w:r>
      <w:proofErr w:type="spellEnd"/>
      <w:r w:rsidR="000725DD">
        <w:rPr>
          <w:rtl/>
        </w:rPr>
        <w:t>.</w:t>
      </w:r>
    </w:p>
    <w:p w:rsidR="002B79B5" w:rsidRDefault="002B79B5" w:rsidP="00484AC9">
      <w:pPr>
        <w:pStyle w:val="SingleTxtGA"/>
        <w:spacing w:line="360" w:lineRule="exact"/>
        <w:rPr>
          <w:rtl/>
        </w:rPr>
      </w:pPr>
      <w:r>
        <w:rPr>
          <w:rtl/>
        </w:rPr>
        <w:t>34</w:t>
      </w:r>
      <w:r w:rsidR="0079367C">
        <w:rPr>
          <w:rtl/>
        </w:rPr>
        <w:t>-</w:t>
      </w:r>
      <w:r w:rsidR="0079367C">
        <w:rPr>
          <w:rtl/>
        </w:rPr>
        <w:tab/>
      </w:r>
      <w:r>
        <w:rPr>
          <w:rtl/>
        </w:rPr>
        <w:t>أما نتائج الشكاوى الأربعين فهي كالتالي:</w:t>
      </w:r>
    </w:p>
    <w:p w:rsidR="002B79B5" w:rsidRDefault="0079367C" w:rsidP="00484AC9">
      <w:pPr>
        <w:pStyle w:val="SingleTxtGA"/>
        <w:spacing w:line="360" w:lineRule="exact"/>
        <w:rPr>
          <w:rtl/>
        </w:rPr>
      </w:pPr>
      <w:r>
        <w:rPr>
          <w:rtl/>
        </w:rPr>
        <w:tab/>
        <w:t>(</w:t>
      </w:r>
      <w:r w:rsidR="002B79B5">
        <w:rPr>
          <w:rtl/>
        </w:rPr>
        <w:t>أ</w:t>
      </w:r>
      <w:r>
        <w:rPr>
          <w:rtl/>
        </w:rPr>
        <w:t>)</w:t>
      </w:r>
      <w:r>
        <w:rPr>
          <w:rtl/>
        </w:rPr>
        <w:tab/>
      </w:r>
      <w:r w:rsidR="002B79B5">
        <w:rPr>
          <w:rtl/>
        </w:rPr>
        <w:t>اعتُبرت 8 منها مقبولة وشرعت الهيئة المعنية بالمساواة في وضع تقرير؛</w:t>
      </w:r>
    </w:p>
    <w:p w:rsidR="002B79B5" w:rsidRDefault="0079367C" w:rsidP="00484AC9">
      <w:pPr>
        <w:pStyle w:val="SingleTxtGA"/>
        <w:spacing w:line="360" w:lineRule="exact"/>
        <w:rPr>
          <w:rtl/>
        </w:rPr>
      </w:pPr>
      <w:r>
        <w:rPr>
          <w:rtl/>
        </w:rPr>
        <w:tab/>
        <w:t>(</w:t>
      </w:r>
      <w:r w:rsidR="002B79B5">
        <w:rPr>
          <w:rtl/>
        </w:rPr>
        <w:t>ب</w:t>
      </w:r>
      <w:r>
        <w:rPr>
          <w:rtl/>
        </w:rPr>
        <w:t>)</w:t>
      </w:r>
      <w:r>
        <w:rPr>
          <w:rtl/>
        </w:rPr>
        <w:tab/>
      </w:r>
      <w:r w:rsidR="002B79B5">
        <w:rPr>
          <w:rtl/>
        </w:rPr>
        <w:t>اعتُبرت 16 منها خارج نطاق صلاحيات الهيئة المعنية بالمساواة؛</w:t>
      </w:r>
    </w:p>
    <w:p w:rsidR="002B79B5" w:rsidRDefault="0079367C" w:rsidP="00484AC9">
      <w:pPr>
        <w:pStyle w:val="SingleTxtGA"/>
        <w:spacing w:line="360" w:lineRule="exact"/>
        <w:rPr>
          <w:rtl/>
        </w:rPr>
      </w:pPr>
      <w:r>
        <w:rPr>
          <w:rtl/>
        </w:rPr>
        <w:tab/>
        <w:t>(</w:t>
      </w:r>
      <w:r w:rsidR="002B79B5">
        <w:rPr>
          <w:rtl/>
        </w:rPr>
        <w:t>ج</w:t>
      </w:r>
      <w:r>
        <w:rPr>
          <w:rtl/>
        </w:rPr>
        <w:t>)</w:t>
      </w:r>
      <w:r>
        <w:rPr>
          <w:rtl/>
        </w:rPr>
        <w:tab/>
      </w:r>
      <w:r w:rsidR="002B79B5">
        <w:rPr>
          <w:rtl/>
        </w:rPr>
        <w:t>اعتُبرت 6 منها غير مقبولة أو سحبها مقدموها؛</w:t>
      </w:r>
    </w:p>
    <w:p w:rsidR="002B79B5" w:rsidRDefault="0079367C" w:rsidP="00484AC9">
      <w:pPr>
        <w:pStyle w:val="SingleTxtGA"/>
        <w:spacing w:line="360" w:lineRule="exact"/>
        <w:rPr>
          <w:rtl/>
        </w:rPr>
      </w:pPr>
      <w:r>
        <w:rPr>
          <w:rtl/>
        </w:rPr>
        <w:tab/>
        <w:t>(</w:t>
      </w:r>
      <w:r w:rsidR="002B79B5">
        <w:rPr>
          <w:rtl/>
        </w:rPr>
        <w:t>د</w:t>
      </w:r>
      <w:r>
        <w:rPr>
          <w:rtl/>
        </w:rPr>
        <w:t>)</w:t>
      </w:r>
      <w:r>
        <w:rPr>
          <w:rtl/>
        </w:rPr>
        <w:tab/>
      </w:r>
      <w:r w:rsidR="002B79B5">
        <w:rPr>
          <w:rtl/>
        </w:rPr>
        <w:t>اختُتمت 4 منها بنجاح بعد تدخل الهيئة المعنية بالمساواة، حيث وافق الأشخاص المقدمة ضدهم الشكوى على الامتثال لأحكام قانون مكافحة التمييز؛</w:t>
      </w:r>
    </w:p>
    <w:p w:rsidR="002B79B5" w:rsidRDefault="0079367C" w:rsidP="00484AC9">
      <w:pPr>
        <w:pStyle w:val="SingleTxtGA"/>
        <w:spacing w:line="360" w:lineRule="exact"/>
        <w:rPr>
          <w:rtl/>
        </w:rPr>
      </w:pPr>
      <w:r>
        <w:rPr>
          <w:rtl/>
        </w:rPr>
        <w:tab/>
        <w:t>(</w:t>
      </w:r>
      <w:r w:rsidR="00416995">
        <w:rPr>
          <w:rtl/>
        </w:rPr>
        <w:t>ﻫ</w:t>
      </w:r>
      <w:r>
        <w:rPr>
          <w:rtl/>
        </w:rPr>
        <w:t>)</w:t>
      </w:r>
      <w:r>
        <w:rPr>
          <w:rtl/>
        </w:rPr>
        <w:tab/>
      </w:r>
      <w:r w:rsidR="002B79B5">
        <w:rPr>
          <w:rtl/>
        </w:rPr>
        <w:t xml:space="preserve">بقيت 6 منها قيد النظر. </w:t>
      </w:r>
    </w:p>
    <w:p w:rsidR="002B79B5" w:rsidRDefault="00484AC9" w:rsidP="00484AC9">
      <w:pPr>
        <w:pStyle w:val="H1GA"/>
        <w:rPr>
          <w:rFonts w:hint="cs"/>
          <w:rtl/>
        </w:rPr>
      </w:pPr>
      <w:r>
        <w:rPr>
          <w:rFonts w:hint="cs"/>
          <w:rtl/>
        </w:rPr>
        <w:tab/>
      </w:r>
      <w:r>
        <w:rPr>
          <w:rFonts w:hint="cs"/>
          <w:rtl/>
        </w:rPr>
        <w:tab/>
      </w:r>
      <w:r>
        <w:rPr>
          <w:rtl/>
        </w:rPr>
        <w:t>الاتجار والاستغلال في البغاء</w:t>
      </w:r>
    </w:p>
    <w:p w:rsidR="002B79B5" w:rsidRDefault="00484AC9" w:rsidP="00484AC9">
      <w:pPr>
        <w:pStyle w:val="H23GA"/>
        <w:rPr>
          <w:rFonts w:hint="cs"/>
          <w:rtl/>
        </w:rPr>
      </w:pPr>
      <w:r>
        <w:rPr>
          <w:rFonts w:hint="cs"/>
          <w:rtl/>
        </w:rPr>
        <w:tab/>
      </w:r>
      <w:r>
        <w:rPr>
          <w:rFonts w:hint="cs"/>
          <w:rtl/>
        </w:rPr>
        <w:tab/>
      </w:r>
      <w:r w:rsidR="002B79B5">
        <w:rPr>
          <w:rtl/>
        </w:rPr>
        <w:t>الرد على القضايا المطروحة في ال</w:t>
      </w:r>
      <w:r>
        <w:rPr>
          <w:rtl/>
        </w:rPr>
        <w:t>فقرة 8 من قائمة القضايا</w:t>
      </w:r>
    </w:p>
    <w:p w:rsidR="002B79B5" w:rsidRPr="00484AC9" w:rsidRDefault="002B79B5" w:rsidP="002B79B5">
      <w:pPr>
        <w:pStyle w:val="SingleTxtGA"/>
        <w:rPr>
          <w:spacing w:val="-2"/>
          <w:rtl/>
        </w:rPr>
      </w:pPr>
      <w:r w:rsidRPr="00484AC9">
        <w:rPr>
          <w:spacing w:val="-2"/>
          <w:rtl/>
        </w:rPr>
        <w:t>35</w:t>
      </w:r>
      <w:r w:rsidR="0079367C" w:rsidRPr="00484AC9">
        <w:rPr>
          <w:spacing w:val="-2"/>
          <w:rtl/>
        </w:rPr>
        <w:t>-</w:t>
      </w:r>
      <w:r w:rsidR="0079367C" w:rsidRPr="00484AC9">
        <w:rPr>
          <w:spacing w:val="-2"/>
          <w:rtl/>
        </w:rPr>
        <w:tab/>
      </w:r>
      <w:r w:rsidRPr="00484AC9">
        <w:rPr>
          <w:spacing w:val="-2"/>
          <w:rtl/>
        </w:rPr>
        <w:t>تماشي</w:t>
      </w:r>
      <w:r w:rsidR="00D94BE0" w:rsidRPr="00484AC9">
        <w:rPr>
          <w:spacing w:val="-2"/>
          <w:rtl/>
        </w:rPr>
        <w:t xml:space="preserve">اً </w:t>
      </w:r>
      <w:r w:rsidRPr="00484AC9">
        <w:rPr>
          <w:spacing w:val="-2"/>
          <w:rtl/>
        </w:rPr>
        <w:t>مع خطة العمل الوطنية لمكافحة الاتجار بالبشر، نُفذ عدد من الإجراءات في الأطر الزمنية المحددة ولا يزال عدد منها قيد التنفيذ. ولكن يقدر أن بعض الإجراءات لن تكتمل بحلول نهاية عام 2012 وسيتعين إدراجها في خطة العمل الجديدة للفترة 2013-2015.</w:t>
      </w:r>
    </w:p>
    <w:p w:rsidR="002B79B5" w:rsidRDefault="002B79B5" w:rsidP="002B79B5">
      <w:pPr>
        <w:pStyle w:val="SingleTxtGA"/>
        <w:rPr>
          <w:rtl/>
        </w:rPr>
      </w:pPr>
      <w:r>
        <w:rPr>
          <w:rtl/>
        </w:rPr>
        <w:t>36</w:t>
      </w:r>
      <w:r w:rsidR="0079367C">
        <w:rPr>
          <w:rtl/>
        </w:rPr>
        <w:t>-</w:t>
      </w:r>
      <w:r w:rsidR="0079367C">
        <w:rPr>
          <w:rtl/>
        </w:rPr>
        <w:tab/>
      </w:r>
      <w:r>
        <w:rPr>
          <w:rtl/>
        </w:rPr>
        <w:t xml:space="preserve">وكمؤشر، تضمنت بعض الإجراءات المنفذة في الفترة 2010-2012 ما يلي: </w:t>
      </w:r>
    </w:p>
    <w:p w:rsidR="002B79B5" w:rsidRDefault="0079367C" w:rsidP="002B79B5">
      <w:pPr>
        <w:pStyle w:val="SingleTxtGA"/>
        <w:rPr>
          <w:rtl/>
        </w:rPr>
      </w:pPr>
      <w:r>
        <w:rPr>
          <w:rtl/>
        </w:rPr>
        <w:tab/>
        <w:t>(</w:t>
      </w:r>
      <w:r w:rsidR="002B79B5">
        <w:rPr>
          <w:rtl/>
        </w:rPr>
        <w:t>أ</w:t>
      </w:r>
      <w:r>
        <w:rPr>
          <w:rtl/>
        </w:rPr>
        <w:t>)</w:t>
      </w:r>
      <w:r>
        <w:rPr>
          <w:rtl/>
        </w:rPr>
        <w:tab/>
      </w:r>
      <w:r w:rsidR="002B79B5">
        <w:rPr>
          <w:rtl/>
        </w:rPr>
        <w:t>قيام وزارة الداخلية بإصدار وتوزيع منشورات بلغات مختلفة (الإنكليزية واليونانية والعربية والروسية والرومانية والبلغارية والإسبانية) تضم معلومات عن الاتجار بالأشخاص، والإطار التشريعي، وسبل حماية النفس، وبيانات الاتصال بالدوائر الحكومية والمنظمات غير الحكومية (2010)؛</w:t>
      </w:r>
    </w:p>
    <w:p w:rsidR="002B79B5" w:rsidRDefault="0079367C" w:rsidP="002B79B5">
      <w:pPr>
        <w:pStyle w:val="SingleTxtGA"/>
        <w:rPr>
          <w:rFonts w:hint="cs"/>
          <w:rtl/>
        </w:rPr>
      </w:pPr>
      <w:r>
        <w:rPr>
          <w:rFonts w:hint="cs"/>
          <w:rtl/>
        </w:rPr>
        <w:tab/>
      </w:r>
      <w:r w:rsidR="002B79B5">
        <w:rPr>
          <w:rtl/>
        </w:rPr>
        <w:t>(ب</w:t>
      </w:r>
      <w:r>
        <w:rPr>
          <w:rtl/>
        </w:rPr>
        <w:t>)</w:t>
      </w:r>
      <w:r>
        <w:rPr>
          <w:rtl/>
        </w:rPr>
        <w:tab/>
      </w:r>
      <w:r w:rsidR="002B79B5">
        <w:rPr>
          <w:rtl/>
        </w:rPr>
        <w:t>قيام الشرطة</w:t>
      </w:r>
      <w:r w:rsidR="00A652E6">
        <w:rPr>
          <w:rtl/>
        </w:rPr>
        <w:t xml:space="preserve"> بنشر مواد إعلامية في المطارات؛</w:t>
      </w:r>
    </w:p>
    <w:p w:rsidR="002B79B5" w:rsidRPr="00A652E6" w:rsidRDefault="0079367C" w:rsidP="002B79B5">
      <w:pPr>
        <w:pStyle w:val="SingleTxtGA"/>
        <w:rPr>
          <w:spacing w:val="-2"/>
          <w:rtl/>
        </w:rPr>
      </w:pPr>
      <w:r w:rsidRPr="00A652E6">
        <w:rPr>
          <w:spacing w:val="-2"/>
          <w:rtl/>
        </w:rPr>
        <w:tab/>
        <w:t>(</w:t>
      </w:r>
      <w:r w:rsidR="002B79B5" w:rsidRPr="00A652E6">
        <w:rPr>
          <w:spacing w:val="-2"/>
          <w:rtl/>
        </w:rPr>
        <w:t>ج</w:t>
      </w:r>
      <w:r w:rsidRPr="00A652E6">
        <w:rPr>
          <w:spacing w:val="-2"/>
          <w:rtl/>
        </w:rPr>
        <w:t>)</w:t>
      </w:r>
      <w:r w:rsidRPr="00A652E6">
        <w:rPr>
          <w:spacing w:val="-2"/>
          <w:rtl/>
        </w:rPr>
        <w:tab/>
      </w:r>
      <w:r w:rsidR="002B79B5" w:rsidRPr="00A652E6">
        <w:rPr>
          <w:spacing w:val="-2"/>
          <w:rtl/>
        </w:rPr>
        <w:t xml:space="preserve">قيام دوائر الرعاية الاجتماعية بإعداد وتوزيع منشورات إعلامية عن حقوق الضحايا المحتملين والضحايا المحددين. وتتاح المواد بلغات البلدان الأصلية للضحايا (الإنكليزية والبلغارية والإسبانية والبولندية والروسية </w:t>
      </w:r>
      <w:proofErr w:type="spellStart"/>
      <w:r w:rsidR="002B79B5" w:rsidRPr="00A652E6">
        <w:rPr>
          <w:spacing w:val="-2"/>
          <w:rtl/>
        </w:rPr>
        <w:t>واللاتفية</w:t>
      </w:r>
      <w:proofErr w:type="spellEnd"/>
      <w:r w:rsidR="002B79B5" w:rsidRPr="00A652E6">
        <w:rPr>
          <w:spacing w:val="-2"/>
          <w:rtl/>
        </w:rPr>
        <w:t xml:space="preserve"> والرومانية والصينية والأوكرانية والفرنسية)؛</w:t>
      </w:r>
    </w:p>
    <w:p w:rsidR="002B79B5" w:rsidRDefault="0079367C" w:rsidP="002B79B5">
      <w:pPr>
        <w:pStyle w:val="SingleTxtGA"/>
        <w:rPr>
          <w:rtl/>
        </w:rPr>
      </w:pPr>
      <w:r>
        <w:rPr>
          <w:rtl/>
        </w:rPr>
        <w:tab/>
        <w:t>(</w:t>
      </w:r>
      <w:r w:rsidR="002B79B5">
        <w:rPr>
          <w:rtl/>
        </w:rPr>
        <w:t>د</w:t>
      </w:r>
      <w:r>
        <w:rPr>
          <w:rtl/>
        </w:rPr>
        <w:t>)</w:t>
      </w:r>
      <w:r>
        <w:rPr>
          <w:rtl/>
        </w:rPr>
        <w:tab/>
      </w:r>
      <w:r w:rsidR="002B79B5">
        <w:rPr>
          <w:rtl/>
        </w:rPr>
        <w:t>قيام مكتب شرطة مكافحة الاتجار بإعداد دليل شامل عن التعرف على الضحايا. ويشكل الدليل أداة مفيدة لضباط الشرطة المتعاملين مع هذه المسألة؛</w:t>
      </w:r>
    </w:p>
    <w:p w:rsidR="002B79B5" w:rsidRDefault="0079367C" w:rsidP="002B79B5">
      <w:pPr>
        <w:pStyle w:val="SingleTxtGA"/>
        <w:rPr>
          <w:rtl/>
        </w:rPr>
      </w:pPr>
      <w:r>
        <w:rPr>
          <w:rtl/>
        </w:rPr>
        <w:tab/>
        <w:t>(</w:t>
      </w:r>
      <w:r w:rsidR="00416995">
        <w:rPr>
          <w:rtl/>
        </w:rPr>
        <w:t>ﻫ</w:t>
      </w:r>
      <w:r>
        <w:rPr>
          <w:rtl/>
        </w:rPr>
        <w:t>)</w:t>
      </w:r>
      <w:r>
        <w:rPr>
          <w:rtl/>
        </w:rPr>
        <w:tab/>
      </w:r>
      <w:r w:rsidR="002B79B5">
        <w:rPr>
          <w:rtl/>
        </w:rPr>
        <w:t>نشر دليل شُرطي يقدم معلومات عن إجراءات إحالة الضحايا؛</w:t>
      </w:r>
    </w:p>
    <w:p w:rsidR="002B79B5" w:rsidRPr="00A652E6" w:rsidRDefault="0079367C" w:rsidP="000725DD">
      <w:pPr>
        <w:pStyle w:val="SingleTxtGA"/>
        <w:rPr>
          <w:spacing w:val="-2"/>
          <w:rtl/>
        </w:rPr>
      </w:pPr>
      <w:r w:rsidRPr="00A652E6">
        <w:rPr>
          <w:spacing w:val="-2"/>
          <w:rtl/>
        </w:rPr>
        <w:tab/>
        <w:t>(</w:t>
      </w:r>
      <w:r w:rsidR="002B79B5" w:rsidRPr="00A652E6">
        <w:rPr>
          <w:spacing w:val="-2"/>
          <w:rtl/>
        </w:rPr>
        <w:t>و</w:t>
      </w:r>
      <w:r w:rsidRPr="00A652E6">
        <w:rPr>
          <w:spacing w:val="-2"/>
          <w:rtl/>
        </w:rPr>
        <w:t>)</w:t>
      </w:r>
      <w:r w:rsidRPr="00A652E6">
        <w:rPr>
          <w:spacing w:val="-2"/>
          <w:rtl/>
        </w:rPr>
        <w:tab/>
      </w:r>
      <w:r w:rsidR="002B79B5" w:rsidRPr="00A652E6">
        <w:rPr>
          <w:spacing w:val="-2"/>
          <w:rtl/>
        </w:rPr>
        <w:t>تنظيم حلقتين دراسيتين تدريبيتين بالتعاون مع السفارة الأمريكية في قبرص في</w:t>
      </w:r>
      <w:r w:rsidR="00A652E6">
        <w:rPr>
          <w:rFonts w:hint="cs"/>
          <w:spacing w:val="-2"/>
          <w:rtl/>
        </w:rPr>
        <w:t> </w:t>
      </w:r>
      <w:r w:rsidR="002B79B5" w:rsidRPr="00A652E6">
        <w:rPr>
          <w:spacing w:val="-2"/>
          <w:rtl/>
        </w:rPr>
        <w:t>تشرين الأول/أكتوبر 2011 (الأولى موجهة لضباط الشرطة وأعضاء النيابة العامة، والثانية</w:t>
      </w:r>
      <w:r w:rsidR="000725DD">
        <w:rPr>
          <w:rFonts w:hint="cs"/>
          <w:spacing w:val="-2"/>
          <w:rtl/>
        </w:rPr>
        <w:t> </w:t>
      </w:r>
      <w:r w:rsidR="002B79B5" w:rsidRPr="00A652E6">
        <w:rPr>
          <w:spacing w:val="-2"/>
          <w:rtl/>
        </w:rPr>
        <w:t>موجهة للقضاة بالتعاون مع المحكمة العليا في قبرص)؛</w:t>
      </w:r>
    </w:p>
    <w:p w:rsidR="002B79B5" w:rsidRDefault="0079367C" w:rsidP="002B79B5">
      <w:pPr>
        <w:pStyle w:val="SingleTxtGA"/>
        <w:rPr>
          <w:rFonts w:hint="cs"/>
          <w:rtl/>
        </w:rPr>
      </w:pPr>
      <w:r>
        <w:rPr>
          <w:rtl/>
        </w:rPr>
        <w:tab/>
        <w:t>(</w:t>
      </w:r>
      <w:r w:rsidR="002B79B5">
        <w:rPr>
          <w:rtl/>
        </w:rPr>
        <w:t>ز</w:t>
      </w:r>
      <w:r>
        <w:rPr>
          <w:rtl/>
        </w:rPr>
        <w:t>)</w:t>
      </w:r>
      <w:r>
        <w:rPr>
          <w:rtl/>
        </w:rPr>
        <w:tab/>
      </w:r>
      <w:r w:rsidR="002B79B5">
        <w:rPr>
          <w:rtl/>
        </w:rPr>
        <w:t>تنظيم مناسبة بهدف تنوير وتوعية وسائط الإعلام بشأن الاتجار بالبشر. نظم المناسبة الفريق المتعدد الاختصاصات ومكتب المفوضية الأوروبية في قبرص في تشرين الأول/أكتوبر 2011 (مع التشديد بوجه خاص على الحالة الراهنة في مجال الاتجار في قبرص وعلى دور وسائط الإعلام في مكافحة الاتجار با</w:t>
      </w:r>
      <w:r w:rsidR="00A652E6">
        <w:rPr>
          <w:rtl/>
        </w:rPr>
        <w:t>لمرأة لأغراض الاستغلال الجنسي)؛</w:t>
      </w:r>
    </w:p>
    <w:p w:rsidR="002B79B5" w:rsidRPr="00A652E6" w:rsidRDefault="0079367C" w:rsidP="002B79B5">
      <w:pPr>
        <w:pStyle w:val="SingleTxtGA"/>
        <w:rPr>
          <w:spacing w:val="-4"/>
          <w:rtl/>
        </w:rPr>
      </w:pPr>
      <w:r w:rsidRPr="00A652E6">
        <w:rPr>
          <w:spacing w:val="-4"/>
          <w:rtl/>
        </w:rPr>
        <w:tab/>
        <w:t>(</w:t>
      </w:r>
      <w:r w:rsidR="002B79B5" w:rsidRPr="00A652E6">
        <w:rPr>
          <w:spacing w:val="-4"/>
          <w:rtl/>
        </w:rPr>
        <w:t>ح</w:t>
      </w:r>
      <w:r w:rsidRPr="00A652E6">
        <w:rPr>
          <w:spacing w:val="-4"/>
          <w:rtl/>
        </w:rPr>
        <w:t>)</w:t>
      </w:r>
      <w:r w:rsidRPr="00A652E6">
        <w:rPr>
          <w:spacing w:val="-4"/>
          <w:rtl/>
        </w:rPr>
        <w:tab/>
      </w:r>
      <w:r w:rsidR="002B79B5" w:rsidRPr="00A652E6">
        <w:rPr>
          <w:spacing w:val="-4"/>
          <w:rtl/>
        </w:rPr>
        <w:t xml:space="preserve">تنظيم تدريب </w:t>
      </w:r>
      <w:proofErr w:type="spellStart"/>
      <w:r w:rsidR="002B79B5" w:rsidRPr="00A652E6">
        <w:rPr>
          <w:spacing w:val="-4"/>
          <w:rtl/>
        </w:rPr>
        <w:t>لمسؤولي</w:t>
      </w:r>
      <w:proofErr w:type="spellEnd"/>
      <w:r w:rsidR="002B79B5" w:rsidRPr="00A652E6">
        <w:rPr>
          <w:spacing w:val="-4"/>
          <w:rtl/>
        </w:rPr>
        <w:t xml:space="preserve"> الحكومة العاملين في مجال الاتجار بالبشر من خلال حلقات عمل نُظمت خصيص</w:t>
      </w:r>
      <w:r w:rsidR="00D94BE0" w:rsidRPr="00A652E6">
        <w:rPr>
          <w:spacing w:val="-4"/>
          <w:rtl/>
        </w:rPr>
        <w:t xml:space="preserve">اً </w:t>
      </w:r>
      <w:r w:rsidR="002B79B5" w:rsidRPr="00A652E6">
        <w:rPr>
          <w:spacing w:val="-4"/>
          <w:rtl/>
        </w:rPr>
        <w:t xml:space="preserve">لبلدان جنوب شرق أوروبا (اشتركت وزارة الداخلية والمركز الدولي لتطوير سياسات الهجرة في تنظيم حلقة عمل عبر وطنية عن تعزيز التعاون عبر الوطني في </w:t>
      </w:r>
      <w:r w:rsidR="002B79B5" w:rsidRPr="00A652E6">
        <w:rPr>
          <w:spacing w:val="-5"/>
          <w:rtl/>
        </w:rPr>
        <w:t>قضايا الاتجار في جنوب شرق أوروبا (</w:t>
      </w:r>
      <w:r w:rsidR="002B79B5" w:rsidRPr="00A652E6">
        <w:rPr>
          <w:spacing w:val="-5"/>
        </w:rPr>
        <w:t>TRM-II</w:t>
      </w:r>
      <w:r w:rsidR="002B79B5" w:rsidRPr="00A652E6">
        <w:rPr>
          <w:spacing w:val="-5"/>
          <w:rtl/>
        </w:rPr>
        <w:t>) في نيقوسيا، 8-9 تشرين الثاني/نوفمبر 2011)؛</w:t>
      </w:r>
    </w:p>
    <w:p w:rsidR="002B79B5" w:rsidRDefault="0079367C" w:rsidP="002B79B5">
      <w:pPr>
        <w:pStyle w:val="SingleTxtGA"/>
        <w:rPr>
          <w:rtl/>
        </w:rPr>
      </w:pPr>
      <w:r>
        <w:rPr>
          <w:rtl/>
        </w:rPr>
        <w:tab/>
        <w:t>(</w:t>
      </w:r>
      <w:r w:rsidR="002B79B5">
        <w:rPr>
          <w:rtl/>
        </w:rPr>
        <w:t>ط</w:t>
      </w:r>
      <w:r>
        <w:rPr>
          <w:rtl/>
        </w:rPr>
        <w:t>)</w:t>
      </w:r>
      <w:r>
        <w:rPr>
          <w:rtl/>
        </w:rPr>
        <w:tab/>
      </w:r>
      <w:r w:rsidR="002B79B5">
        <w:rPr>
          <w:rtl/>
        </w:rPr>
        <w:t xml:space="preserve">تنظيم برامج تدريبية لأفراد </w:t>
      </w:r>
      <w:proofErr w:type="spellStart"/>
      <w:r w:rsidR="002B79B5">
        <w:rPr>
          <w:rtl/>
        </w:rPr>
        <w:t>الخفارة</w:t>
      </w:r>
      <w:proofErr w:type="spellEnd"/>
      <w:r w:rsidR="002B79B5">
        <w:rPr>
          <w:rtl/>
        </w:rPr>
        <w:t xml:space="preserve"> المجتمعية من أجل اكتساب مهارات في التعرف على ضحايا الاتجار المحتملين وإبلاغ مكتب مكافحة الاتجار بالبشر؛</w:t>
      </w:r>
    </w:p>
    <w:p w:rsidR="002B79B5" w:rsidRDefault="0079367C" w:rsidP="00A652E6">
      <w:pPr>
        <w:pStyle w:val="SingleTxtGA"/>
        <w:rPr>
          <w:rtl/>
        </w:rPr>
      </w:pPr>
      <w:r>
        <w:rPr>
          <w:rtl/>
        </w:rPr>
        <w:tab/>
        <w:t>(</w:t>
      </w:r>
      <w:r w:rsidR="002B79B5">
        <w:rPr>
          <w:rtl/>
        </w:rPr>
        <w:t>ي</w:t>
      </w:r>
      <w:r>
        <w:rPr>
          <w:rtl/>
        </w:rPr>
        <w:t>)</w:t>
      </w:r>
      <w:r>
        <w:rPr>
          <w:rtl/>
        </w:rPr>
        <w:tab/>
      </w:r>
      <w:r w:rsidR="002B79B5">
        <w:rPr>
          <w:rtl/>
        </w:rPr>
        <w:t>تنظيم مسابقة ذات جائزة بالتعاون مع الجامعات/الكليات/المدارس (بشكل</w:t>
      </w:r>
      <w:r w:rsidR="00A652E6">
        <w:rPr>
          <w:rFonts w:hint="cs"/>
          <w:rtl/>
        </w:rPr>
        <w:t> </w:t>
      </w:r>
      <w:r w:rsidR="002B79B5">
        <w:rPr>
          <w:rtl/>
        </w:rPr>
        <w:t>مشترك بين وزارة الداخلية ووزارة التعليم والثقافة، أيلول/سبتمبر 2011 - أيار/</w:t>
      </w:r>
      <w:r w:rsidR="00A652E6">
        <w:rPr>
          <w:rFonts w:hint="cs"/>
          <w:rtl/>
        </w:rPr>
        <w:t xml:space="preserve">     </w:t>
      </w:r>
      <w:r w:rsidR="002B79B5">
        <w:rPr>
          <w:rtl/>
        </w:rPr>
        <w:t xml:space="preserve">مايو 2012) من أجل إعداد الملصقات والشعار لفريق التنسيق المتعدد الاختصاصات؛ </w:t>
      </w:r>
    </w:p>
    <w:p w:rsidR="002B79B5" w:rsidRPr="00A652E6" w:rsidRDefault="0079367C" w:rsidP="002B79B5">
      <w:pPr>
        <w:pStyle w:val="SingleTxtGA"/>
        <w:rPr>
          <w:spacing w:val="-2"/>
          <w:rtl/>
        </w:rPr>
      </w:pPr>
      <w:r w:rsidRPr="00A652E6">
        <w:rPr>
          <w:spacing w:val="-2"/>
          <w:rtl/>
        </w:rPr>
        <w:tab/>
        <w:t>(</w:t>
      </w:r>
      <w:r w:rsidR="002B79B5" w:rsidRPr="00A652E6">
        <w:rPr>
          <w:spacing w:val="-2"/>
          <w:rtl/>
        </w:rPr>
        <w:t>ك</w:t>
      </w:r>
      <w:r w:rsidRPr="00A652E6">
        <w:rPr>
          <w:spacing w:val="-2"/>
          <w:rtl/>
        </w:rPr>
        <w:t>)</w:t>
      </w:r>
      <w:r w:rsidRPr="00A652E6">
        <w:rPr>
          <w:spacing w:val="-2"/>
          <w:rtl/>
        </w:rPr>
        <w:tab/>
      </w:r>
      <w:r w:rsidR="002B79B5" w:rsidRPr="00A652E6">
        <w:rPr>
          <w:spacing w:val="-2"/>
          <w:rtl/>
        </w:rPr>
        <w:t>تنظيم حلقة دراسية للمتابعة بشأن الاتجار بالبشر للقضاة (أيار/مايو 2012). وشارك في تنظيم هذه الحلقة الدراسية وزارة الداخلية والمحكمة العليا في قبرص والسفارة الأمريكية. وشددت على أهمية الشهود الخبراء خلال إجراءات المحكمة؛</w:t>
      </w:r>
    </w:p>
    <w:p w:rsidR="002B79B5" w:rsidRDefault="0079367C" w:rsidP="002B79B5">
      <w:pPr>
        <w:pStyle w:val="SingleTxtGA"/>
        <w:rPr>
          <w:rFonts w:hint="cs"/>
          <w:rtl/>
        </w:rPr>
      </w:pPr>
      <w:r>
        <w:rPr>
          <w:rtl/>
        </w:rPr>
        <w:tab/>
        <w:t>(</w:t>
      </w:r>
      <w:r w:rsidR="002B79B5">
        <w:rPr>
          <w:rtl/>
        </w:rPr>
        <w:t>ل</w:t>
      </w:r>
      <w:r>
        <w:rPr>
          <w:rtl/>
        </w:rPr>
        <w:t>)</w:t>
      </w:r>
      <w:r>
        <w:rPr>
          <w:rtl/>
        </w:rPr>
        <w:tab/>
      </w:r>
      <w:r w:rsidR="002B79B5">
        <w:rPr>
          <w:rtl/>
        </w:rPr>
        <w:t xml:space="preserve">تنظيم حلقة دراسية تدريبية </w:t>
      </w:r>
      <w:proofErr w:type="spellStart"/>
      <w:r w:rsidR="002B79B5">
        <w:rPr>
          <w:rtl/>
        </w:rPr>
        <w:t>للمسؤولين</w:t>
      </w:r>
      <w:proofErr w:type="spellEnd"/>
      <w:r w:rsidR="002B79B5">
        <w:rPr>
          <w:rtl/>
        </w:rPr>
        <w:t xml:space="preserve"> القانونيين في النيابة العامة في 2 أيار/مايو 2012، وحلقة دراسية تدريبية عن موضوع سلوك وصدمة الضحية </w:t>
      </w:r>
      <w:proofErr w:type="spellStart"/>
      <w:r w:rsidR="002B79B5">
        <w:rPr>
          <w:rtl/>
        </w:rPr>
        <w:t>لمسؤولي</w:t>
      </w:r>
      <w:proofErr w:type="spellEnd"/>
      <w:r w:rsidR="002B79B5">
        <w:rPr>
          <w:rtl/>
        </w:rPr>
        <w:t xml:space="preserve"> الرعاية </w:t>
      </w:r>
      <w:r w:rsidR="00A652E6">
        <w:rPr>
          <w:rtl/>
        </w:rPr>
        <w:t>الاجتماعية في 3 أيار/مايو 2012؛</w:t>
      </w:r>
    </w:p>
    <w:p w:rsidR="002B79B5" w:rsidRDefault="0079367C" w:rsidP="002B79B5">
      <w:pPr>
        <w:pStyle w:val="SingleTxtGA"/>
        <w:rPr>
          <w:rFonts w:hint="cs"/>
          <w:rtl/>
        </w:rPr>
      </w:pPr>
      <w:r>
        <w:rPr>
          <w:rtl/>
        </w:rPr>
        <w:tab/>
        <w:t>(</w:t>
      </w:r>
      <w:r w:rsidR="002B79B5">
        <w:rPr>
          <w:rtl/>
        </w:rPr>
        <w:t>م</w:t>
      </w:r>
      <w:r>
        <w:rPr>
          <w:rtl/>
        </w:rPr>
        <w:t>)</w:t>
      </w:r>
      <w:r>
        <w:rPr>
          <w:rtl/>
        </w:rPr>
        <w:tab/>
      </w:r>
      <w:r w:rsidR="002B79B5">
        <w:rPr>
          <w:rtl/>
        </w:rPr>
        <w:t>مشاركة الشرطة القبرصية في المؤتمرات والحلقات الدراسية والمحاضرات في مجال مكافحة الاتجار بالبشر (على الصعيدين الدولي والوطني) والتعاون مع المنظمات الدولية (مثل المنظمة الدولية للشرطة الجنائية (</w:t>
      </w:r>
      <w:proofErr w:type="spellStart"/>
      <w:r w:rsidR="002B79B5">
        <w:rPr>
          <w:rtl/>
        </w:rPr>
        <w:t>الإنتربول</w:t>
      </w:r>
      <w:proofErr w:type="spellEnd"/>
      <w:r w:rsidR="002B79B5">
        <w:rPr>
          <w:rtl/>
        </w:rPr>
        <w:t>) ومكتب الشرطة الأوروبي (</w:t>
      </w:r>
      <w:proofErr w:type="spellStart"/>
      <w:r w:rsidR="002B79B5">
        <w:rPr>
          <w:rtl/>
        </w:rPr>
        <w:t>يوروبول</w:t>
      </w:r>
      <w:proofErr w:type="spellEnd"/>
      <w:r w:rsidR="002B79B5">
        <w:rPr>
          <w:rtl/>
        </w:rPr>
        <w:t>)) والمشاركة في خطة العمل التنفيذية بشأن الاتجار بالبشر (</w:t>
      </w:r>
      <w:r w:rsidR="002B79B5">
        <w:t>EMPACT</w:t>
      </w:r>
      <w:r w:rsidR="00A652E6">
        <w:rPr>
          <w:rtl/>
        </w:rPr>
        <w:t>).</w:t>
      </w:r>
    </w:p>
    <w:p w:rsidR="002B79B5" w:rsidRPr="00A652E6" w:rsidRDefault="002B79B5" w:rsidP="00A652E6">
      <w:pPr>
        <w:pStyle w:val="SingleTxtGA"/>
        <w:rPr>
          <w:spacing w:val="-2"/>
          <w:rtl/>
        </w:rPr>
      </w:pPr>
      <w:r w:rsidRPr="00A652E6">
        <w:rPr>
          <w:spacing w:val="-2"/>
          <w:rtl/>
        </w:rPr>
        <w:t>37</w:t>
      </w:r>
      <w:r w:rsidR="0079367C" w:rsidRPr="00A652E6">
        <w:rPr>
          <w:spacing w:val="-2"/>
          <w:rtl/>
        </w:rPr>
        <w:t>-</w:t>
      </w:r>
      <w:r w:rsidR="0079367C" w:rsidRPr="00A652E6">
        <w:rPr>
          <w:spacing w:val="-2"/>
          <w:rtl/>
        </w:rPr>
        <w:tab/>
      </w:r>
      <w:r w:rsidRPr="00A652E6">
        <w:rPr>
          <w:spacing w:val="-2"/>
          <w:rtl/>
        </w:rPr>
        <w:t>وفضل</w:t>
      </w:r>
      <w:r w:rsidR="00D94BE0" w:rsidRPr="00A652E6">
        <w:rPr>
          <w:spacing w:val="-2"/>
          <w:rtl/>
        </w:rPr>
        <w:t xml:space="preserve">اً </w:t>
      </w:r>
      <w:r w:rsidRPr="00A652E6">
        <w:rPr>
          <w:spacing w:val="-2"/>
          <w:rtl/>
        </w:rPr>
        <w:t>عن ذلك، وفي إطار التعاون عبر الوطني، تستفيد قبرص وبولندا من مشروع مدته 12 شهر</w:t>
      </w:r>
      <w:r w:rsidR="00D94BE0" w:rsidRPr="00A652E6">
        <w:rPr>
          <w:spacing w:val="-2"/>
          <w:rtl/>
        </w:rPr>
        <w:t xml:space="preserve">اً </w:t>
      </w:r>
      <w:r w:rsidRPr="00A652E6">
        <w:rPr>
          <w:spacing w:val="-2"/>
          <w:rtl/>
        </w:rPr>
        <w:t xml:space="preserve">بعنوان "تطبيق قضية </w:t>
      </w:r>
      <w:proofErr w:type="spellStart"/>
      <w:r w:rsidRPr="00A652E6">
        <w:rPr>
          <w:spacing w:val="-2"/>
          <w:rtl/>
        </w:rPr>
        <w:t>رانتسيف</w:t>
      </w:r>
      <w:proofErr w:type="spellEnd"/>
      <w:r w:rsidRPr="00A652E6">
        <w:rPr>
          <w:spacing w:val="-2"/>
          <w:rtl/>
        </w:rPr>
        <w:t xml:space="preserve"> - تعزيز التعاون التنفيذي المتعدد الاختصاصات لمكافحة الاتجار بالبشر"، وهو مشروع اقترحته هولندا ووافق الاتحاد الأوروبي على تمويله بمنحة في نيسان/أبريل 2012. وقد بدأت بالفعل المرحلة الأولى من المشروع. وتتمثل الأهداف الرئيسية من المشروع</w:t>
      </w:r>
      <w:r w:rsidR="00E840A2" w:rsidRPr="00A652E6">
        <w:rPr>
          <w:spacing w:val="-2"/>
          <w:rtl/>
        </w:rPr>
        <w:t xml:space="preserve"> فيما </w:t>
      </w:r>
      <w:r w:rsidRPr="00A652E6">
        <w:rPr>
          <w:spacing w:val="-2"/>
          <w:rtl/>
        </w:rPr>
        <w:t>يلي: حفز تنفيذ التزامات الدول الأعضاء على النحو المحدد في حكم</w:t>
      </w:r>
      <w:r w:rsidR="00A652E6">
        <w:rPr>
          <w:rFonts w:hint="cs"/>
          <w:spacing w:val="-2"/>
          <w:rtl/>
        </w:rPr>
        <w:t> </w:t>
      </w:r>
      <w:r w:rsidRPr="00A652E6">
        <w:rPr>
          <w:spacing w:val="-2"/>
          <w:rtl/>
        </w:rPr>
        <w:t xml:space="preserve">قضية </w:t>
      </w:r>
      <w:proofErr w:type="spellStart"/>
      <w:r w:rsidRPr="00A652E6">
        <w:rPr>
          <w:spacing w:val="-2"/>
          <w:rtl/>
        </w:rPr>
        <w:t>رانتسيف</w:t>
      </w:r>
      <w:proofErr w:type="spellEnd"/>
      <w:r w:rsidRPr="00A652E6">
        <w:rPr>
          <w:spacing w:val="-2"/>
          <w:rtl/>
        </w:rPr>
        <w:t xml:space="preserve">، وتطوير التعاون التنفيذي المتعدد الاختصاصات عبر الحدود وتعزيزه. </w:t>
      </w:r>
    </w:p>
    <w:p w:rsidR="002B79B5" w:rsidRDefault="002B79B5" w:rsidP="002B79B5">
      <w:pPr>
        <w:pStyle w:val="SingleTxtGA"/>
        <w:rPr>
          <w:rtl/>
        </w:rPr>
      </w:pPr>
      <w:r>
        <w:rPr>
          <w:rtl/>
        </w:rPr>
        <w:t>38</w:t>
      </w:r>
      <w:r w:rsidR="0079367C">
        <w:rPr>
          <w:rtl/>
        </w:rPr>
        <w:t>-</w:t>
      </w:r>
      <w:r w:rsidR="0079367C">
        <w:rPr>
          <w:rtl/>
        </w:rPr>
        <w:tab/>
      </w:r>
      <w:r>
        <w:rPr>
          <w:rtl/>
        </w:rPr>
        <w:t>وقبرص من المستفيدين أيض</w:t>
      </w:r>
      <w:r w:rsidR="00D94BE0">
        <w:rPr>
          <w:rtl/>
        </w:rPr>
        <w:t xml:space="preserve">اً </w:t>
      </w:r>
      <w:r>
        <w:rPr>
          <w:rtl/>
        </w:rPr>
        <w:t>من المشروع المعنون: "نحو نظام أوروبي جامع لرصد الاتجار بالبشر"، الذي اقترحته البرتغال ووافق الاتحاد الأوروبي على تمويله بمنحة في نيسان/أبريل 2012. ويمتثل الهدف الرئيسي من المشروع في تزويد البلدان المشاركة بنظام رصد فعال للاتجار بالبشر في إطار أفضل الممارسات المتعلقة بمواءمة إجراءات جمع المعلومات ومعالجتها وتحليلها وتبادلها.</w:t>
      </w:r>
    </w:p>
    <w:p w:rsidR="002B79B5" w:rsidRDefault="00A652E6" w:rsidP="00A652E6">
      <w:pPr>
        <w:pStyle w:val="H23GA"/>
        <w:rPr>
          <w:rtl/>
        </w:rPr>
      </w:pPr>
      <w:r>
        <w:rPr>
          <w:rFonts w:hint="cs"/>
          <w:rtl/>
        </w:rPr>
        <w:tab/>
      </w:r>
      <w:r>
        <w:rPr>
          <w:rFonts w:hint="cs"/>
          <w:rtl/>
        </w:rPr>
        <w:tab/>
      </w:r>
      <w:r w:rsidR="002B79B5">
        <w:rPr>
          <w:rtl/>
        </w:rPr>
        <w:t>آلية الإحالة الوطنية</w:t>
      </w:r>
    </w:p>
    <w:p w:rsidR="002B79B5" w:rsidRDefault="002B79B5" w:rsidP="002B79B5">
      <w:pPr>
        <w:pStyle w:val="SingleTxtGA"/>
        <w:rPr>
          <w:rtl/>
        </w:rPr>
      </w:pPr>
      <w:r>
        <w:rPr>
          <w:rtl/>
        </w:rPr>
        <w:t>39</w:t>
      </w:r>
      <w:r w:rsidR="0079367C">
        <w:rPr>
          <w:rtl/>
        </w:rPr>
        <w:t>-</w:t>
      </w:r>
      <w:r w:rsidR="0079367C">
        <w:rPr>
          <w:rtl/>
        </w:rPr>
        <w:tab/>
      </w:r>
      <w:r>
        <w:rPr>
          <w:rtl/>
        </w:rPr>
        <w:t>في الحالات التي ينتاب فيها أي منظمة حكومية أو غير حكومية شك معقول في أن شخص</w:t>
      </w:r>
      <w:r w:rsidR="00D94BE0">
        <w:rPr>
          <w:rtl/>
        </w:rPr>
        <w:t xml:space="preserve">اً </w:t>
      </w:r>
      <w:r>
        <w:rPr>
          <w:rtl/>
        </w:rPr>
        <w:t xml:space="preserve">ما قد يكون ضحية أو ضحية محتملة للاتجار، يكون عليها التزام بإحالة هذا الشخص إلى دوائر الرعاية الاجتماعية. </w:t>
      </w:r>
    </w:p>
    <w:p w:rsidR="002B79B5" w:rsidRDefault="002B79B5" w:rsidP="002B79B5">
      <w:pPr>
        <w:pStyle w:val="SingleTxtGA"/>
        <w:rPr>
          <w:rtl/>
        </w:rPr>
      </w:pPr>
      <w:r>
        <w:rPr>
          <w:rtl/>
        </w:rPr>
        <w:t>40</w:t>
      </w:r>
      <w:r w:rsidR="0079367C">
        <w:rPr>
          <w:rtl/>
        </w:rPr>
        <w:t>-</w:t>
      </w:r>
      <w:r w:rsidR="0079367C">
        <w:rPr>
          <w:rtl/>
        </w:rPr>
        <w:tab/>
      </w:r>
      <w:r>
        <w:rPr>
          <w:rtl/>
        </w:rPr>
        <w:t>وتزود دوائر الرعاية الاجتماعية الضحايا بالمعلومات عن حقوقهم وعن الخدمات المتاحة، بلغة يفهمونها، من أجل حماية مصالحهم كضحايا. ويجوز أن تقدم هذه المعلومات كتابة، عند الإمكان، وتشمل على الأقل ما يلي:</w:t>
      </w:r>
    </w:p>
    <w:p w:rsidR="002B79B5" w:rsidRDefault="0079367C" w:rsidP="002B79B5">
      <w:pPr>
        <w:pStyle w:val="SingleTxtGA"/>
        <w:rPr>
          <w:rtl/>
        </w:rPr>
      </w:pPr>
      <w:r>
        <w:rPr>
          <w:rtl/>
        </w:rPr>
        <w:tab/>
        <w:t>(</w:t>
      </w:r>
      <w:r w:rsidR="002B79B5">
        <w:rPr>
          <w:rtl/>
        </w:rPr>
        <w:t>أ</w:t>
      </w:r>
      <w:r>
        <w:rPr>
          <w:rtl/>
        </w:rPr>
        <w:t>)</w:t>
      </w:r>
      <w:r>
        <w:rPr>
          <w:rtl/>
        </w:rPr>
        <w:tab/>
      </w:r>
      <w:r w:rsidR="002B79B5">
        <w:rPr>
          <w:rtl/>
        </w:rPr>
        <w:t>اسم الدوائر الحكومية أو المنظمات غير الحكومية التي يمكنهم اللجوء إليها للحصول على الدعم؛</w:t>
      </w:r>
    </w:p>
    <w:p w:rsidR="002B79B5" w:rsidRDefault="0079367C" w:rsidP="002B79B5">
      <w:pPr>
        <w:pStyle w:val="SingleTxtGA"/>
        <w:rPr>
          <w:rtl/>
        </w:rPr>
      </w:pPr>
      <w:r>
        <w:rPr>
          <w:rtl/>
        </w:rPr>
        <w:tab/>
        <w:t>(</w:t>
      </w:r>
      <w:r w:rsidR="002B79B5">
        <w:rPr>
          <w:rtl/>
        </w:rPr>
        <w:t>ب</w:t>
      </w:r>
      <w:r>
        <w:rPr>
          <w:rtl/>
        </w:rPr>
        <w:t>)</w:t>
      </w:r>
      <w:r>
        <w:rPr>
          <w:rtl/>
        </w:rPr>
        <w:tab/>
      </w:r>
      <w:r w:rsidR="002B79B5">
        <w:rPr>
          <w:rtl/>
        </w:rPr>
        <w:t>نوع الدعم الذي يحق لهم الحصول عليه؛</w:t>
      </w:r>
    </w:p>
    <w:p w:rsidR="002B79B5" w:rsidRDefault="0079367C" w:rsidP="002B79B5">
      <w:pPr>
        <w:pStyle w:val="SingleTxtGA"/>
        <w:rPr>
          <w:rtl/>
        </w:rPr>
      </w:pPr>
      <w:r>
        <w:rPr>
          <w:rtl/>
        </w:rPr>
        <w:tab/>
        <w:t>(</w:t>
      </w:r>
      <w:r w:rsidR="002B79B5">
        <w:rPr>
          <w:rtl/>
        </w:rPr>
        <w:t>ج</w:t>
      </w:r>
      <w:r>
        <w:rPr>
          <w:rtl/>
        </w:rPr>
        <w:t>)</w:t>
      </w:r>
      <w:r>
        <w:rPr>
          <w:rtl/>
        </w:rPr>
        <w:tab/>
      </w:r>
      <w:r w:rsidR="002B79B5">
        <w:rPr>
          <w:rtl/>
        </w:rPr>
        <w:t>الإجراء المتعلق بتقديم شكواهم إلى سلطات الادعاء، وإجراء المحاكمة في هذه القضايا، ودورهم</w:t>
      </w:r>
      <w:r w:rsidR="00E840A2">
        <w:rPr>
          <w:rtl/>
        </w:rPr>
        <w:t xml:space="preserve"> فيما </w:t>
      </w:r>
      <w:r w:rsidR="002B79B5">
        <w:rPr>
          <w:rtl/>
        </w:rPr>
        <w:t>يتصل بتلك الإجراءات؛</w:t>
      </w:r>
    </w:p>
    <w:p w:rsidR="002B79B5" w:rsidRDefault="0079367C" w:rsidP="002B79B5">
      <w:pPr>
        <w:pStyle w:val="SingleTxtGA"/>
        <w:rPr>
          <w:rFonts w:hint="cs"/>
          <w:rtl/>
        </w:rPr>
      </w:pPr>
      <w:r>
        <w:rPr>
          <w:rtl/>
        </w:rPr>
        <w:tab/>
        <w:t>(</w:t>
      </w:r>
      <w:r w:rsidR="002B79B5">
        <w:rPr>
          <w:rtl/>
        </w:rPr>
        <w:t>د</w:t>
      </w:r>
      <w:r>
        <w:rPr>
          <w:rtl/>
        </w:rPr>
        <w:t>)</w:t>
      </w:r>
      <w:r>
        <w:rPr>
          <w:rtl/>
        </w:rPr>
        <w:tab/>
      </w:r>
      <w:r w:rsidR="002B79B5">
        <w:rPr>
          <w:rtl/>
        </w:rPr>
        <w:t>الشروط والإجراءات التي يمكنهم على</w:t>
      </w:r>
      <w:r w:rsidR="00AF3CC4">
        <w:rPr>
          <w:rtl/>
        </w:rPr>
        <w:t xml:space="preserve"> أساسها التمتع بالأمن والحماية؛</w:t>
      </w:r>
    </w:p>
    <w:p w:rsidR="002B79B5" w:rsidRDefault="0079367C" w:rsidP="002B79B5">
      <w:pPr>
        <w:pStyle w:val="SingleTxtGA"/>
        <w:rPr>
          <w:rFonts w:hint="cs"/>
          <w:rtl/>
        </w:rPr>
      </w:pPr>
      <w:r>
        <w:rPr>
          <w:rtl/>
        </w:rPr>
        <w:tab/>
        <w:t>(</w:t>
      </w:r>
      <w:r w:rsidR="00416995">
        <w:rPr>
          <w:rtl/>
        </w:rPr>
        <w:t>ﻫ</w:t>
      </w:r>
      <w:r>
        <w:rPr>
          <w:rtl/>
        </w:rPr>
        <w:t>)</w:t>
      </w:r>
      <w:r>
        <w:rPr>
          <w:rtl/>
        </w:rPr>
        <w:tab/>
      </w:r>
      <w:r w:rsidR="002B79B5">
        <w:rPr>
          <w:rtl/>
        </w:rPr>
        <w:t>مدى تزويدهم بالمشورة القانونية و/أو المساعدة القانونية والشروط التي يُس</w:t>
      </w:r>
      <w:r w:rsidR="00AF3CC4">
        <w:rPr>
          <w:rtl/>
        </w:rPr>
        <w:t>تند إليها في ذلك؛</w:t>
      </w:r>
    </w:p>
    <w:p w:rsidR="002B79B5" w:rsidRDefault="0079367C" w:rsidP="002B79B5">
      <w:pPr>
        <w:pStyle w:val="SingleTxtGA"/>
        <w:rPr>
          <w:rtl/>
        </w:rPr>
      </w:pPr>
      <w:r>
        <w:rPr>
          <w:rtl/>
        </w:rPr>
        <w:tab/>
        <w:t>(</w:t>
      </w:r>
      <w:r w:rsidR="002B79B5">
        <w:rPr>
          <w:rtl/>
        </w:rPr>
        <w:t>و</w:t>
      </w:r>
      <w:r>
        <w:rPr>
          <w:rtl/>
        </w:rPr>
        <w:t>)</w:t>
      </w:r>
      <w:r>
        <w:rPr>
          <w:rtl/>
        </w:rPr>
        <w:tab/>
      </w:r>
      <w:r w:rsidR="002B79B5">
        <w:rPr>
          <w:rtl/>
        </w:rPr>
        <w:t>الشروط التي يُستند إليها في استحقاقهم للتعويض؛</w:t>
      </w:r>
    </w:p>
    <w:p w:rsidR="002B79B5" w:rsidRDefault="0079367C" w:rsidP="00AF3CC4">
      <w:pPr>
        <w:pStyle w:val="SingleTxtGA"/>
        <w:rPr>
          <w:rtl/>
        </w:rPr>
      </w:pPr>
      <w:r>
        <w:rPr>
          <w:rtl/>
        </w:rPr>
        <w:tab/>
        <w:t>(</w:t>
      </w:r>
      <w:r w:rsidR="002B79B5">
        <w:rPr>
          <w:rtl/>
        </w:rPr>
        <w:t>ز</w:t>
      </w:r>
      <w:r>
        <w:rPr>
          <w:rtl/>
        </w:rPr>
        <w:t>)</w:t>
      </w:r>
      <w:r>
        <w:rPr>
          <w:rtl/>
        </w:rPr>
        <w:tab/>
      </w:r>
      <w:r w:rsidR="002B79B5">
        <w:rPr>
          <w:rtl/>
        </w:rPr>
        <w:t>الآليات المتاحة لهم للدفاع عن مصالحهم في حالة إقامتهم في دولة أخرى أو</w:t>
      </w:r>
      <w:r w:rsidR="00AF3CC4">
        <w:rPr>
          <w:rFonts w:hint="cs"/>
          <w:rtl/>
        </w:rPr>
        <w:t> </w:t>
      </w:r>
      <w:r w:rsidR="002B79B5">
        <w:rPr>
          <w:rtl/>
        </w:rPr>
        <w:t>في حالة إعادتهم إلى أوطانهم.</w:t>
      </w:r>
    </w:p>
    <w:p w:rsidR="002B79B5" w:rsidRDefault="002B79B5" w:rsidP="002B79B5">
      <w:pPr>
        <w:pStyle w:val="SingleTxtGA"/>
        <w:rPr>
          <w:rFonts w:hint="cs"/>
          <w:rtl/>
        </w:rPr>
      </w:pPr>
      <w:r>
        <w:rPr>
          <w:rtl/>
        </w:rPr>
        <w:t>41</w:t>
      </w:r>
      <w:r w:rsidR="0079367C">
        <w:rPr>
          <w:rtl/>
        </w:rPr>
        <w:t>-</w:t>
      </w:r>
      <w:r w:rsidR="0079367C">
        <w:rPr>
          <w:rtl/>
        </w:rPr>
        <w:tab/>
      </w:r>
      <w:r>
        <w:rPr>
          <w:rtl/>
        </w:rPr>
        <w:t>وفور إطلاع الضحية المحتملة على المعلومات، تحال قضيتها مباشرة إلى الشرطة التي تمثل السلطة المختصة في تحديد الضحية والتعرف على هويتها. وتستجوب الشرطة الشخص المعني وتجري التحقيق على النحو الواجب للتأكد من أن الشخص ضحية للاتجار. وتعتبر الشرطة مسألة الاستجواب والتعامل مع الضحايا المحتملين بالغة الأهمية لتجنب وقوعهم ضحايا مرة أخرى ولحمايتهم كذلك. وتُجرى الاستجوابات في غرف منفصلة دون تدخل أو إزعاج. وتراعي الشرطة بمنتهى الجدية مس</w:t>
      </w:r>
      <w:r w:rsidR="00AF3CC4">
        <w:rPr>
          <w:rtl/>
        </w:rPr>
        <w:t>ألة السرية وحماية هوية الضحايا.</w:t>
      </w:r>
    </w:p>
    <w:p w:rsidR="002B79B5" w:rsidRDefault="002B79B5" w:rsidP="002B79B5">
      <w:pPr>
        <w:pStyle w:val="SingleTxtGA"/>
        <w:rPr>
          <w:rtl/>
        </w:rPr>
      </w:pPr>
      <w:r>
        <w:rPr>
          <w:rtl/>
        </w:rPr>
        <w:t>42</w:t>
      </w:r>
      <w:r w:rsidR="0079367C">
        <w:rPr>
          <w:rtl/>
        </w:rPr>
        <w:t>-</w:t>
      </w:r>
      <w:r w:rsidR="0079367C">
        <w:rPr>
          <w:rtl/>
        </w:rPr>
        <w:tab/>
      </w:r>
      <w:r>
        <w:rPr>
          <w:rtl/>
        </w:rPr>
        <w:t>ومن ثم تُمنح ضحية الاتجار المتعرف عليها شهر</w:t>
      </w:r>
      <w:r w:rsidR="00D94BE0">
        <w:rPr>
          <w:rtl/>
        </w:rPr>
        <w:t xml:space="preserve">اً </w:t>
      </w:r>
      <w:r>
        <w:rPr>
          <w:rtl/>
        </w:rPr>
        <w:t xml:space="preserve">على الأقل كفترة تفكير من أجل السماح للشخص بالتعافي من تأثير الجاني حتى يتسنى له اتخاذ قرار، بمعرفة كاملة بحقوقه، بشأن ما إذا كان يرغب في التعاون مع سلطات الادعاء في التحقيق في الجريمة أو في الإجراءات القضائية. </w:t>
      </w:r>
    </w:p>
    <w:p w:rsidR="002B79B5" w:rsidRPr="00A652E6" w:rsidRDefault="002B79B5" w:rsidP="002B79B5">
      <w:pPr>
        <w:pStyle w:val="SingleTxtGA"/>
        <w:rPr>
          <w:spacing w:val="-2"/>
          <w:rtl/>
        </w:rPr>
      </w:pPr>
      <w:r w:rsidRPr="00A652E6">
        <w:rPr>
          <w:spacing w:val="-2"/>
          <w:rtl/>
        </w:rPr>
        <w:t>43</w:t>
      </w:r>
      <w:r w:rsidR="0079367C" w:rsidRPr="00A652E6">
        <w:rPr>
          <w:spacing w:val="-2"/>
          <w:rtl/>
        </w:rPr>
        <w:t>-</w:t>
      </w:r>
      <w:r w:rsidR="0079367C" w:rsidRPr="00A652E6">
        <w:rPr>
          <w:spacing w:val="-2"/>
          <w:rtl/>
        </w:rPr>
        <w:tab/>
      </w:r>
      <w:r w:rsidRPr="00A652E6">
        <w:rPr>
          <w:spacing w:val="-2"/>
          <w:rtl/>
        </w:rPr>
        <w:t>وخلال فترة التفكير، فإن أي شخص يتم تحديده كضحية، بصرف النظر عن جنسيته، يرغب في التعاون مع السلطات المختصة له الحق في الحصول على ما يلي:</w:t>
      </w:r>
    </w:p>
    <w:p w:rsidR="002B79B5" w:rsidRDefault="0079367C" w:rsidP="002B79B5">
      <w:pPr>
        <w:pStyle w:val="SingleTxtGA"/>
        <w:rPr>
          <w:rFonts w:hint="cs"/>
          <w:rtl/>
        </w:rPr>
      </w:pPr>
      <w:r>
        <w:rPr>
          <w:rtl/>
        </w:rPr>
        <w:tab/>
        <w:t>(</w:t>
      </w:r>
      <w:r w:rsidR="002B79B5">
        <w:rPr>
          <w:rtl/>
        </w:rPr>
        <w:t>أ</w:t>
      </w:r>
      <w:r>
        <w:rPr>
          <w:rtl/>
        </w:rPr>
        <w:t>)</w:t>
      </w:r>
      <w:r>
        <w:rPr>
          <w:rtl/>
        </w:rPr>
        <w:tab/>
      </w:r>
      <w:r w:rsidR="002B79B5">
        <w:rPr>
          <w:rtl/>
        </w:rPr>
        <w:t>الم</w:t>
      </w:r>
      <w:r w:rsidR="00A652E6">
        <w:rPr>
          <w:rtl/>
        </w:rPr>
        <w:t>علومات على النحو المذكور أعلاه؛</w:t>
      </w:r>
    </w:p>
    <w:p w:rsidR="002B79B5" w:rsidRDefault="0079367C" w:rsidP="002B79B5">
      <w:pPr>
        <w:pStyle w:val="SingleTxtGA"/>
        <w:rPr>
          <w:rtl/>
        </w:rPr>
      </w:pPr>
      <w:r>
        <w:rPr>
          <w:rtl/>
        </w:rPr>
        <w:tab/>
        <w:t>(</w:t>
      </w:r>
      <w:r w:rsidR="002B79B5">
        <w:rPr>
          <w:rtl/>
        </w:rPr>
        <w:t>ب</w:t>
      </w:r>
      <w:r>
        <w:rPr>
          <w:rtl/>
        </w:rPr>
        <w:t>)</w:t>
      </w:r>
      <w:r>
        <w:rPr>
          <w:rtl/>
        </w:rPr>
        <w:tab/>
      </w:r>
      <w:r w:rsidR="002B79B5">
        <w:rPr>
          <w:rtl/>
        </w:rPr>
        <w:t>المساعدة العامة، إن لم يكن لدى الضحية موارد كافية، وفق</w:t>
      </w:r>
      <w:r w:rsidR="00D94BE0">
        <w:rPr>
          <w:rtl/>
        </w:rPr>
        <w:t xml:space="preserve">اً </w:t>
      </w:r>
      <w:r w:rsidR="002B79B5">
        <w:rPr>
          <w:rtl/>
        </w:rPr>
        <w:t>لأحاكم قانون المساعدة العامة والخدمات العامة؛</w:t>
      </w:r>
    </w:p>
    <w:p w:rsidR="002B79B5" w:rsidRDefault="0079367C" w:rsidP="002B79B5">
      <w:pPr>
        <w:pStyle w:val="SingleTxtGA"/>
        <w:rPr>
          <w:rFonts w:hint="cs"/>
          <w:rtl/>
        </w:rPr>
      </w:pPr>
      <w:r>
        <w:rPr>
          <w:rtl/>
        </w:rPr>
        <w:tab/>
        <w:t>(</w:t>
      </w:r>
      <w:r w:rsidR="002B79B5">
        <w:rPr>
          <w:rtl/>
        </w:rPr>
        <w:t>ج</w:t>
      </w:r>
      <w:r>
        <w:rPr>
          <w:rtl/>
        </w:rPr>
        <w:t>)</w:t>
      </w:r>
      <w:r>
        <w:rPr>
          <w:rtl/>
        </w:rPr>
        <w:tab/>
      </w:r>
      <w:r w:rsidR="002B79B5">
        <w:rPr>
          <w:rtl/>
        </w:rPr>
        <w:t>العلاج الطبي في حالات الطوارئ وغير ذلك من علاج طبي مجاني من وزارة الصحة، إن</w:t>
      </w:r>
      <w:r w:rsidR="00A652E6">
        <w:rPr>
          <w:rtl/>
        </w:rPr>
        <w:t xml:space="preserve"> لم يكن لدى الضحية موارد كافية؛</w:t>
      </w:r>
    </w:p>
    <w:p w:rsidR="002B79B5" w:rsidRDefault="0079367C" w:rsidP="002B79B5">
      <w:pPr>
        <w:pStyle w:val="SingleTxtGA"/>
        <w:rPr>
          <w:rtl/>
        </w:rPr>
      </w:pPr>
      <w:r>
        <w:rPr>
          <w:rtl/>
        </w:rPr>
        <w:tab/>
        <w:t>(</w:t>
      </w:r>
      <w:r w:rsidR="002B79B5">
        <w:rPr>
          <w:rtl/>
        </w:rPr>
        <w:t>د</w:t>
      </w:r>
      <w:r>
        <w:rPr>
          <w:rtl/>
        </w:rPr>
        <w:t>)</w:t>
      </w:r>
      <w:r>
        <w:rPr>
          <w:rtl/>
        </w:rPr>
        <w:tab/>
      </w:r>
      <w:r w:rsidR="002B79B5">
        <w:rPr>
          <w:rtl/>
        </w:rPr>
        <w:t>العلاج والدعم النفسي من وزارة الصحة؛</w:t>
      </w:r>
    </w:p>
    <w:p w:rsidR="002B79B5" w:rsidRDefault="0079367C" w:rsidP="002B79B5">
      <w:pPr>
        <w:pStyle w:val="SingleTxtGA"/>
        <w:rPr>
          <w:rtl/>
        </w:rPr>
      </w:pPr>
      <w:r>
        <w:rPr>
          <w:rtl/>
        </w:rPr>
        <w:tab/>
        <w:t>(</w:t>
      </w:r>
      <w:r w:rsidR="00416995">
        <w:rPr>
          <w:rtl/>
        </w:rPr>
        <w:t>ﻫ</w:t>
      </w:r>
      <w:r>
        <w:rPr>
          <w:rtl/>
        </w:rPr>
        <w:t>)</w:t>
      </w:r>
      <w:r>
        <w:rPr>
          <w:rtl/>
        </w:rPr>
        <w:tab/>
      </w:r>
      <w:r w:rsidR="002B79B5">
        <w:rPr>
          <w:rtl/>
        </w:rPr>
        <w:t>الأمان والحماية من الشرطة؛</w:t>
      </w:r>
    </w:p>
    <w:p w:rsidR="00EB2D07" w:rsidRDefault="00EB2D07" w:rsidP="002B79B5">
      <w:pPr>
        <w:pStyle w:val="SingleTxtGA"/>
        <w:rPr>
          <w:rFonts w:hint="cs"/>
          <w:rtl/>
        </w:rPr>
      </w:pPr>
    </w:p>
    <w:p w:rsidR="002B79B5" w:rsidRDefault="0079367C" w:rsidP="002B79B5">
      <w:pPr>
        <w:pStyle w:val="SingleTxtGA"/>
        <w:rPr>
          <w:rFonts w:hint="cs"/>
          <w:rtl/>
        </w:rPr>
      </w:pPr>
      <w:r>
        <w:rPr>
          <w:rtl/>
        </w:rPr>
        <w:tab/>
        <w:t>(</w:t>
      </w:r>
      <w:r w:rsidR="002B79B5">
        <w:rPr>
          <w:rtl/>
        </w:rPr>
        <w:t>و</w:t>
      </w:r>
      <w:r>
        <w:rPr>
          <w:rtl/>
        </w:rPr>
        <w:t>)</w:t>
      </w:r>
      <w:r>
        <w:rPr>
          <w:rtl/>
        </w:rPr>
        <w:tab/>
      </w:r>
      <w:r w:rsidR="002B79B5">
        <w:rPr>
          <w:rtl/>
        </w:rPr>
        <w:t>خدمات الترجمة التحريرية والشفوية الم</w:t>
      </w:r>
      <w:r w:rsidR="00A652E6">
        <w:rPr>
          <w:rtl/>
        </w:rPr>
        <w:t>جانية عند الضرورة؛</w:t>
      </w:r>
    </w:p>
    <w:p w:rsidR="002B79B5" w:rsidRPr="00A652E6" w:rsidRDefault="0079367C" w:rsidP="002B79B5">
      <w:pPr>
        <w:pStyle w:val="SingleTxtGA"/>
        <w:rPr>
          <w:rFonts w:hint="cs"/>
          <w:spacing w:val="-4"/>
          <w:rtl/>
        </w:rPr>
      </w:pPr>
      <w:r w:rsidRPr="00A652E6">
        <w:rPr>
          <w:spacing w:val="-4"/>
          <w:rtl/>
        </w:rPr>
        <w:tab/>
        <w:t>(</w:t>
      </w:r>
      <w:r w:rsidR="002B79B5" w:rsidRPr="00A652E6">
        <w:rPr>
          <w:spacing w:val="-4"/>
          <w:rtl/>
        </w:rPr>
        <w:t>ز</w:t>
      </w:r>
      <w:r w:rsidRPr="00A652E6">
        <w:rPr>
          <w:spacing w:val="-4"/>
          <w:rtl/>
        </w:rPr>
        <w:t>)</w:t>
      </w:r>
      <w:r w:rsidRPr="00A652E6">
        <w:rPr>
          <w:spacing w:val="-4"/>
          <w:rtl/>
        </w:rPr>
        <w:tab/>
      </w:r>
      <w:r w:rsidR="002B79B5" w:rsidRPr="00A652E6">
        <w:rPr>
          <w:spacing w:val="-4"/>
          <w:rtl/>
        </w:rPr>
        <w:t>المساعدة القانونية في حال استيفاء الشروط المبي</w:t>
      </w:r>
      <w:r w:rsidR="00A652E6" w:rsidRPr="00A652E6">
        <w:rPr>
          <w:spacing w:val="-4"/>
          <w:rtl/>
        </w:rPr>
        <w:t>نة في قانون المساعدة القانونية؛</w:t>
      </w:r>
    </w:p>
    <w:p w:rsidR="002B79B5" w:rsidRDefault="0079367C" w:rsidP="002B79B5">
      <w:pPr>
        <w:pStyle w:val="SingleTxtGA"/>
        <w:rPr>
          <w:rFonts w:hint="cs"/>
          <w:rtl/>
        </w:rPr>
      </w:pPr>
      <w:r>
        <w:rPr>
          <w:rtl/>
        </w:rPr>
        <w:tab/>
        <w:t>(</w:t>
      </w:r>
      <w:r w:rsidR="002B79B5">
        <w:rPr>
          <w:rtl/>
        </w:rPr>
        <w:t>ح</w:t>
      </w:r>
      <w:r>
        <w:rPr>
          <w:rtl/>
        </w:rPr>
        <w:t>)</w:t>
      </w:r>
      <w:r>
        <w:rPr>
          <w:rtl/>
        </w:rPr>
        <w:tab/>
      </w:r>
      <w:r w:rsidR="002B79B5">
        <w:rPr>
          <w:rtl/>
        </w:rPr>
        <w:t>حماية بياناته الشخصية وفق</w:t>
      </w:r>
      <w:r w:rsidR="00D94BE0">
        <w:rPr>
          <w:rtl/>
        </w:rPr>
        <w:t xml:space="preserve">اً </w:t>
      </w:r>
      <w:r w:rsidR="002B79B5">
        <w:rPr>
          <w:rtl/>
        </w:rPr>
        <w:t>لأحكام قانون معالجة البيانات الشخصية (قانون حماية الأفراد) حس</w:t>
      </w:r>
      <w:r w:rsidR="00A652E6">
        <w:rPr>
          <w:rtl/>
        </w:rPr>
        <w:t>ب تعديلاته المدخلة من وقت لآخر؛</w:t>
      </w:r>
    </w:p>
    <w:p w:rsidR="002B79B5" w:rsidRDefault="0079367C" w:rsidP="002B79B5">
      <w:pPr>
        <w:pStyle w:val="SingleTxtGA"/>
        <w:rPr>
          <w:rtl/>
        </w:rPr>
      </w:pPr>
      <w:r>
        <w:rPr>
          <w:rtl/>
        </w:rPr>
        <w:tab/>
        <w:t>(</w:t>
      </w:r>
      <w:r w:rsidR="002B79B5">
        <w:rPr>
          <w:rtl/>
        </w:rPr>
        <w:t>ط</w:t>
      </w:r>
      <w:r>
        <w:rPr>
          <w:rtl/>
        </w:rPr>
        <w:t>)</w:t>
      </w:r>
      <w:r>
        <w:rPr>
          <w:rtl/>
        </w:rPr>
        <w:tab/>
      </w:r>
      <w:r w:rsidR="002B79B5">
        <w:rPr>
          <w:rtl/>
        </w:rPr>
        <w:t xml:space="preserve">البرامج أو النظم التي توفرها الدولة أو المنظمات غير الحكومية التي لها بروتوكول تعاون أو اتفاقات خاصة مع الدوائر المعنية في الجمهورية، حسب الحالة، ويكون هدفها إدماج الضحايا في المجتمع، ويجوز أن يشمل ذلك التدريب لتحسين المهارات المهنية. </w:t>
      </w:r>
    </w:p>
    <w:p w:rsidR="002B79B5" w:rsidRDefault="002B79B5" w:rsidP="002B79B5">
      <w:pPr>
        <w:pStyle w:val="SingleTxtGA"/>
        <w:rPr>
          <w:rtl/>
        </w:rPr>
      </w:pPr>
      <w:r>
        <w:rPr>
          <w:rtl/>
        </w:rPr>
        <w:t>44</w:t>
      </w:r>
      <w:r w:rsidR="0079367C">
        <w:rPr>
          <w:rtl/>
        </w:rPr>
        <w:t>-</w:t>
      </w:r>
      <w:r w:rsidR="0079367C">
        <w:rPr>
          <w:rtl/>
        </w:rPr>
        <w:tab/>
      </w:r>
      <w:r>
        <w:rPr>
          <w:rtl/>
        </w:rPr>
        <w:t>يجوز لمن يحدد على أنه ضحية اتجار لغرض الاستغلال الجنسي أن يظل في ملجأ تديره دوائر الرعاية الاجتماعية لفترة</w:t>
      </w:r>
      <w:r w:rsidR="00E840A2">
        <w:rPr>
          <w:rtl/>
        </w:rPr>
        <w:t xml:space="preserve"> لا </w:t>
      </w:r>
      <w:r>
        <w:rPr>
          <w:rtl/>
        </w:rPr>
        <w:t>تزيد على أربعة أسابيع. ويمكن للضحية إطالة أمد الإقامة في حالات خاصة، إذا لزم الأمر. وتحصل الضحية في الملجأ على كل ما يلزم من الدعم والمعلومات المتعلقة بالخدمات المتاحة. ويعد الملجأ أحد خيارات الإقامة المتاحة للضحايا. وفي حال اختارت ضحية عدم الإقامة في الملجأ، توفر دوائر الرعاية الاجتماعية المساعدة المالية والدعم.</w:t>
      </w:r>
    </w:p>
    <w:p w:rsidR="002B79B5" w:rsidRDefault="002B79B5" w:rsidP="002B79B5">
      <w:pPr>
        <w:pStyle w:val="SingleTxtGA"/>
        <w:rPr>
          <w:rtl/>
        </w:rPr>
      </w:pPr>
      <w:r>
        <w:rPr>
          <w:rtl/>
        </w:rPr>
        <w:t>45</w:t>
      </w:r>
      <w:r w:rsidR="0079367C">
        <w:rPr>
          <w:rtl/>
        </w:rPr>
        <w:t>-</w:t>
      </w:r>
      <w:r w:rsidR="0079367C">
        <w:rPr>
          <w:rtl/>
        </w:rPr>
        <w:tab/>
      </w:r>
      <w:r>
        <w:rPr>
          <w:rtl/>
        </w:rPr>
        <w:t>وفور انتهاء تصريح الإقامة المؤقت للتفكير أو قبل ذلك، تُمنح الضحية من رعايا البلدان الثالثة، التي تعرب عن نية واضحة للتعاون مع السلطات، تصريح إقامة لستة أشهر على الأقل يكون قابل</w:t>
      </w:r>
      <w:r w:rsidR="00D94BE0">
        <w:rPr>
          <w:rtl/>
        </w:rPr>
        <w:t xml:space="preserve">اً </w:t>
      </w:r>
      <w:r>
        <w:rPr>
          <w:rtl/>
        </w:rPr>
        <w:t>للتجديد. ويتمتع حامل تصريح الإقامة هذا بكل الحقوق المذكورة أعلاه بالإضافة إلى الحقوق التالية:</w:t>
      </w:r>
    </w:p>
    <w:p w:rsidR="002B79B5" w:rsidRDefault="0079367C" w:rsidP="002B79B5">
      <w:pPr>
        <w:pStyle w:val="SingleTxtGA"/>
        <w:rPr>
          <w:rtl/>
        </w:rPr>
      </w:pPr>
      <w:r>
        <w:rPr>
          <w:rtl/>
        </w:rPr>
        <w:tab/>
        <w:t>(</w:t>
      </w:r>
      <w:r w:rsidR="002B79B5">
        <w:rPr>
          <w:rtl/>
        </w:rPr>
        <w:t>أ</w:t>
      </w:r>
      <w:r>
        <w:rPr>
          <w:rtl/>
        </w:rPr>
        <w:t>)</w:t>
      </w:r>
      <w:r>
        <w:rPr>
          <w:rtl/>
        </w:rPr>
        <w:tab/>
      </w:r>
      <w:r w:rsidR="002B79B5">
        <w:rPr>
          <w:rtl/>
        </w:rPr>
        <w:t>نفس إمكانية دخول سوق العمل مثل المواطنين الأوروبيين؛</w:t>
      </w:r>
    </w:p>
    <w:p w:rsidR="002B79B5" w:rsidRPr="00A652E6" w:rsidRDefault="0079367C" w:rsidP="002B79B5">
      <w:pPr>
        <w:pStyle w:val="SingleTxtGA"/>
        <w:rPr>
          <w:rFonts w:hint="cs"/>
          <w:spacing w:val="-2"/>
          <w:rtl/>
        </w:rPr>
      </w:pPr>
      <w:r w:rsidRPr="00A652E6">
        <w:rPr>
          <w:spacing w:val="-2"/>
          <w:rtl/>
        </w:rPr>
        <w:tab/>
        <w:t>(</w:t>
      </w:r>
      <w:r w:rsidR="002B79B5" w:rsidRPr="00A652E6">
        <w:rPr>
          <w:spacing w:val="-2"/>
          <w:rtl/>
        </w:rPr>
        <w:t>ب</w:t>
      </w:r>
      <w:r w:rsidRPr="00A652E6">
        <w:rPr>
          <w:spacing w:val="-2"/>
          <w:rtl/>
        </w:rPr>
        <w:t>)</w:t>
      </w:r>
      <w:r w:rsidRPr="00A652E6">
        <w:rPr>
          <w:spacing w:val="-2"/>
          <w:rtl/>
        </w:rPr>
        <w:tab/>
      </w:r>
      <w:r w:rsidR="002B79B5" w:rsidRPr="00A652E6">
        <w:rPr>
          <w:spacing w:val="-2"/>
          <w:rtl/>
        </w:rPr>
        <w:t xml:space="preserve">إمكانية الحصول على تدريب وتعليم مهني توفره هيئة تنمية الموارد البشرية بالشروط والظروف الخاصة ببرامجها، بما في ذلك الإجراءات الوطنية والقرارات </w:t>
      </w:r>
      <w:proofErr w:type="spellStart"/>
      <w:r w:rsidR="002B79B5" w:rsidRPr="00A652E6">
        <w:rPr>
          <w:spacing w:val="-2"/>
          <w:rtl/>
        </w:rPr>
        <w:t>السياساتية</w:t>
      </w:r>
      <w:proofErr w:type="spellEnd"/>
      <w:r w:rsidR="002B79B5" w:rsidRPr="00A652E6">
        <w:rPr>
          <w:spacing w:val="-2"/>
          <w:rtl/>
        </w:rPr>
        <w:t xml:space="preserve"> لوزارة العمل والتأمينات الاجتماعية السارية في ذلك الوقت </w:t>
      </w:r>
      <w:r w:rsidR="00A652E6" w:rsidRPr="00A652E6">
        <w:rPr>
          <w:spacing w:val="-2"/>
          <w:rtl/>
        </w:rPr>
        <w:t>بشأن العمالة والتدريب والتعليم؛</w:t>
      </w:r>
    </w:p>
    <w:p w:rsidR="002B79B5" w:rsidRDefault="0079367C" w:rsidP="002B79B5">
      <w:pPr>
        <w:pStyle w:val="SingleTxtGA"/>
        <w:rPr>
          <w:rtl/>
        </w:rPr>
      </w:pPr>
      <w:r>
        <w:rPr>
          <w:rtl/>
        </w:rPr>
        <w:tab/>
        <w:t>(</w:t>
      </w:r>
      <w:r w:rsidR="002B79B5">
        <w:rPr>
          <w:rtl/>
        </w:rPr>
        <w:t>ج</w:t>
      </w:r>
      <w:r>
        <w:rPr>
          <w:rtl/>
        </w:rPr>
        <w:t>)</w:t>
      </w:r>
      <w:r>
        <w:rPr>
          <w:rtl/>
        </w:rPr>
        <w:tab/>
      </w:r>
      <w:r w:rsidR="002B79B5">
        <w:rPr>
          <w:rtl/>
        </w:rPr>
        <w:t>إمكانية الاستفادة من البرامج والنظم التي تقدمها الدولة، حسب الحالة، بهدف إدماج الضحايا في المجتمع، والتي قد تشمل دروس</w:t>
      </w:r>
      <w:r w:rsidR="00D94BE0">
        <w:rPr>
          <w:rtl/>
        </w:rPr>
        <w:t xml:space="preserve">اً </w:t>
      </w:r>
      <w:r w:rsidR="002B79B5">
        <w:rPr>
          <w:rtl/>
        </w:rPr>
        <w:t>لتحسين مهاراتهم المهنية أو الإعداد لعودتهم إلى بلدهم الأصلي.</w:t>
      </w:r>
    </w:p>
    <w:p w:rsidR="002B79B5" w:rsidRDefault="002B79B5" w:rsidP="00A652E6">
      <w:pPr>
        <w:pStyle w:val="SingleTxtGA"/>
        <w:rPr>
          <w:rtl/>
        </w:rPr>
      </w:pPr>
      <w:r>
        <w:rPr>
          <w:rtl/>
        </w:rPr>
        <w:t>46</w:t>
      </w:r>
      <w:r w:rsidR="0079367C">
        <w:rPr>
          <w:rtl/>
        </w:rPr>
        <w:t>-</w:t>
      </w:r>
      <w:r w:rsidR="0079367C">
        <w:rPr>
          <w:rtl/>
        </w:rPr>
        <w:tab/>
      </w:r>
      <w:r>
        <w:rPr>
          <w:rtl/>
        </w:rPr>
        <w:t>ويحق للضحية التي تقرر التعاون مع سلطات الادعاء الحصول على المعلومات بشأن</w:t>
      </w:r>
      <w:r w:rsidR="00A652E6">
        <w:rPr>
          <w:rFonts w:hint="cs"/>
          <w:rtl/>
        </w:rPr>
        <w:t> </w:t>
      </w:r>
      <w:r>
        <w:rPr>
          <w:rtl/>
        </w:rPr>
        <w:t xml:space="preserve">ما يلي: </w:t>
      </w:r>
    </w:p>
    <w:p w:rsidR="002B79B5" w:rsidRDefault="0079367C" w:rsidP="0079367C">
      <w:pPr>
        <w:pStyle w:val="SingleTxtGA"/>
        <w:rPr>
          <w:rtl/>
        </w:rPr>
      </w:pPr>
      <w:r>
        <w:rPr>
          <w:rtl/>
        </w:rPr>
        <w:tab/>
        <w:t>(</w:t>
      </w:r>
      <w:r w:rsidR="002B79B5">
        <w:rPr>
          <w:rtl/>
        </w:rPr>
        <w:t>أ)</w:t>
      </w:r>
      <w:r>
        <w:rPr>
          <w:rFonts w:hint="cs"/>
          <w:rtl/>
        </w:rPr>
        <w:tab/>
      </w:r>
      <w:r w:rsidR="002B79B5">
        <w:rPr>
          <w:rtl/>
        </w:rPr>
        <w:t>المتابعة التي تجريها سلطات الادعاء لشكواها؛</w:t>
      </w:r>
    </w:p>
    <w:p w:rsidR="002B79B5" w:rsidRDefault="0079367C" w:rsidP="002B79B5">
      <w:pPr>
        <w:pStyle w:val="SingleTxtGA"/>
        <w:rPr>
          <w:rtl/>
        </w:rPr>
      </w:pPr>
      <w:r>
        <w:rPr>
          <w:rtl/>
        </w:rPr>
        <w:tab/>
        <w:t>(</w:t>
      </w:r>
      <w:r w:rsidR="002B79B5">
        <w:rPr>
          <w:rtl/>
        </w:rPr>
        <w:t>ب</w:t>
      </w:r>
      <w:r>
        <w:rPr>
          <w:rtl/>
        </w:rPr>
        <w:t>)</w:t>
      </w:r>
      <w:r>
        <w:rPr>
          <w:rtl/>
        </w:rPr>
        <w:tab/>
      </w:r>
      <w:r w:rsidR="002B79B5">
        <w:rPr>
          <w:rtl/>
        </w:rPr>
        <w:t>تطورات الدعاوى الجنائية؛</w:t>
      </w:r>
    </w:p>
    <w:p w:rsidR="002B79B5" w:rsidRDefault="0079367C" w:rsidP="002B79B5">
      <w:pPr>
        <w:pStyle w:val="SingleTxtGA"/>
        <w:rPr>
          <w:rtl/>
        </w:rPr>
      </w:pPr>
      <w:r>
        <w:rPr>
          <w:rtl/>
        </w:rPr>
        <w:tab/>
        <w:t>(</w:t>
      </w:r>
      <w:r w:rsidR="002B79B5">
        <w:rPr>
          <w:rtl/>
        </w:rPr>
        <w:t>ج</w:t>
      </w:r>
      <w:r>
        <w:rPr>
          <w:rtl/>
        </w:rPr>
        <w:t>)</w:t>
      </w:r>
      <w:r>
        <w:rPr>
          <w:rtl/>
        </w:rPr>
        <w:tab/>
      </w:r>
      <w:r w:rsidR="002B79B5">
        <w:rPr>
          <w:rtl/>
        </w:rPr>
        <w:t>القرار الصادر عن المحكمة.</w:t>
      </w:r>
    </w:p>
    <w:p w:rsidR="002B79B5" w:rsidRDefault="002B79B5" w:rsidP="002B79B5">
      <w:pPr>
        <w:pStyle w:val="SingleTxtGA"/>
        <w:rPr>
          <w:rtl/>
        </w:rPr>
      </w:pPr>
      <w:r>
        <w:rPr>
          <w:rtl/>
        </w:rPr>
        <w:t>47</w:t>
      </w:r>
      <w:r w:rsidR="0079367C">
        <w:rPr>
          <w:rtl/>
        </w:rPr>
        <w:t>-</w:t>
      </w:r>
      <w:r w:rsidR="0079367C">
        <w:rPr>
          <w:rtl/>
        </w:rPr>
        <w:tab/>
      </w:r>
      <w:r>
        <w:rPr>
          <w:rtl/>
        </w:rPr>
        <w:t>والضحية التي ترغب في المثول كشاهد إثبات وفي التعاون مع سلطات الادعاء في إطار الدعاوى الجنائية تعتبر شاهد</w:t>
      </w:r>
      <w:r w:rsidR="00D94BE0">
        <w:rPr>
          <w:rtl/>
        </w:rPr>
        <w:t xml:space="preserve">اً </w:t>
      </w:r>
      <w:r>
        <w:rPr>
          <w:rtl/>
        </w:rPr>
        <w:t>تلزم مساعدته في سياق قوانين حماية الشهود.</w:t>
      </w:r>
    </w:p>
    <w:p w:rsidR="002B79B5" w:rsidRPr="00A652E6" w:rsidRDefault="002B79B5" w:rsidP="002B79B5">
      <w:pPr>
        <w:pStyle w:val="SingleTxtGA"/>
        <w:rPr>
          <w:spacing w:val="-2"/>
          <w:rtl/>
        </w:rPr>
      </w:pPr>
      <w:r w:rsidRPr="00A652E6">
        <w:rPr>
          <w:spacing w:val="-2"/>
          <w:rtl/>
        </w:rPr>
        <w:t>48</w:t>
      </w:r>
      <w:r w:rsidR="0079367C" w:rsidRPr="00A652E6">
        <w:rPr>
          <w:spacing w:val="-2"/>
          <w:rtl/>
        </w:rPr>
        <w:t>-</w:t>
      </w:r>
      <w:r w:rsidR="0079367C" w:rsidRPr="00A652E6">
        <w:rPr>
          <w:spacing w:val="-2"/>
          <w:rtl/>
        </w:rPr>
        <w:tab/>
      </w:r>
      <w:r w:rsidRPr="00A652E6">
        <w:rPr>
          <w:spacing w:val="-2"/>
          <w:rtl/>
        </w:rPr>
        <w:t xml:space="preserve">وتعوض الجمهورية الضحايا الذي يتعاونون مع سلطات الادعاء كشهود في الدعاوى الجنائية عن أية تكاليف يتكبدونها نتيجة مشاركتهم في تلك الدعاوى. </w:t>
      </w:r>
    </w:p>
    <w:p w:rsidR="002B79B5" w:rsidRDefault="002B79B5" w:rsidP="002B79B5">
      <w:pPr>
        <w:pStyle w:val="SingleTxtGA"/>
        <w:rPr>
          <w:rtl/>
        </w:rPr>
      </w:pPr>
      <w:r>
        <w:rPr>
          <w:rtl/>
        </w:rPr>
        <w:t>49</w:t>
      </w:r>
      <w:r w:rsidR="0079367C">
        <w:rPr>
          <w:rtl/>
        </w:rPr>
        <w:t>-</w:t>
      </w:r>
      <w:r w:rsidR="0079367C">
        <w:rPr>
          <w:rtl/>
        </w:rPr>
        <w:tab/>
      </w:r>
      <w:r>
        <w:rPr>
          <w:rtl/>
        </w:rPr>
        <w:t xml:space="preserve">ولا يجدد تصريح الإقامة للضحية إذا اكتملت الدعاوى الجنائية بقرار من المحكمة الجنائية المختصة وأُعيدت الضحية سالمة إلى بلدها إلا إذا كان تقييم المخاطر الفردي الذي تجريه الشرطة يشير إلى وجوب بقاء الضحية في الجمهورية. وتجري دوائر الرعاية الاجتماعية عملية الإعادة إلى الوطن بالتعاون الوثيق مع الشرطة. وتعاد الضحية إلى وطنها وفق شروط الحفاظ على سلامتها وحمايتها وكرامتها وبالتعاون مع بلد الضحية الأصلي من أجل تجنب وقوعها ضحية مرة أخرى. </w:t>
      </w:r>
    </w:p>
    <w:p w:rsidR="002B79B5" w:rsidRDefault="00A652E6" w:rsidP="00A652E6">
      <w:pPr>
        <w:pStyle w:val="H23GA"/>
        <w:rPr>
          <w:rtl/>
        </w:rPr>
      </w:pPr>
      <w:r>
        <w:rPr>
          <w:rFonts w:hint="cs"/>
          <w:rtl/>
        </w:rPr>
        <w:tab/>
      </w:r>
      <w:r>
        <w:rPr>
          <w:rFonts w:hint="cs"/>
          <w:rtl/>
        </w:rPr>
        <w:tab/>
      </w:r>
      <w:r w:rsidR="002B79B5">
        <w:rPr>
          <w:rtl/>
        </w:rPr>
        <w:t>الملجأ</w:t>
      </w:r>
    </w:p>
    <w:p w:rsidR="002B79B5" w:rsidRDefault="002B79B5" w:rsidP="00A652E6">
      <w:pPr>
        <w:pStyle w:val="SingleTxtGA"/>
        <w:spacing w:line="370" w:lineRule="exact"/>
        <w:rPr>
          <w:rtl/>
        </w:rPr>
      </w:pPr>
      <w:r>
        <w:rPr>
          <w:rtl/>
        </w:rPr>
        <w:t>50</w:t>
      </w:r>
      <w:r w:rsidR="0079367C">
        <w:rPr>
          <w:rtl/>
        </w:rPr>
        <w:t>-</w:t>
      </w:r>
      <w:r w:rsidR="0079367C">
        <w:rPr>
          <w:rtl/>
        </w:rPr>
        <w:tab/>
      </w:r>
      <w:r>
        <w:rPr>
          <w:rtl/>
        </w:rPr>
        <w:t>أنشأ فريق التنسيق المتعدد الاختصاصات لمكافحة الاتجار بالبشر فريق</w:t>
      </w:r>
      <w:r w:rsidR="00D94BE0">
        <w:rPr>
          <w:rtl/>
        </w:rPr>
        <w:t xml:space="preserve">اً </w:t>
      </w:r>
      <w:r>
        <w:rPr>
          <w:rtl/>
        </w:rPr>
        <w:t>عامل</w:t>
      </w:r>
      <w:r w:rsidR="00D94BE0">
        <w:rPr>
          <w:rtl/>
        </w:rPr>
        <w:t xml:space="preserve">اً </w:t>
      </w:r>
      <w:r>
        <w:rPr>
          <w:rtl/>
        </w:rPr>
        <w:t xml:space="preserve">لدعم الضحايا وحمايتهم. وكلف فريقُ التنسيق الفريقَ العامل بالإبلاغ عن أمور من بينها سير عمل الملجأ القائم. ويعمل الفريق العامل برئاسة دوائر الرعاية الاجتماعية ويتألف من ممثلين عن وزارة الصحة، ومكتب مكافحة الاتجار التابع للشرطة، ودائرة اللجوء، ومنظمتين غير حكوميتين هما منظمة </w:t>
      </w:r>
      <w:proofErr w:type="spellStart"/>
      <w:r>
        <w:rPr>
          <w:rtl/>
        </w:rPr>
        <w:t>ستيغما</w:t>
      </w:r>
      <w:proofErr w:type="spellEnd"/>
      <w:r>
        <w:rPr>
          <w:rtl/>
        </w:rPr>
        <w:t xml:space="preserve"> (</w:t>
      </w:r>
      <w:r>
        <w:t>Stigma</w:t>
      </w:r>
      <w:r>
        <w:rPr>
          <w:rtl/>
        </w:rPr>
        <w:t>) ومنظمة العمل من أجل المساواة والدعم ومناهضة العنصرية (</w:t>
      </w:r>
      <w:r>
        <w:t>KISA</w:t>
      </w:r>
      <w:r>
        <w:rPr>
          <w:rtl/>
        </w:rPr>
        <w:t xml:space="preserve">). </w:t>
      </w:r>
    </w:p>
    <w:p w:rsidR="002B79B5" w:rsidRDefault="00A652E6" w:rsidP="00A652E6">
      <w:pPr>
        <w:pStyle w:val="H1GA"/>
        <w:rPr>
          <w:rtl/>
        </w:rPr>
      </w:pPr>
      <w:r>
        <w:rPr>
          <w:rFonts w:hint="cs"/>
          <w:rtl/>
        </w:rPr>
        <w:tab/>
      </w:r>
      <w:r>
        <w:rPr>
          <w:rFonts w:hint="cs"/>
          <w:rtl/>
        </w:rPr>
        <w:tab/>
      </w:r>
      <w:r w:rsidR="002B79B5">
        <w:rPr>
          <w:rtl/>
        </w:rPr>
        <w:t xml:space="preserve">الرد على القضايا المطروحة في الفقرة 9 من قائمة القضايا </w:t>
      </w:r>
    </w:p>
    <w:p w:rsidR="002B79B5" w:rsidRDefault="00A652E6" w:rsidP="00A652E6">
      <w:pPr>
        <w:pStyle w:val="H23GA"/>
        <w:rPr>
          <w:rtl/>
        </w:rPr>
      </w:pPr>
      <w:r>
        <w:rPr>
          <w:rFonts w:hint="cs"/>
          <w:rtl/>
        </w:rPr>
        <w:tab/>
      </w:r>
      <w:r>
        <w:rPr>
          <w:rFonts w:hint="cs"/>
          <w:rtl/>
        </w:rPr>
        <w:tab/>
      </w:r>
      <w:r w:rsidR="002B79B5">
        <w:rPr>
          <w:rtl/>
        </w:rPr>
        <w:t>إلغاء التأشيرات</w:t>
      </w:r>
    </w:p>
    <w:p w:rsidR="002B79B5" w:rsidRDefault="002B79B5" w:rsidP="00A652E6">
      <w:pPr>
        <w:pStyle w:val="SingleTxtGA"/>
        <w:spacing w:line="370" w:lineRule="exact"/>
        <w:rPr>
          <w:rtl/>
        </w:rPr>
      </w:pPr>
      <w:r>
        <w:rPr>
          <w:rtl/>
        </w:rPr>
        <w:t>51</w:t>
      </w:r>
      <w:r w:rsidR="0079367C">
        <w:rPr>
          <w:rtl/>
        </w:rPr>
        <w:t>-</w:t>
      </w:r>
      <w:r w:rsidR="0079367C">
        <w:rPr>
          <w:rtl/>
        </w:rPr>
        <w:tab/>
      </w:r>
      <w:r>
        <w:rPr>
          <w:rtl/>
        </w:rPr>
        <w:t>ينظم قانون الأجانب والهجرة شروط الحصول على التأشيرات لرعايا البلدان الثالثة. ولكن نوع التأشيرة (أي عمال أو فنانين، إلى غير ذلك)</w:t>
      </w:r>
      <w:r w:rsidR="00E840A2">
        <w:rPr>
          <w:rtl/>
        </w:rPr>
        <w:t xml:space="preserve"> لا </w:t>
      </w:r>
      <w:r>
        <w:rPr>
          <w:rtl/>
        </w:rPr>
        <w:t>ينظمه القانون المذكور أعلاه وإنما</w:t>
      </w:r>
      <w:r w:rsidR="00A652E6">
        <w:rPr>
          <w:rFonts w:hint="cs"/>
          <w:rtl/>
        </w:rPr>
        <w:t> </w:t>
      </w:r>
      <w:r>
        <w:rPr>
          <w:rtl/>
        </w:rPr>
        <w:t xml:space="preserve">القرارات </w:t>
      </w:r>
      <w:proofErr w:type="spellStart"/>
      <w:r>
        <w:rPr>
          <w:rtl/>
        </w:rPr>
        <w:t>السياساتية</w:t>
      </w:r>
      <w:proofErr w:type="spellEnd"/>
      <w:r>
        <w:rPr>
          <w:rtl/>
        </w:rPr>
        <w:t xml:space="preserve">. </w:t>
      </w:r>
    </w:p>
    <w:p w:rsidR="002B79B5" w:rsidRPr="00EB2D07" w:rsidRDefault="002B79B5" w:rsidP="00A652E6">
      <w:pPr>
        <w:pStyle w:val="SingleTxtGA"/>
        <w:spacing w:line="370" w:lineRule="exact"/>
        <w:rPr>
          <w:spacing w:val="2"/>
          <w:rtl/>
        </w:rPr>
      </w:pPr>
      <w:r w:rsidRPr="00EB2D07">
        <w:rPr>
          <w:spacing w:val="2"/>
          <w:rtl/>
        </w:rPr>
        <w:t>52</w:t>
      </w:r>
      <w:r w:rsidR="0079367C" w:rsidRPr="00EB2D07">
        <w:rPr>
          <w:spacing w:val="2"/>
          <w:rtl/>
        </w:rPr>
        <w:t>-</w:t>
      </w:r>
      <w:r w:rsidR="0079367C" w:rsidRPr="00EB2D07">
        <w:rPr>
          <w:spacing w:val="2"/>
          <w:rtl/>
        </w:rPr>
        <w:tab/>
      </w:r>
      <w:r w:rsidRPr="00EB2D07">
        <w:rPr>
          <w:spacing w:val="2"/>
          <w:rtl/>
        </w:rPr>
        <w:t xml:space="preserve">ومنذ إلغاء "تأشيرات الفنانين" واستحداث السياسة الجديدة، فإن اختبار إصدار تصريح العمل المؤقت للفنانين في الملاهي الليلية وغيرها من المنشآت الترفيهية تجهزه لجنة خاصة برئاسة وزارة العمل والتأمينات الاجتماعية. وتظل سلطات قبرص على حذر، وتختبر اللجنة كل طلب بدقة، من أجل ضمان عدم إساءة استعمال النظام الجديد أو خرقه. وتختبر اللجنة المذكورة أعلاه صحة الوثائق الواردة من مقدم الطلب، وتتعاون مباشرة عند الضرورة مع سلطات البلد الأصلي لمقدم الطلب، أو من خلال البعثات القنصلية لقبرص في ذلك البلد. </w:t>
      </w:r>
    </w:p>
    <w:p w:rsidR="002B79B5" w:rsidRDefault="002B79B5" w:rsidP="00AF3CC4">
      <w:pPr>
        <w:pStyle w:val="SingleTxtGA"/>
        <w:spacing w:line="370" w:lineRule="exact"/>
        <w:rPr>
          <w:rFonts w:hint="cs"/>
          <w:rtl/>
        </w:rPr>
      </w:pPr>
      <w:r>
        <w:rPr>
          <w:rtl/>
        </w:rPr>
        <w:t>53</w:t>
      </w:r>
      <w:r w:rsidR="0079367C">
        <w:rPr>
          <w:rtl/>
        </w:rPr>
        <w:t>-</w:t>
      </w:r>
      <w:r w:rsidR="0079367C">
        <w:rPr>
          <w:rtl/>
        </w:rPr>
        <w:tab/>
      </w:r>
      <w:r>
        <w:rPr>
          <w:rtl/>
        </w:rPr>
        <w:t>ووفق</w:t>
      </w:r>
      <w:r w:rsidR="00D94BE0">
        <w:rPr>
          <w:rtl/>
        </w:rPr>
        <w:t xml:space="preserve">اً </w:t>
      </w:r>
      <w:r>
        <w:rPr>
          <w:rtl/>
        </w:rPr>
        <w:t>للبيانات المتاحة، ومنذ تنفيذ السياسة الجديدة، انخفض عدد رعايا البلدان الثالثة الذين يدخلون الجمهورية للعمل كفنانين. وفي السابق كان عدد رعايا البلدان الثالثة العاملين كفنانين أو مطربين في الملاهي الليلية يقدر بنحو 200 1 شخص، إلا أن الأعداد في</w:t>
      </w:r>
      <w:r w:rsidR="00AF3CC4">
        <w:rPr>
          <w:rFonts w:hint="cs"/>
          <w:rtl/>
        </w:rPr>
        <w:t> </w:t>
      </w:r>
      <w:r>
        <w:rPr>
          <w:rtl/>
        </w:rPr>
        <w:t>السنوات 2010</w:t>
      </w:r>
      <w:r w:rsidR="00B37166">
        <w:rPr>
          <w:rtl/>
        </w:rPr>
        <w:t>-</w:t>
      </w:r>
      <w:r>
        <w:rPr>
          <w:rtl/>
        </w:rPr>
        <w:t>2012 كانت كالتالي:</w:t>
      </w:r>
    </w:p>
    <w:p w:rsidR="002B79B5" w:rsidRPr="00A652E6" w:rsidRDefault="00A652E6" w:rsidP="00A652E6">
      <w:pPr>
        <w:pStyle w:val="SingleTxtGA"/>
        <w:rPr>
          <w:rFonts w:hint="cs"/>
          <w:rtl/>
        </w:rPr>
      </w:pPr>
      <w:r>
        <w:rPr>
          <w:rFonts w:hint="cs"/>
          <w:rtl/>
        </w:rPr>
        <w:t>الجدول 3</w:t>
      </w:r>
    </w:p>
    <w:tbl>
      <w:tblPr>
        <w:bidiVisual/>
        <w:tblW w:w="7370" w:type="dxa"/>
        <w:tblInd w:w="1134" w:type="dxa"/>
        <w:tblLayout w:type="fixed"/>
        <w:tblCellMar>
          <w:left w:w="0" w:type="dxa"/>
          <w:right w:w="0" w:type="dxa"/>
        </w:tblCellMar>
        <w:tblLook w:val="04A0" w:firstRow="1" w:lastRow="0" w:firstColumn="1" w:lastColumn="0" w:noHBand="0" w:noVBand="1"/>
      </w:tblPr>
      <w:tblGrid>
        <w:gridCol w:w="2174"/>
        <w:gridCol w:w="2175"/>
        <w:gridCol w:w="2175"/>
        <w:gridCol w:w="846"/>
      </w:tblGrid>
      <w:tr w:rsidR="00A652E6" w:rsidRPr="009F5D88" w:rsidTr="00E711E6">
        <w:tc>
          <w:tcPr>
            <w:tcW w:w="2174" w:type="dxa"/>
            <w:tcBorders>
              <w:top w:val="single" w:sz="4" w:space="0" w:color="auto"/>
              <w:bottom w:val="single" w:sz="12" w:space="0" w:color="auto"/>
            </w:tcBorders>
            <w:shd w:val="clear" w:color="auto" w:fill="auto"/>
          </w:tcPr>
          <w:p w:rsidR="00A652E6" w:rsidRPr="00A652E6" w:rsidRDefault="00A652E6" w:rsidP="00EB3D7B">
            <w:pPr>
              <w:spacing w:after="60" w:line="340" w:lineRule="exact"/>
              <w:ind w:left="113"/>
              <w:rPr>
                <w:i/>
                <w:iCs/>
                <w:sz w:val="18"/>
                <w:szCs w:val="26"/>
                <w:rtl/>
              </w:rPr>
            </w:pPr>
            <w:r w:rsidRPr="00A652E6">
              <w:rPr>
                <w:i/>
                <w:iCs/>
                <w:sz w:val="18"/>
                <w:szCs w:val="26"/>
                <w:rtl/>
              </w:rPr>
              <w:t>السنة</w:t>
            </w:r>
          </w:p>
        </w:tc>
        <w:tc>
          <w:tcPr>
            <w:tcW w:w="2175" w:type="dxa"/>
            <w:tcBorders>
              <w:top w:val="single" w:sz="4" w:space="0" w:color="auto"/>
              <w:bottom w:val="single" w:sz="12" w:space="0" w:color="auto"/>
            </w:tcBorders>
            <w:shd w:val="clear" w:color="auto" w:fill="auto"/>
          </w:tcPr>
          <w:p w:rsidR="00A652E6" w:rsidRPr="00A652E6" w:rsidRDefault="00A652E6" w:rsidP="00EB3D7B">
            <w:pPr>
              <w:spacing w:after="60" w:line="340" w:lineRule="exact"/>
              <w:ind w:left="113"/>
              <w:rPr>
                <w:i/>
                <w:iCs/>
                <w:sz w:val="18"/>
                <w:szCs w:val="26"/>
                <w:rtl/>
              </w:rPr>
            </w:pPr>
            <w:r w:rsidRPr="00A652E6">
              <w:rPr>
                <w:i/>
                <w:iCs/>
                <w:sz w:val="18"/>
                <w:szCs w:val="26"/>
                <w:rtl/>
              </w:rPr>
              <w:t>الفئة</w:t>
            </w:r>
          </w:p>
        </w:tc>
        <w:tc>
          <w:tcPr>
            <w:tcW w:w="2175" w:type="dxa"/>
            <w:tcBorders>
              <w:top w:val="single" w:sz="4" w:space="0" w:color="auto"/>
              <w:bottom w:val="single" w:sz="12" w:space="0" w:color="auto"/>
            </w:tcBorders>
            <w:shd w:val="clear" w:color="auto" w:fill="auto"/>
          </w:tcPr>
          <w:p w:rsidR="00A652E6" w:rsidRPr="00A652E6" w:rsidRDefault="00A652E6" w:rsidP="00EB3D7B">
            <w:pPr>
              <w:spacing w:after="60" w:line="340" w:lineRule="exact"/>
              <w:ind w:left="113"/>
              <w:rPr>
                <w:i/>
                <w:iCs/>
                <w:sz w:val="18"/>
                <w:szCs w:val="26"/>
                <w:rtl/>
              </w:rPr>
            </w:pPr>
            <w:r w:rsidRPr="00A652E6">
              <w:rPr>
                <w:i/>
                <w:iCs/>
                <w:sz w:val="18"/>
                <w:szCs w:val="26"/>
                <w:rtl/>
              </w:rPr>
              <w:t>نوع الجنس</w:t>
            </w:r>
          </w:p>
        </w:tc>
        <w:tc>
          <w:tcPr>
            <w:tcW w:w="846" w:type="dxa"/>
            <w:tcBorders>
              <w:top w:val="single" w:sz="4" w:space="0" w:color="auto"/>
              <w:bottom w:val="single" w:sz="12" w:space="0" w:color="auto"/>
            </w:tcBorders>
            <w:shd w:val="clear" w:color="auto" w:fill="auto"/>
          </w:tcPr>
          <w:p w:rsidR="00A652E6" w:rsidRPr="00A652E6" w:rsidRDefault="00A652E6" w:rsidP="00EB3D7B">
            <w:pPr>
              <w:spacing w:after="60" w:line="340" w:lineRule="exact"/>
              <w:ind w:left="113"/>
              <w:rPr>
                <w:rFonts w:hint="cs"/>
                <w:i/>
                <w:iCs/>
                <w:sz w:val="18"/>
                <w:szCs w:val="26"/>
              </w:rPr>
            </w:pPr>
            <w:r w:rsidRPr="00A652E6">
              <w:rPr>
                <w:i/>
                <w:iCs/>
                <w:sz w:val="18"/>
                <w:szCs w:val="26"/>
                <w:rtl/>
              </w:rPr>
              <w:t>العدد</w:t>
            </w:r>
            <w:r w:rsidRPr="00A652E6">
              <w:rPr>
                <w:sz w:val="24"/>
                <w:szCs w:val="24"/>
                <w:vertAlign w:val="superscript"/>
                <w:rtl/>
              </w:rPr>
              <w:t>(</w:t>
            </w:r>
            <w:r w:rsidRPr="00A652E6">
              <w:rPr>
                <w:rStyle w:val="FootnoteReference"/>
                <w:sz w:val="24"/>
                <w:szCs w:val="24"/>
                <w:rtl/>
              </w:rPr>
              <w:footnoteReference w:id="2"/>
            </w:r>
            <w:r w:rsidRPr="00A652E6">
              <w:rPr>
                <w:sz w:val="24"/>
                <w:szCs w:val="24"/>
                <w:vertAlign w:val="superscript"/>
                <w:rtl/>
              </w:rPr>
              <w:t>)</w:t>
            </w:r>
          </w:p>
        </w:tc>
      </w:tr>
      <w:tr w:rsidR="00A652E6" w:rsidRPr="009F5D88" w:rsidTr="00E711E6">
        <w:tc>
          <w:tcPr>
            <w:tcW w:w="2174" w:type="dxa"/>
            <w:tcBorders>
              <w:top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2010</w:t>
            </w:r>
          </w:p>
        </w:tc>
        <w:tc>
          <w:tcPr>
            <w:tcW w:w="2175" w:type="dxa"/>
            <w:tcBorders>
              <w:top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فنانون</w:t>
            </w:r>
          </w:p>
        </w:tc>
        <w:tc>
          <w:tcPr>
            <w:tcW w:w="2175" w:type="dxa"/>
            <w:tcBorders>
              <w:top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إناث</w:t>
            </w:r>
          </w:p>
        </w:tc>
        <w:tc>
          <w:tcPr>
            <w:tcW w:w="846" w:type="dxa"/>
            <w:tcBorders>
              <w:top w:val="single" w:sz="12" w:space="0" w:color="auto"/>
            </w:tcBorders>
            <w:shd w:val="clear" w:color="auto" w:fill="auto"/>
          </w:tcPr>
          <w:p w:rsidR="00A652E6" w:rsidRPr="00A652E6" w:rsidRDefault="00A652E6" w:rsidP="00EB3D7B">
            <w:pPr>
              <w:spacing w:after="60" w:line="340" w:lineRule="exact"/>
              <w:ind w:left="113"/>
              <w:rPr>
                <w:sz w:val="18"/>
                <w:szCs w:val="26"/>
              </w:rPr>
            </w:pPr>
            <w:r w:rsidRPr="00A652E6">
              <w:rPr>
                <w:sz w:val="18"/>
                <w:szCs w:val="26"/>
                <w:rtl/>
              </w:rPr>
              <w:t>477</w:t>
            </w:r>
          </w:p>
        </w:tc>
      </w:tr>
      <w:tr w:rsidR="00A652E6" w:rsidRPr="009F5D88" w:rsidTr="00E711E6">
        <w:tc>
          <w:tcPr>
            <w:tcW w:w="2174"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2010</w:t>
            </w:r>
          </w:p>
        </w:tc>
        <w:tc>
          <w:tcPr>
            <w:tcW w:w="2175"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فنانون</w:t>
            </w:r>
          </w:p>
        </w:tc>
        <w:tc>
          <w:tcPr>
            <w:tcW w:w="2175"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ذكور</w:t>
            </w:r>
          </w:p>
        </w:tc>
        <w:tc>
          <w:tcPr>
            <w:tcW w:w="846" w:type="dxa"/>
            <w:shd w:val="clear" w:color="auto" w:fill="auto"/>
          </w:tcPr>
          <w:p w:rsidR="00A652E6" w:rsidRPr="00A652E6" w:rsidRDefault="00A652E6" w:rsidP="00EB3D7B">
            <w:pPr>
              <w:spacing w:after="60" w:line="340" w:lineRule="exact"/>
              <w:ind w:left="113"/>
              <w:rPr>
                <w:sz w:val="18"/>
                <w:szCs w:val="26"/>
              </w:rPr>
            </w:pPr>
            <w:r w:rsidRPr="00A652E6">
              <w:rPr>
                <w:sz w:val="18"/>
                <w:szCs w:val="26"/>
                <w:rtl/>
              </w:rPr>
              <w:t>2</w:t>
            </w:r>
          </w:p>
        </w:tc>
      </w:tr>
      <w:tr w:rsidR="00A652E6" w:rsidRPr="009F5D88" w:rsidTr="00E711E6">
        <w:tc>
          <w:tcPr>
            <w:tcW w:w="2174"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2011</w:t>
            </w:r>
          </w:p>
        </w:tc>
        <w:tc>
          <w:tcPr>
            <w:tcW w:w="2175"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فنانون</w:t>
            </w:r>
          </w:p>
        </w:tc>
        <w:tc>
          <w:tcPr>
            <w:tcW w:w="2175" w:type="dxa"/>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إناث</w:t>
            </w:r>
          </w:p>
        </w:tc>
        <w:tc>
          <w:tcPr>
            <w:tcW w:w="846" w:type="dxa"/>
            <w:shd w:val="clear" w:color="auto" w:fill="auto"/>
          </w:tcPr>
          <w:p w:rsidR="00A652E6" w:rsidRPr="00A652E6" w:rsidRDefault="00A652E6" w:rsidP="00EB3D7B">
            <w:pPr>
              <w:spacing w:after="60" w:line="340" w:lineRule="exact"/>
              <w:ind w:left="113"/>
              <w:rPr>
                <w:sz w:val="18"/>
                <w:szCs w:val="26"/>
              </w:rPr>
            </w:pPr>
            <w:r w:rsidRPr="00A652E6">
              <w:rPr>
                <w:sz w:val="18"/>
                <w:szCs w:val="26"/>
                <w:rtl/>
              </w:rPr>
              <w:t>352</w:t>
            </w:r>
          </w:p>
        </w:tc>
      </w:tr>
      <w:tr w:rsidR="00A652E6" w:rsidRPr="009F5D88" w:rsidTr="00E711E6">
        <w:tc>
          <w:tcPr>
            <w:tcW w:w="2174" w:type="dxa"/>
            <w:tcBorders>
              <w:bottom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2012</w:t>
            </w:r>
          </w:p>
        </w:tc>
        <w:tc>
          <w:tcPr>
            <w:tcW w:w="2175" w:type="dxa"/>
            <w:tcBorders>
              <w:bottom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فنانون</w:t>
            </w:r>
          </w:p>
        </w:tc>
        <w:tc>
          <w:tcPr>
            <w:tcW w:w="2175" w:type="dxa"/>
            <w:tcBorders>
              <w:bottom w:val="single" w:sz="12" w:space="0" w:color="auto"/>
            </w:tcBorders>
            <w:shd w:val="clear" w:color="auto" w:fill="auto"/>
          </w:tcPr>
          <w:p w:rsidR="00A652E6" w:rsidRPr="00A652E6" w:rsidRDefault="00A652E6" w:rsidP="00EB3D7B">
            <w:pPr>
              <w:spacing w:after="60" w:line="340" w:lineRule="exact"/>
              <w:ind w:left="113"/>
              <w:rPr>
                <w:sz w:val="18"/>
                <w:szCs w:val="26"/>
                <w:rtl/>
              </w:rPr>
            </w:pPr>
            <w:r w:rsidRPr="00A652E6">
              <w:rPr>
                <w:sz w:val="18"/>
                <w:szCs w:val="26"/>
                <w:rtl/>
              </w:rPr>
              <w:t>إناث</w:t>
            </w:r>
          </w:p>
        </w:tc>
        <w:tc>
          <w:tcPr>
            <w:tcW w:w="846" w:type="dxa"/>
            <w:tcBorders>
              <w:bottom w:val="single" w:sz="12" w:space="0" w:color="auto"/>
            </w:tcBorders>
            <w:shd w:val="clear" w:color="auto" w:fill="auto"/>
          </w:tcPr>
          <w:p w:rsidR="00A652E6" w:rsidRPr="00A652E6" w:rsidRDefault="00A652E6" w:rsidP="00EB3D7B">
            <w:pPr>
              <w:spacing w:after="60" w:line="340" w:lineRule="exact"/>
              <w:ind w:left="113"/>
              <w:rPr>
                <w:rFonts w:hint="cs"/>
                <w:sz w:val="18"/>
                <w:szCs w:val="26"/>
                <w:rtl/>
              </w:rPr>
            </w:pPr>
            <w:r w:rsidRPr="00A652E6">
              <w:rPr>
                <w:sz w:val="18"/>
                <w:szCs w:val="26"/>
                <w:rtl/>
              </w:rPr>
              <w:t>191</w:t>
            </w:r>
          </w:p>
        </w:tc>
      </w:tr>
    </w:tbl>
    <w:p w:rsidR="00A652E6" w:rsidRPr="00A652E6" w:rsidRDefault="00A652E6" w:rsidP="00A652E6">
      <w:pPr>
        <w:pStyle w:val="SingleTxtGA"/>
        <w:spacing w:before="240"/>
        <w:rPr>
          <w:rFonts w:hint="cs"/>
          <w:rtl/>
        </w:rPr>
      </w:pPr>
      <w:r w:rsidRPr="00A652E6">
        <w:rPr>
          <w:rtl/>
        </w:rPr>
        <w:t>54</w:t>
      </w:r>
      <w:r>
        <w:rPr>
          <w:rFonts w:hint="cs"/>
          <w:rtl/>
        </w:rPr>
        <w:t>-</w:t>
      </w:r>
      <w:r w:rsidRPr="00A652E6">
        <w:rPr>
          <w:rtl/>
        </w:rPr>
        <w:tab/>
        <w:t>ولكن وفقا</w:t>
      </w:r>
      <w:r>
        <w:rPr>
          <w:rFonts w:hint="cs"/>
          <w:rtl/>
        </w:rPr>
        <w:t>ً</w:t>
      </w:r>
      <w:r w:rsidRPr="00A652E6">
        <w:rPr>
          <w:rtl/>
        </w:rPr>
        <w:t xml:space="preserve"> للشرطة، ورغم عدم إجراء أية دراسة شاملة بعد عن الآثار على أنماط الاتجار بعد تغيير التشريعات، يُلاحظ اتجاه متزايد للاستغلال في مكان العمل، ولكن العلاقة بين التغييرات القانونية وأشكال الاستغلال المختلفة غير واضحة.</w:t>
      </w:r>
    </w:p>
    <w:p w:rsidR="00A652E6" w:rsidRDefault="00A652E6" w:rsidP="00A652E6">
      <w:pPr>
        <w:pStyle w:val="SingleTxtGA"/>
        <w:spacing w:before="120" w:after="0"/>
        <w:rPr>
          <w:rtl/>
        </w:rPr>
      </w:pPr>
      <w:r>
        <w:rPr>
          <w:rtl/>
        </w:rPr>
        <w:t>الجدول 4</w:t>
      </w:r>
    </w:p>
    <w:p w:rsidR="00A652E6" w:rsidRDefault="00A652E6" w:rsidP="00A652E6">
      <w:pPr>
        <w:pStyle w:val="SingleTxtGA"/>
        <w:rPr>
          <w:rFonts w:hint="cs"/>
          <w:b/>
          <w:bCs/>
          <w:rtl/>
        </w:rPr>
      </w:pPr>
      <w:r w:rsidRPr="00A652E6">
        <w:rPr>
          <w:b/>
          <w:bCs/>
          <w:rtl/>
        </w:rPr>
        <w:t>بيانات محدثة مصنفة حسب نوع الجنس عن عدد ضحايا الاستغلال في البغاء والاتجار، وبيانات عن عدد الشكاوى والتحقيقات والمحاكمات والأحكام الصادرة على الجناة</w:t>
      </w:r>
    </w:p>
    <w:p w:rsidR="00EB2D07" w:rsidRPr="00EB2D07" w:rsidRDefault="00EB2D07" w:rsidP="00EB2D07">
      <w:pPr>
        <w:pStyle w:val="SingleTxtGA"/>
        <w:spacing w:before="40" w:after="40" w:line="220" w:lineRule="exact"/>
        <w:ind w:left="0" w:right="0"/>
        <w:jc w:val="right"/>
        <w:rPr>
          <w:rFonts w:hint="cs"/>
          <w:b/>
          <w:bCs/>
          <w:sz w:val="18"/>
          <w:rtl/>
        </w:rPr>
      </w:pPr>
    </w:p>
    <w:tbl>
      <w:tblPr>
        <w:bidiVisual/>
        <w:tblW w:w="3696" w:type="pct"/>
        <w:tblInd w:w="1253" w:type="dxa"/>
        <w:tblCellMar>
          <w:left w:w="0" w:type="dxa"/>
          <w:right w:w="0" w:type="dxa"/>
        </w:tblCellMar>
        <w:tblLook w:val="04A0" w:firstRow="1" w:lastRow="0" w:firstColumn="1" w:lastColumn="0" w:noHBand="0" w:noVBand="1"/>
      </w:tblPr>
      <w:tblGrid>
        <w:gridCol w:w="3345"/>
        <w:gridCol w:w="1527"/>
        <w:gridCol w:w="1527"/>
        <w:gridCol w:w="725"/>
      </w:tblGrid>
      <w:tr w:rsidR="00EB2D07" w:rsidRPr="00AF5057" w:rsidTr="00E711E6">
        <w:tc>
          <w:tcPr>
            <w:tcW w:w="2347" w:type="pct"/>
            <w:tcBorders>
              <w:top w:val="single" w:sz="4" w:space="0" w:color="auto"/>
              <w:bottom w:val="single" w:sz="12" w:space="0" w:color="auto"/>
            </w:tcBorders>
            <w:shd w:val="clear" w:color="auto" w:fill="auto"/>
          </w:tcPr>
          <w:p w:rsidR="00EB2D07" w:rsidRPr="00EB3D7B" w:rsidRDefault="00EB2D07" w:rsidP="00EB3D7B">
            <w:pPr>
              <w:spacing w:after="60" w:line="340" w:lineRule="exact"/>
              <w:ind w:left="113"/>
              <w:rPr>
                <w:i/>
                <w:iCs/>
                <w:sz w:val="18"/>
                <w:szCs w:val="26"/>
              </w:rPr>
            </w:pPr>
          </w:p>
        </w:tc>
        <w:tc>
          <w:tcPr>
            <w:tcW w:w="1072" w:type="pct"/>
            <w:tcBorders>
              <w:top w:val="single" w:sz="4" w:space="0" w:color="auto"/>
              <w:bottom w:val="single" w:sz="12" w:space="0" w:color="auto"/>
            </w:tcBorders>
            <w:shd w:val="clear" w:color="auto" w:fill="auto"/>
          </w:tcPr>
          <w:p w:rsidR="00EB2D07" w:rsidRPr="00EB3D7B" w:rsidRDefault="00EB2D07" w:rsidP="00EB3D7B">
            <w:pPr>
              <w:spacing w:after="60" w:line="340" w:lineRule="exact"/>
              <w:ind w:left="113"/>
              <w:rPr>
                <w:i/>
                <w:iCs/>
                <w:sz w:val="18"/>
                <w:szCs w:val="26"/>
              </w:rPr>
            </w:pPr>
            <w:r w:rsidRPr="00EB3D7B">
              <w:rPr>
                <w:i/>
                <w:iCs/>
                <w:sz w:val="18"/>
                <w:szCs w:val="26"/>
                <w:rtl/>
              </w:rPr>
              <w:t>٢٠٠٩</w:t>
            </w:r>
          </w:p>
        </w:tc>
        <w:tc>
          <w:tcPr>
            <w:tcW w:w="1072" w:type="pct"/>
            <w:tcBorders>
              <w:top w:val="single" w:sz="4" w:space="0" w:color="auto"/>
              <w:bottom w:val="single" w:sz="12" w:space="0" w:color="auto"/>
            </w:tcBorders>
            <w:shd w:val="clear" w:color="auto" w:fill="auto"/>
          </w:tcPr>
          <w:p w:rsidR="00EB2D07" w:rsidRPr="00EB3D7B" w:rsidRDefault="00EB2D07" w:rsidP="00EB3D7B">
            <w:pPr>
              <w:spacing w:after="60" w:line="340" w:lineRule="exact"/>
              <w:ind w:left="113"/>
              <w:rPr>
                <w:i/>
                <w:iCs/>
                <w:sz w:val="18"/>
                <w:szCs w:val="26"/>
              </w:rPr>
            </w:pPr>
            <w:r w:rsidRPr="00EB3D7B">
              <w:rPr>
                <w:i/>
                <w:iCs/>
                <w:sz w:val="18"/>
                <w:szCs w:val="26"/>
                <w:rtl/>
              </w:rPr>
              <w:t>٢٠١٠</w:t>
            </w:r>
          </w:p>
        </w:tc>
        <w:tc>
          <w:tcPr>
            <w:tcW w:w="509" w:type="pct"/>
            <w:tcBorders>
              <w:top w:val="single" w:sz="4" w:space="0" w:color="auto"/>
              <w:bottom w:val="single" w:sz="12" w:space="0" w:color="auto"/>
            </w:tcBorders>
            <w:shd w:val="clear" w:color="auto" w:fill="auto"/>
          </w:tcPr>
          <w:p w:rsidR="00EB2D07" w:rsidRPr="00EB3D7B" w:rsidRDefault="00EB2D07" w:rsidP="00EB3D7B">
            <w:pPr>
              <w:spacing w:after="60" w:line="340" w:lineRule="exact"/>
              <w:ind w:left="113"/>
              <w:rPr>
                <w:i/>
                <w:iCs/>
                <w:sz w:val="18"/>
                <w:szCs w:val="26"/>
              </w:rPr>
            </w:pPr>
            <w:r w:rsidRPr="00EB3D7B">
              <w:rPr>
                <w:i/>
                <w:iCs/>
                <w:sz w:val="18"/>
                <w:szCs w:val="26"/>
                <w:rtl/>
              </w:rPr>
              <w:t>٢٠١١</w:t>
            </w:r>
          </w:p>
        </w:tc>
      </w:tr>
      <w:tr w:rsidR="00EB3D7B" w:rsidRPr="00AF5057" w:rsidTr="00E711E6">
        <w:tc>
          <w:tcPr>
            <w:tcW w:w="2347" w:type="pct"/>
            <w:tcBorders>
              <w:top w:val="single" w:sz="12" w:space="0" w:color="auto"/>
            </w:tcBorders>
            <w:shd w:val="clear" w:color="auto" w:fill="auto"/>
          </w:tcPr>
          <w:p w:rsidR="00EB3D7B" w:rsidRPr="00EB2D07" w:rsidRDefault="00EB3D7B" w:rsidP="00EB3D7B">
            <w:pPr>
              <w:spacing w:after="60" w:line="340" w:lineRule="exact"/>
              <w:ind w:left="113"/>
              <w:rPr>
                <w:sz w:val="18"/>
                <w:szCs w:val="26"/>
              </w:rPr>
            </w:pPr>
            <w:r w:rsidRPr="00EB2D07">
              <w:rPr>
                <w:sz w:val="18"/>
                <w:szCs w:val="26"/>
                <w:rtl/>
              </w:rPr>
              <w:t>ضحايا الاتجار والاستغلال الجنسي</w:t>
            </w:r>
          </w:p>
        </w:tc>
        <w:tc>
          <w:tcPr>
            <w:tcW w:w="1072" w:type="pct"/>
            <w:tcBorders>
              <w:top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٢٣</w:t>
            </w:r>
          </w:p>
        </w:tc>
        <w:tc>
          <w:tcPr>
            <w:tcW w:w="1072" w:type="pct"/>
            <w:tcBorders>
              <w:top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٣٤</w:t>
            </w:r>
          </w:p>
        </w:tc>
        <w:tc>
          <w:tcPr>
            <w:tcW w:w="509" w:type="pct"/>
            <w:tcBorders>
              <w:top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٢٦</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ضحايا الاتجار والاستغلال في العمل</w:t>
            </w:r>
            <w:r w:rsidRPr="00EB2D07">
              <w:rPr>
                <w:sz w:val="18"/>
                <w:szCs w:val="26"/>
              </w:rPr>
              <w:t xml:space="preserve"> </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٩٠</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١٦</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١٤</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الضحايا من النساء</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٨٦</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٤٧</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٣٥</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الضحايا من الرجال</w:t>
            </w:r>
            <w:r w:rsidRPr="00EB2D07">
              <w:rPr>
                <w:sz w:val="18"/>
                <w:szCs w:val="26"/>
              </w:rPr>
              <w:t xml:space="preserve"> </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٢٧</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٥</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٥</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الشكاوى والقضايا التي تم التحقيق فيها</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٣٤</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٣٥</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٢٦</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الدعاوى المقامة أمام المحاكم</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٢٦</w:t>
            </w: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٢٧</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١٤</w:t>
            </w:r>
          </w:p>
        </w:tc>
      </w:tr>
      <w:tr w:rsidR="00EB3D7B" w:rsidRPr="00AF5057" w:rsidTr="00E711E6">
        <w:tc>
          <w:tcPr>
            <w:tcW w:w="2347" w:type="pct"/>
            <w:shd w:val="clear" w:color="auto" w:fill="auto"/>
          </w:tcPr>
          <w:p w:rsidR="00EB3D7B" w:rsidRPr="00EB2D07" w:rsidRDefault="00EB3D7B" w:rsidP="00EB3D7B">
            <w:pPr>
              <w:spacing w:after="60" w:line="340" w:lineRule="exact"/>
              <w:ind w:left="113"/>
              <w:rPr>
                <w:sz w:val="18"/>
                <w:szCs w:val="26"/>
              </w:rPr>
            </w:pPr>
            <w:r w:rsidRPr="00EB2D07">
              <w:rPr>
                <w:sz w:val="18"/>
                <w:szCs w:val="26"/>
                <w:rtl/>
              </w:rPr>
              <w:t>الدعاوى قيد التحقيق أو الحفظ</w:t>
            </w:r>
          </w:p>
        </w:tc>
        <w:tc>
          <w:tcPr>
            <w:tcW w:w="1072" w:type="pct"/>
            <w:shd w:val="clear" w:color="auto" w:fill="auto"/>
            <w:vAlign w:val="bottom"/>
          </w:tcPr>
          <w:p w:rsidR="00EB3D7B" w:rsidRPr="00EB3D7B" w:rsidRDefault="00EB3D7B" w:rsidP="00EB3D7B">
            <w:pPr>
              <w:spacing w:after="60" w:line="340" w:lineRule="exact"/>
              <w:ind w:left="113"/>
              <w:rPr>
                <w:sz w:val="18"/>
                <w:szCs w:val="26"/>
              </w:rPr>
            </w:pPr>
          </w:p>
        </w:tc>
        <w:tc>
          <w:tcPr>
            <w:tcW w:w="1072"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٤</w:t>
            </w:r>
          </w:p>
        </w:tc>
        <w:tc>
          <w:tcPr>
            <w:tcW w:w="509" w:type="pct"/>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١٢</w:t>
            </w:r>
          </w:p>
        </w:tc>
      </w:tr>
      <w:tr w:rsidR="00EB3D7B" w:rsidRPr="00AF5057" w:rsidTr="00E711E6">
        <w:tc>
          <w:tcPr>
            <w:tcW w:w="2347" w:type="pct"/>
            <w:tcBorders>
              <w:bottom w:val="single" w:sz="12" w:space="0" w:color="auto"/>
            </w:tcBorders>
            <w:shd w:val="clear" w:color="auto" w:fill="auto"/>
          </w:tcPr>
          <w:p w:rsidR="00EB3D7B" w:rsidRPr="00EB2D07" w:rsidRDefault="00EB3D7B" w:rsidP="00EB3D7B">
            <w:pPr>
              <w:spacing w:after="60" w:line="340" w:lineRule="exact"/>
              <w:ind w:left="113"/>
              <w:rPr>
                <w:sz w:val="18"/>
                <w:szCs w:val="26"/>
              </w:rPr>
            </w:pPr>
            <w:r w:rsidRPr="00EB2D07">
              <w:rPr>
                <w:sz w:val="18"/>
                <w:szCs w:val="26"/>
                <w:rtl/>
              </w:rPr>
              <w:t>أحكام الإدانة</w:t>
            </w:r>
          </w:p>
        </w:tc>
        <w:tc>
          <w:tcPr>
            <w:tcW w:w="1072" w:type="pct"/>
            <w:tcBorders>
              <w:bottom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٨</w:t>
            </w:r>
          </w:p>
        </w:tc>
        <w:tc>
          <w:tcPr>
            <w:tcW w:w="1072" w:type="pct"/>
            <w:tcBorders>
              <w:bottom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٢</w:t>
            </w:r>
          </w:p>
        </w:tc>
        <w:tc>
          <w:tcPr>
            <w:tcW w:w="509" w:type="pct"/>
            <w:tcBorders>
              <w:bottom w:val="single" w:sz="12" w:space="0" w:color="auto"/>
            </w:tcBorders>
            <w:shd w:val="clear" w:color="auto" w:fill="auto"/>
            <w:vAlign w:val="bottom"/>
          </w:tcPr>
          <w:p w:rsidR="00EB3D7B" w:rsidRPr="00EB3D7B" w:rsidRDefault="00EB3D7B" w:rsidP="00EB3D7B">
            <w:pPr>
              <w:spacing w:after="60" w:line="340" w:lineRule="exact"/>
              <w:ind w:left="113"/>
              <w:rPr>
                <w:sz w:val="18"/>
                <w:szCs w:val="26"/>
              </w:rPr>
            </w:pPr>
            <w:r w:rsidRPr="00EB3D7B">
              <w:rPr>
                <w:sz w:val="18"/>
                <w:szCs w:val="26"/>
                <w:rtl/>
              </w:rPr>
              <w:t>٥</w:t>
            </w:r>
          </w:p>
        </w:tc>
      </w:tr>
    </w:tbl>
    <w:p w:rsidR="00EB3D7B" w:rsidRDefault="00EB3D7B" w:rsidP="00EB2D07">
      <w:pPr>
        <w:pStyle w:val="SingleTxtGA"/>
        <w:spacing w:before="120" w:after="0"/>
        <w:rPr>
          <w:rtl/>
        </w:rPr>
      </w:pPr>
    </w:p>
    <w:p w:rsidR="002B79B5" w:rsidRDefault="00EB3D7B" w:rsidP="00EB2D07">
      <w:pPr>
        <w:pStyle w:val="SingleTxtGA"/>
        <w:spacing w:before="120" w:after="0"/>
        <w:rPr>
          <w:rFonts w:hint="cs"/>
          <w:rtl/>
        </w:rPr>
      </w:pPr>
      <w:r>
        <w:rPr>
          <w:rtl/>
        </w:rPr>
        <w:br w:type="page"/>
      </w:r>
      <w:r w:rsidR="00EB2D07">
        <w:rPr>
          <w:rtl/>
        </w:rPr>
        <w:t>الجدول</w:t>
      </w:r>
      <w:r w:rsidR="00EB2D07">
        <w:rPr>
          <w:rFonts w:hint="cs"/>
          <w:rtl/>
        </w:rPr>
        <w:t xml:space="preserve"> 5</w:t>
      </w:r>
    </w:p>
    <w:p w:rsidR="00EB2D07" w:rsidRPr="00EB2D07" w:rsidRDefault="00EB2D07" w:rsidP="00EB2D07">
      <w:pPr>
        <w:pStyle w:val="SingleTxtGA"/>
        <w:spacing w:before="120" w:after="0"/>
        <w:rPr>
          <w:rFonts w:hint="cs"/>
          <w:b/>
          <w:bCs/>
          <w:rtl/>
        </w:rPr>
      </w:pPr>
      <w:r w:rsidRPr="00EB2D07">
        <w:rPr>
          <w:b/>
          <w:bCs/>
          <w:rtl/>
        </w:rPr>
        <w:t>أحكام الإدانة عن الاتجار لأغراض الاستغلال الجنسي وأحكام الإدانة عن الاستغلال الجنسي في عام 2010</w:t>
      </w:r>
    </w:p>
    <w:p w:rsidR="00EB2D07" w:rsidRDefault="00EB2D07" w:rsidP="000A75F9">
      <w:pPr>
        <w:pStyle w:val="SingleTxtGA"/>
        <w:spacing w:before="120"/>
        <w:rPr>
          <w:rFonts w:hint="cs"/>
          <w:rtl/>
        </w:rPr>
      </w:pPr>
      <w:r w:rsidRPr="00EB2D07">
        <w:rPr>
          <w:rtl/>
        </w:rPr>
        <w:t>صدر حكما</w:t>
      </w:r>
      <w:r w:rsidRPr="00EB2D07">
        <w:rPr>
          <w:rFonts w:hint="cs"/>
          <w:rtl/>
        </w:rPr>
        <w:t>ً</w:t>
      </w:r>
      <w:r w:rsidRPr="00EB2D07">
        <w:rPr>
          <w:rtl/>
        </w:rPr>
        <w:t xml:space="preserve"> الإدانة بحق شخصين وكانت العقوبات الصادرة كالتالي:</w:t>
      </w:r>
    </w:p>
    <w:tbl>
      <w:tblPr>
        <w:tblStyle w:val="TableGrid"/>
        <w:bidiVisual/>
        <w:tblW w:w="7705"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0"/>
        <w:gridCol w:w="2393"/>
        <w:gridCol w:w="3962"/>
      </w:tblGrid>
      <w:tr w:rsidR="00840CD1" w:rsidRPr="00840CD1" w:rsidTr="00840CD1">
        <w:tc>
          <w:tcPr>
            <w:tcW w:w="1350" w:type="dxa"/>
            <w:tcBorders>
              <w:top w:val="single" w:sz="4" w:space="0" w:color="auto"/>
              <w:bottom w:val="single" w:sz="12" w:space="0" w:color="auto"/>
            </w:tcBorders>
            <w:shd w:val="clear" w:color="auto" w:fill="auto"/>
          </w:tcPr>
          <w:p w:rsidR="00840CD1" w:rsidRPr="000A75F9"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i/>
                <w:iCs/>
                <w:sz w:val="18"/>
                <w:szCs w:val="26"/>
                <w:rtl/>
              </w:rPr>
            </w:pPr>
            <w:r w:rsidRPr="000A75F9">
              <w:rPr>
                <w:i/>
                <w:iCs/>
                <w:sz w:val="18"/>
                <w:szCs w:val="26"/>
                <w:rtl/>
              </w:rPr>
              <w:t>عدد المدانين</w:t>
            </w:r>
          </w:p>
        </w:tc>
        <w:tc>
          <w:tcPr>
            <w:tcW w:w="2393" w:type="dxa"/>
            <w:tcBorders>
              <w:top w:val="single" w:sz="4" w:space="0" w:color="auto"/>
              <w:bottom w:val="single" w:sz="12" w:space="0" w:color="auto"/>
            </w:tcBorders>
            <w:shd w:val="clear" w:color="auto" w:fill="auto"/>
          </w:tcPr>
          <w:p w:rsidR="00840CD1" w:rsidRPr="000A75F9"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i/>
                <w:iCs/>
                <w:sz w:val="18"/>
                <w:szCs w:val="26"/>
                <w:rtl/>
              </w:rPr>
            </w:pPr>
            <w:r w:rsidRPr="000A75F9">
              <w:rPr>
                <w:i/>
                <w:iCs/>
                <w:sz w:val="18"/>
                <w:szCs w:val="26"/>
                <w:rtl/>
              </w:rPr>
              <w:t>العقوبات الصادرة</w:t>
            </w:r>
          </w:p>
        </w:tc>
        <w:tc>
          <w:tcPr>
            <w:tcW w:w="3962" w:type="dxa"/>
            <w:tcBorders>
              <w:top w:val="single" w:sz="4" w:space="0" w:color="auto"/>
              <w:bottom w:val="single" w:sz="12" w:space="0" w:color="auto"/>
            </w:tcBorders>
            <w:shd w:val="clear" w:color="auto" w:fill="auto"/>
          </w:tcPr>
          <w:p w:rsidR="00840CD1" w:rsidRPr="000A75F9"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i/>
                <w:iCs/>
                <w:sz w:val="18"/>
                <w:szCs w:val="26"/>
              </w:rPr>
            </w:pPr>
            <w:r w:rsidRPr="000A75F9">
              <w:rPr>
                <w:i/>
                <w:iCs/>
                <w:sz w:val="18"/>
                <w:szCs w:val="26"/>
                <w:rtl/>
              </w:rPr>
              <w:t>الجرائم</w:t>
            </w:r>
          </w:p>
        </w:tc>
      </w:tr>
      <w:tr w:rsidR="00840CD1" w:rsidRPr="00840CD1" w:rsidTr="00840CD1">
        <w:tc>
          <w:tcPr>
            <w:tcW w:w="1350" w:type="dxa"/>
            <w:tcBorders>
              <w:top w:val="single" w:sz="12" w:space="0" w:color="auto"/>
            </w:tcBorders>
            <w:shd w:val="clear" w:color="auto" w:fill="auto"/>
          </w:tcPr>
          <w:p w:rsidR="00840CD1" w:rsidRPr="00AF5057"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sz w:val="18"/>
                <w:szCs w:val="26"/>
                <w:rtl/>
              </w:rPr>
            </w:pPr>
            <w:r w:rsidRPr="00AF5057">
              <w:rPr>
                <w:sz w:val="18"/>
                <w:szCs w:val="26"/>
                <w:rtl/>
              </w:rPr>
              <w:t>1</w:t>
            </w:r>
          </w:p>
        </w:tc>
        <w:tc>
          <w:tcPr>
            <w:tcW w:w="2393" w:type="dxa"/>
            <w:tcBorders>
              <w:top w:val="single" w:sz="12" w:space="0" w:color="auto"/>
            </w:tcBorders>
            <w:shd w:val="clear" w:color="auto" w:fill="auto"/>
          </w:tcPr>
          <w:p w:rsidR="00840CD1" w:rsidRPr="00AF5057"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rFonts w:hint="cs"/>
                <w:sz w:val="18"/>
                <w:szCs w:val="26"/>
                <w:rtl/>
              </w:rPr>
            </w:pPr>
            <w:r w:rsidRPr="00AF5057">
              <w:rPr>
                <w:sz w:val="18"/>
                <w:szCs w:val="26"/>
                <w:rtl/>
              </w:rPr>
              <w:t>السجن 22 شهرا</w:t>
            </w:r>
            <w:r>
              <w:rPr>
                <w:rFonts w:hint="cs"/>
                <w:sz w:val="18"/>
                <w:szCs w:val="26"/>
                <w:rtl/>
              </w:rPr>
              <w:t>ً</w:t>
            </w:r>
          </w:p>
        </w:tc>
        <w:tc>
          <w:tcPr>
            <w:tcW w:w="3962" w:type="dxa"/>
            <w:tcBorders>
              <w:top w:val="single" w:sz="12" w:space="0" w:color="auto"/>
            </w:tcBorders>
            <w:shd w:val="clear" w:color="auto" w:fill="auto"/>
          </w:tcPr>
          <w:p w:rsidR="00840CD1" w:rsidRPr="000A75F9"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spacing w:val="-4"/>
                <w:sz w:val="18"/>
                <w:szCs w:val="26"/>
              </w:rPr>
            </w:pPr>
            <w:r w:rsidRPr="000A75F9">
              <w:rPr>
                <w:spacing w:val="-4"/>
                <w:sz w:val="18"/>
                <w:szCs w:val="26"/>
                <w:rtl/>
              </w:rPr>
              <w:t>أعمال القوادة، كسب العيش من البغاء، الاستغلال الجنسي، مخالفة قانون منع وقمع أنشطة غسل الأموال</w:t>
            </w:r>
          </w:p>
        </w:tc>
      </w:tr>
      <w:tr w:rsidR="00840CD1" w:rsidRPr="00840CD1" w:rsidTr="00840CD1">
        <w:tc>
          <w:tcPr>
            <w:tcW w:w="1350" w:type="dxa"/>
            <w:tcBorders>
              <w:bottom w:val="single" w:sz="12" w:space="0" w:color="auto"/>
            </w:tcBorders>
            <w:shd w:val="clear" w:color="auto" w:fill="auto"/>
          </w:tcPr>
          <w:p w:rsidR="00840CD1" w:rsidRPr="00AF5057"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sz w:val="18"/>
                <w:szCs w:val="26"/>
                <w:rtl/>
              </w:rPr>
            </w:pPr>
            <w:r w:rsidRPr="00AF5057">
              <w:rPr>
                <w:sz w:val="18"/>
                <w:szCs w:val="26"/>
                <w:rtl/>
              </w:rPr>
              <w:t>1</w:t>
            </w:r>
          </w:p>
        </w:tc>
        <w:tc>
          <w:tcPr>
            <w:tcW w:w="2393" w:type="dxa"/>
            <w:tcBorders>
              <w:bottom w:val="single" w:sz="12" w:space="0" w:color="auto"/>
            </w:tcBorders>
            <w:shd w:val="clear" w:color="auto" w:fill="auto"/>
          </w:tcPr>
          <w:p w:rsidR="00840CD1" w:rsidRPr="00AF5057"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sz w:val="18"/>
                <w:szCs w:val="26"/>
                <w:rtl/>
              </w:rPr>
            </w:pPr>
            <w:r w:rsidRPr="00AF5057">
              <w:rPr>
                <w:sz w:val="18"/>
                <w:szCs w:val="26"/>
                <w:rtl/>
              </w:rPr>
              <w:t>السجن 9 أشهر</w:t>
            </w:r>
          </w:p>
        </w:tc>
        <w:tc>
          <w:tcPr>
            <w:tcW w:w="3962" w:type="dxa"/>
            <w:tcBorders>
              <w:bottom w:val="single" w:sz="12" w:space="0" w:color="auto"/>
            </w:tcBorders>
            <w:shd w:val="clear" w:color="auto" w:fill="auto"/>
          </w:tcPr>
          <w:p w:rsidR="00840CD1" w:rsidRPr="000A75F9" w:rsidRDefault="00840CD1" w:rsidP="00840CD1">
            <w:pPr>
              <w:pStyle w:val="SingleTxtGA"/>
              <w:tabs>
                <w:tab w:val="clear" w:pos="1928"/>
                <w:tab w:val="clear" w:pos="2608"/>
                <w:tab w:val="clear" w:pos="3289"/>
                <w:tab w:val="clear" w:pos="3969"/>
                <w:tab w:val="clear" w:pos="4649"/>
                <w:tab w:val="clear" w:pos="5330"/>
              </w:tabs>
              <w:spacing w:after="60" w:line="340" w:lineRule="exact"/>
              <w:ind w:left="57" w:right="0"/>
              <w:rPr>
                <w:rFonts w:hint="cs"/>
                <w:spacing w:val="-4"/>
                <w:sz w:val="18"/>
                <w:szCs w:val="26"/>
                <w:rtl/>
              </w:rPr>
            </w:pPr>
            <w:r w:rsidRPr="000A75F9">
              <w:rPr>
                <w:spacing w:val="-4"/>
                <w:sz w:val="18"/>
                <w:szCs w:val="26"/>
                <w:rtl/>
              </w:rPr>
              <w:t>أعمال القوادة، كسب العيش من البغاء، تشغيل المهاجرين على نحو مخالف للقانون</w:t>
            </w:r>
          </w:p>
        </w:tc>
      </w:tr>
    </w:tbl>
    <w:p w:rsidR="000A75F9" w:rsidRPr="00C72B22" w:rsidRDefault="000A75F9" w:rsidP="00BE6F7A">
      <w:pPr>
        <w:pStyle w:val="SingleTxtGA"/>
        <w:spacing w:before="240" w:after="0"/>
        <w:rPr>
          <w:rtl/>
        </w:rPr>
      </w:pPr>
      <w:r w:rsidRPr="00C72B22">
        <w:rPr>
          <w:rtl/>
        </w:rPr>
        <w:t>الجدول 6</w:t>
      </w:r>
    </w:p>
    <w:p w:rsidR="000A75F9" w:rsidRPr="000A75F9" w:rsidRDefault="000A75F9" w:rsidP="000A75F9">
      <w:pPr>
        <w:pStyle w:val="SingleTxtGA"/>
        <w:spacing w:before="120" w:after="0"/>
        <w:rPr>
          <w:b/>
          <w:bCs/>
          <w:rtl/>
        </w:rPr>
      </w:pPr>
      <w:r w:rsidRPr="000A75F9">
        <w:rPr>
          <w:b/>
          <w:bCs/>
          <w:rtl/>
        </w:rPr>
        <w:t>أحكام الإدانة عن الاتجار لأغراض الاستغلال الجنسي وأحكام الإدانة عن الاستغلال الجنسي في عام 2011</w:t>
      </w:r>
    </w:p>
    <w:p w:rsidR="000A75F9" w:rsidRPr="000A75F9" w:rsidRDefault="000A75F9" w:rsidP="00BE6F7A">
      <w:pPr>
        <w:pStyle w:val="SingleTxtGA"/>
        <w:spacing w:before="120"/>
        <w:rPr>
          <w:rFonts w:hint="cs"/>
        </w:rPr>
      </w:pPr>
      <w:r w:rsidRPr="00C72B22">
        <w:rPr>
          <w:rtl/>
        </w:rPr>
        <w:t>صدرت 5 أحكام إدانة بحق 15 شخصا</w:t>
      </w:r>
      <w:r w:rsidR="000E778D">
        <w:rPr>
          <w:rFonts w:hint="cs"/>
          <w:rtl/>
        </w:rPr>
        <w:t>ً</w:t>
      </w:r>
      <w:r w:rsidRPr="00C72B22">
        <w:rPr>
          <w:rtl/>
        </w:rPr>
        <w:t>، وكانت العقوبات الصادرة كالتالي</w:t>
      </w:r>
      <w:r>
        <w:rPr>
          <w:rFonts w:hint="cs"/>
          <w:rtl/>
        </w:rPr>
        <w:t>:</w:t>
      </w:r>
    </w:p>
    <w:tbl>
      <w:tblPr>
        <w:bidiVisual/>
        <w:tblW w:w="7370" w:type="dxa"/>
        <w:tblInd w:w="1360" w:type="dxa"/>
        <w:tblBorders>
          <w:top w:val="single" w:sz="4" w:space="0" w:color="auto"/>
        </w:tblBorders>
        <w:tblCellMar>
          <w:left w:w="0" w:type="dxa"/>
          <w:right w:w="113" w:type="dxa"/>
        </w:tblCellMar>
        <w:tblLook w:val="04A0" w:firstRow="1" w:lastRow="0" w:firstColumn="1" w:lastColumn="0" w:noHBand="0" w:noVBand="1"/>
      </w:tblPr>
      <w:tblGrid>
        <w:gridCol w:w="1237"/>
        <w:gridCol w:w="2396"/>
        <w:gridCol w:w="3737"/>
      </w:tblGrid>
      <w:tr w:rsidR="000A75F9" w:rsidRPr="000A75F9" w:rsidTr="000A75F9">
        <w:trPr>
          <w:trHeight w:val="240"/>
          <w:tblHeader/>
        </w:trPr>
        <w:tc>
          <w:tcPr>
            <w:tcW w:w="1237" w:type="dxa"/>
            <w:tcBorders>
              <w:top w:val="single" w:sz="4" w:space="0" w:color="auto"/>
              <w:bottom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i/>
                <w:iCs/>
                <w:sz w:val="18"/>
                <w:szCs w:val="26"/>
                <w:rtl/>
              </w:rPr>
            </w:pPr>
            <w:r w:rsidRPr="000A75F9">
              <w:rPr>
                <w:i/>
                <w:iCs/>
                <w:sz w:val="18"/>
                <w:szCs w:val="26"/>
                <w:rtl/>
              </w:rPr>
              <w:t>عدد المدانين</w:t>
            </w:r>
          </w:p>
        </w:tc>
        <w:tc>
          <w:tcPr>
            <w:tcW w:w="2396" w:type="dxa"/>
            <w:tcBorders>
              <w:top w:val="single" w:sz="4" w:space="0" w:color="auto"/>
              <w:bottom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i/>
                <w:iCs/>
                <w:sz w:val="18"/>
                <w:szCs w:val="26"/>
                <w:rtl/>
              </w:rPr>
            </w:pPr>
            <w:r w:rsidRPr="000A75F9">
              <w:rPr>
                <w:i/>
                <w:iCs/>
                <w:sz w:val="18"/>
                <w:szCs w:val="26"/>
                <w:rtl/>
              </w:rPr>
              <w:t>العقوبات الصادرة</w:t>
            </w:r>
          </w:p>
        </w:tc>
        <w:tc>
          <w:tcPr>
            <w:tcW w:w="3737" w:type="dxa"/>
            <w:tcBorders>
              <w:top w:val="single" w:sz="4" w:space="0" w:color="auto"/>
              <w:bottom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i/>
                <w:iCs/>
                <w:sz w:val="18"/>
                <w:szCs w:val="26"/>
              </w:rPr>
            </w:pPr>
            <w:r w:rsidRPr="000A75F9">
              <w:rPr>
                <w:i/>
                <w:iCs/>
                <w:sz w:val="18"/>
                <w:szCs w:val="26"/>
                <w:rtl/>
              </w:rPr>
              <w:t>الجرائم</w:t>
            </w:r>
          </w:p>
        </w:tc>
      </w:tr>
      <w:tr w:rsidR="000A75F9" w:rsidRPr="000A75F9" w:rsidTr="000A75F9">
        <w:trPr>
          <w:trHeight w:val="240"/>
        </w:trPr>
        <w:tc>
          <w:tcPr>
            <w:tcW w:w="1237" w:type="dxa"/>
            <w:tcBorders>
              <w:top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1</w:t>
            </w:r>
          </w:p>
        </w:tc>
        <w:tc>
          <w:tcPr>
            <w:tcW w:w="2396" w:type="dxa"/>
            <w:tcBorders>
              <w:top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السجن سنة واحدة</w:t>
            </w:r>
          </w:p>
        </w:tc>
        <w:tc>
          <w:tcPr>
            <w:tcW w:w="3737" w:type="dxa"/>
            <w:tcBorders>
              <w:top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Pr>
            </w:pPr>
            <w:r w:rsidRPr="000A75F9">
              <w:rPr>
                <w:sz w:val="18"/>
                <w:szCs w:val="26"/>
                <w:rtl/>
              </w:rPr>
              <w:t>كسب العيش من البغاء</w:t>
            </w:r>
          </w:p>
        </w:tc>
      </w:tr>
      <w:tr w:rsidR="000A75F9" w:rsidRPr="000A75F9" w:rsidTr="000A75F9">
        <w:trPr>
          <w:trHeight w:val="240"/>
        </w:trPr>
        <w:tc>
          <w:tcPr>
            <w:tcW w:w="12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2</w:t>
            </w:r>
          </w:p>
        </w:tc>
        <w:tc>
          <w:tcPr>
            <w:tcW w:w="2396"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السجن 4 أشهر</w:t>
            </w:r>
          </w:p>
        </w:tc>
        <w:tc>
          <w:tcPr>
            <w:tcW w:w="37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Pr>
            </w:pPr>
            <w:r w:rsidRPr="000A75F9">
              <w:rPr>
                <w:sz w:val="18"/>
                <w:szCs w:val="26"/>
                <w:rtl/>
              </w:rPr>
              <w:t>كسب العيش من البغاء، مخالفة حظر بيوت الدعارة</w:t>
            </w:r>
          </w:p>
        </w:tc>
      </w:tr>
      <w:tr w:rsidR="000A75F9" w:rsidRPr="000A75F9" w:rsidTr="000A75F9">
        <w:trPr>
          <w:trHeight w:val="240"/>
        </w:trPr>
        <w:tc>
          <w:tcPr>
            <w:tcW w:w="12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3</w:t>
            </w:r>
          </w:p>
        </w:tc>
        <w:tc>
          <w:tcPr>
            <w:tcW w:w="2396" w:type="dxa"/>
            <w:shd w:val="clear" w:color="auto" w:fill="auto"/>
          </w:tcPr>
          <w:p w:rsidR="000A75F9" w:rsidRPr="000A75F9" w:rsidRDefault="000A75F9" w:rsidP="00840CD1">
            <w:pPr>
              <w:pStyle w:val="SingleTxtGA"/>
              <w:tabs>
                <w:tab w:val="clear" w:pos="1928"/>
                <w:tab w:val="clear" w:pos="2608"/>
                <w:tab w:val="clear" w:pos="3289"/>
                <w:tab w:val="clear" w:pos="3969"/>
                <w:tab w:val="clear" w:pos="4649"/>
                <w:tab w:val="clear" w:pos="5330"/>
              </w:tabs>
              <w:spacing w:after="60" w:line="340" w:lineRule="exact"/>
              <w:ind w:left="0" w:right="227"/>
              <w:rPr>
                <w:sz w:val="18"/>
                <w:szCs w:val="26"/>
                <w:rtl/>
              </w:rPr>
            </w:pPr>
            <w:r w:rsidRPr="000A75F9">
              <w:rPr>
                <w:sz w:val="18"/>
                <w:szCs w:val="26"/>
                <w:rtl/>
              </w:rPr>
              <w:t>السجن 3 أشهر و3 سنوات تحت المراقبة</w:t>
            </w:r>
          </w:p>
        </w:tc>
        <w:tc>
          <w:tcPr>
            <w:tcW w:w="37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Pr>
            </w:pPr>
            <w:r w:rsidRPr="000A75F9">
              <w:rPr>
                <w:sz w:val="18"/>
                <w:szCs w:val="26"/>
                <w:rtl/>
              </w:rPr>
              <w:t>مخالفة حظر بيوت الدعارة</w:t>
            </w:r>
          </w:p>
        </w:tc>
      </w:tr>
      <w:tr w:rsidR="000A75F9" w:rsidRPr="000A75F9" w:rsidTr="000A75F9">
        <w:trPr>
          <w:trHeight w:val="240"/>
        </w:trPr>
        <w:tc>
          <w:tcPr>
            <w:tcW w:w="12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6</w:t>
            </w:r>
          </w:p>
        </w:tc>
        <w:tc>
          <w:tcPr>
            <w:tcW w:w="2396" w:type="dxa"/>
            <w:shd w:val="clear" w:color="auto" w:fill="auto"/>
          </w:tcPr>
          <w:p w:rsidR="000A75F9" w:rsidRPr="000A75F9" w:rsidRDefault="000A75F9" w:rsidP="00840CD1">
            <w:pPr>
              <w:pStyle w:val="SingleTxtGA"/>
              <w:tabs>
                <w:tab w:val="clear" w:pos="1928"/>
                <w:tab w:val="clear" w:pos="2608"/>
                <w:tab w:val="clear" w:pos="3289"/>
                <w:tab w:val="clear" w:pos="3969"/>
                <w:tab w:val="clear" w:pos="4649"/>
                <w:tab w:val="clear" w:pos="5330"/>
              </w:tabs>
              <w:spacing w:after="60" w:line="340" w:lineRule="exact"/>
              <w:ind w:left="0" w:right="227"/>
              <w:rPr>
                <w:sz w:val="18"/>
                <w:szCs w:val="26"/>
                <w:rtl/>
              </w:rPr>
            </w:pPr>
            <w:r w:rsidRPr="000A75F9">
              <w:rPr>
                <w:sz w:val="18"/>
                <w:szCs w:val="26"/>
                <w:rtl/>
              </w:rPr>
              <w:t>السجن لشهرين ونصف الشهر و3 سنوات تحت المراقبة</w:t>
            </w:r>
          </w:p>
        </w:tc>
        <w:tc>
          <w:tcPr>
            <w:tcW w:w="3737" w:type="dxa"/>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Pr>
            </w:pPr>
            <w:r w:rsidRPr="000A75F9">
              <w:rPr>
                <w:sz w:val="18"/>
                <w:szCs w:val="26"/>
                <w:rtl/>
              </w:rPr>
              <w:t xml:space="preserve">مخالفة حظر بيوت الدعارة </w:t>
            </w:r>
          </w:p>
        </w:tc>
      </w:tr>
      <w:tr w:rsidR="000A75F9" w:rsidRPr="000A75F9" w:rsidTr="000A75F9">
        <w:trPr>
          <w:trHeight w:val="240"/>
        </w:trPr>
        <w:tc>
          <w:tcPr>
            <w:tcW w:w="1237" w:type="dxa"/>
            <w:tcBorders>
              <w:bottom w:val="single" w:sz="12" w:space="0" w:color="auto"/>
            </w:tcBorders>
            <w:shd w:val="clear" w:color="auto" w:fill="auto"/>
          </w:tcPr>
          <w:p w:rsidR="000A75F9" w:rsidRPr="000A75F9" w:rsidRDefault="000A75F9" w:rsidP="00BE6F7A">
            <w:pPr>
              <w:pStyle w:val="SingleTxtGA"/>
              <w:tabs>
                <w:tab w:val="clear" w:pos="1928"/>
                <w:tab w:val="clear" w:pos="2608"/>
                <w:tab w:val="clear" w:pos="3289"/>
                <w:tab w:val="clear" w:pos="3969"/>
                <w:tab w:val="clear" w:pos="4649"/>
                <w:tab w:val="clear" w:pos="5330"/>
              </w:tabs>
              <w:spacing w:after="60" w:line="340" w:lineRule="exact"/>
              <w:ind w:left="0" w:right="0"/>
              <w:rPr>
                <w:sz w:val="18"/>
                <w:szCs w:val="26"/>
                <w:rtl/>
              </w:rPr>
            </w:pPr>
            <w:r w:rsidRPr="000A75F9">
              <w:rPr>
                <w:sz w:val="18"/>
                <w:szCs w:val="26"/>
                <w:rtl/>
              </w:rPr>
              <w:t>3</w:t>
            </w:r>
          </w:p>
        </w:tc>
        <w:tc>
          <w:tcPr>
            <w:tcW w:w="2396" w:type="dxa"/>
            <w:tcBorders>
              <w:bottom w:val="single" w:sz="12" w:space="0" w:color="auto"/>
            </w:tcBorders>
            <w:shd w:val="clear" w:color="auto" w:fill="auto"/>
          </w:tcPr>
          <w:p w:rsidR="000A75F9" w:rsidRPr="000A75F9" w:rsidRDefault="000A75F9" w:rsidP="00840CD1">
            <w:pPr>
              <w:pStyle w:val="SingleTxtGA"/>
              <w:tabs>
                <w:tab w:val="clear" w:pos="1928"/>
                <w:tab w:val="clear" w:pos="2608"/>
                <w:tab w:val="clear" w:pos="3289"/>
                <w:tab w:val="clear" w:pos="3969"/>
                <w:tab w:val="clear" w:pos="4649"/>
                <w:tab w:val="clear" w:pos="5330"/>
              </w:tabs>
              <w:spacing w:after="60" w:line="340" w:lineRule="exact"/>
              <w:ind w:left="0" w:right="227"/>
              <w:rPr>
                <w:rFonts w:hint="cs"/>
                <w:sz w:val="18"/>
                <w:szCs w:val="26"/>
                <w:rtl/>
              </w:rPr>
            </w:pPr>
            <w:r w:rsidRPr="000A75F9">
              <w:rPr>
                <w:sz w:val="18"/>
                <w:szCs w:val="26"/>
                <w:rtl/>
              </w:rPr>
              <w:t xml:space="preserve">الأول: السجن 13 سنة </w:t>
            </w:r>
          </w:p>
          <w:p w:rsidR="000A75F9" w:rsidRPr="000A75F9" w:rsidRDefault="000A75F9" w:rsidP="00840CD1">
            <w:pPr>
              <w:pStyle w:val="SingleTxtGA"/>
              <w:tabs>
                <w:tab w:val="clear" w:pos="1928"/>
                <w:tab w:val="clear" w:pos="2608"/>
                <w:tab w:val="clear" w:pos="3289"/>
                <w:tab w:val="clear" w:pos="3969"/>
                <w:tab w:val="clear" w:pos="4649"/>
                <w:tab w:val="clear" w:pos="5330"/>
              </w:tabs>
              <w:spacing w:after="60" w:line="340" w:lineRule="exact"/>
              <w:ind w:left="0" w:right="227"/>
              <w:rPr>
                <w:rFonts w:hint="cs"/>
                <w:sz w:val="18"/>
                <w:szCs w:val="26"/>
              </w:rPr>
            </w:pPr>
            <w:r w:rsidRPr="000A75F9">
              <w:rPr>
                <w:rFonts w:hint="cs"/>
                <w:sz w:val="18"/>
                <w:szCs w:val="26"/>
                <w:rtl/>
              </w:rPr>
              <w:t>الثاني: 11 سنة</w:t>
            </w:r>
          </w:p>
          <w:p w:rsidR="000A75F9" w:rsidRPr="000A75F9" w:rsidRDefault="000A75F9" w:rsidP="00840CD1">
            <w:pPr>
              <w:pStyle w:val="SingleTxtGA"/>
              <w:tabs>
                <w:tab w:val="clear" w:pos="1928"/>
                <w:tab w:val="clear" w:pos="2608"/>
                <w:tab w:val="clear" w:pos="3289"/>
                <w:tab w:val="clear" w:pos="3969"/>
                <w:tab w:val="clear" w:pos="4649"/>
                <w:tab w:val="clear" w:pos="5330"/>
              </w:tabs>
              <w:spacing w:after="60" w:line="340" w:lineRule="exact"/>
              <w:ind w:left="0" w:right="227"/>
              <w:rPr>
                <w:rFonts w:hint="cs"/>
                <w:sz w:val="18"/>
                <w:szCs w:val="26"/>
              </w:rPr>
            </w:pPr>
            <w:r w:rsidRPr="000A75F9">
              <w:rPr>
                <w:rFonts w:hint="cs"/>
                <w:sz w:val="18"/>
                <w:szCs w:val="26"/>
                <w:rtl/>
              </w:rPr>
              <w:t>الثالث</w:t>
            </w:r>
            <w:r w:rsidRPr="000A75F9">
              <w:rPr>
                <w:sz w:val="18"/>
                <w:szCs w:val="26"/>
                <w:rtl/>
              </w:rPr>
              <w:t xml:space="preserve">: </w:t>
            </w:r>
            <w:r>
              <w:rPr>
                <w:rFonts w:hint="cs"/>
                <w:sz w:val="18"/>
                <w:szCs w:val="26"/>
                <w:rtl/>
              </w:rPr>
              <w:t>السجن 60 يوماً</w:t>
            </w:r>
          </w:p>
        </w:tc>
        <w:tc>
          <w:tcPr>
            <w:tcW w:w="3737" w:type="dxa"/>
            <w:tcBorders>
              <w:bottom w:val="single" w:sz="12" w:space="0" w:color="auto"/>
            </w:tcBorders>
            <w:shd w:val="clear" w:color="auto" w:fill="auto"/>
          </w:tcPr>
          <w:p w:rsidR="00BE6F7A" w:rsidRDefault="00BE6F7A" w:rsidP="00BE6F7A">
            <w:pPr>
              <w:pStyle w:val="SingleTxtGA"/>
              <w:tabs>
                <w:tab w:val="clear" w:pos="1928"/>
                <w:tab w:val="clear" w:pos="2608"/>
                <w:tab w:val="clear" w:pos="3289"/>
                <w:tab w:val="clear" w:pos="3969"/>
                <w:tab w:val="clear" w:pos="4649"/>
                <w:tab w:val="clear" w:pos="5330"/>
              </w:tabs>
              <w:spacing w:after="60" w:line="340" w:lineRule="exact"/>
              <w:ind w:left="0" w:right="0"/>
              <w:rPr>
                <w:rFonts w:hint="cs"/>
                <w:sz w:val="18"/>
                <w:szCs w:val="26"/>
                <w:rtl/>
              </w:rPr>
            </w:pPr>
            <w:r>
              <w:rPr>
                <w:rFonts w:hint="cs"/>
                <w:sz w:val="18"/>
                <w:szCs w:val="26"/>
                <w:rtl/>
              </w:rPr>
              <w:t>الأول: حيازة بندقية، اختطاف، اغتصاب</w:t>
            </w:r>
          </w:p>
          <w:p w:rsidR="00BE6F7A" w:rsidRDefault="00BE6F7A" w:rsidP="00BE6F7A">
            <w:pPr>
              <w:pStyle w:val="SingleTxtGA"/>
              <w:tabs>
                <w:tab w:val="clear" w:pos="1928"/>
                <w:tab w:val="clear" w:pos="2608"/>
                <w:tab w:val="clear" w:pos="3289"/>
                <w:tab w:val="clear" w:pos="3969"/>
                <w:tab w:val="clear" w:pos="4649"/>
                <w:tab w:val="clear" w:pos="5330"/>
              </w:tabs>
              <w:spacing w:after="60" w:line="340" w:lineRule="exact"/>
              <w:ind w:left="0" w:right="0"/>
              <w:rPr>
                <w:rFonts w:hint="cs"/>
                <w:sz w:val="18"/>
                <w:szCs w:val="26"/>
                <w:rtl/>
              </w:rPr>
            </w:pPr>
            <w:r>
              <w:rPr>
                <w:rFonts w:hint="cs"/>
                <w:sz w:val="18"/>
                <w:szCs w:val="26"/>
                <w:rtl/>
              </w:rPr>
              <w:t>الثاني: اختطاف، اغتصاب</w:t>
            </w:r>
          </w:p>
          <w:p w:rsidR="000A75F9" w:rsidRPr="00BE6F7A" w:rsidRDefault="00BE6F7A" w:rsidP="00BE6F7A">
            <w:pPr>
              <w:pStyle w:val="SingleTxtGA"/>
              <w:tabs>
                <w:tab w:val="clear" w:pos="1928"/>
                <w:tab w:val="clear" w:pos="2608"/>
                <w:tab w:val="clear" w:pos="3289"/>
                <w:tab w:val="clear" w:pos="3969"/>
                <w:tab w:val="clear" w:pos="4649"/>
                <w:tab w:val="clear" w:pos="5330"/>
              </w:tabs>
              <w:spacing w:after="60" w:line="340" w:lineRule="exact"/>
              <w:ind w:left="0" w:right="0"/>
              <w:rPr>
                <w:rFonts w:hint="cs"/>
                <w:sz w:val="18"/>
                <w:szCs w:val="26"/>
              </w:rPr>
            </w:pPr>
            <w:r>
              <w:rPr>
                <w:rFonts w:hint="cs"/>
                <w:sz w:val="18"/>
                <w:szCs w:val="26"/>
                <w:rtl/>
              </w:rPr>
              <w:t>الثالث: الاشتراك بعد ارتكاب الجريمة، الإدلاء بمعلومات مغلوطة لضباط الشرطة</w:t>
            </w:r>
          </w:p>
        </w:tc>
      </w:tr>
    </w:tbl>
    <w:p w:rsidR="002B79B5" w:rsidRDefault="00BE6F7A" w:rsidP="00BE6F7A">
      <w:pPr>
        <w:pStyle w:val="H1GA"/>
        <w:spacing w:before="120"/>
        <w:rPr>
          <w:rtl/>
        </w:rPr>
      </w:pPr>
      <w:r>
        <w:rPr>
          <w:rtl/>
        </w:rPr>
        <w:br w:type="page"/>
      </w:r>
      <w:r>
        <w:rPr>
          <w:rFonts w:hint="cs"/>
          <w:rtl/>
        </w:rPr>
        <w:tab/>
      </w:r>
      <w:r>
        <w:rPr>
          <w:rFonts w:hint="cs"/>
          <w:rtl/>
        </w:rPr>
        <w:tab/>
      </w:r>
      <w:r w:rsidR="002B79B5">
        <w:rPr>
          <w:rtl/>
        </w:rPr>
        <w:t>المشاركة في الحياة السياسية والحياة العامة وفي صناعة القرار</w:t>
      </w:r>
    </w:p>
    <w:p w:rsidR="002B79B5" w:rsidRDefault="00BE6F7A" w:rsidP="00BE6F7A">
      <w:pPr>
        <w:pStyle w:val="H23GA"/>
        <w:rPr>
          <w:rtl/>
        </w:rPr>
      </w:pPr>
      <w:r>
        <w:rPr>
          <w:rFonts w:hint="cs"/>
          <w:rtl/>
        </w:rPr>
        <w:tab/>
      </w:r>
      <w:r>
        <w:rPr>
          <w:rFonts w:hint="cs"/>
          <w:rtl/>
        </w:rPr>
        <w:tab/>
      </w:r>
      <w:r w:rsidR="002B79B5">
        <w:rPr>
          <w:rtl/>
        </w:rPr>
        <w:t>الرد على القضايا المطروحة في الفقرة 10 من قائمة القضايا</w:t>
      </w:r>
    </w:p>
    <w:p w:rsidR="002B79B5" w:rsidRDefault="00BE6F7A" w:rsidP="00BE6F7A">
      <w:pPr>
        <w:pStyle w:val="H23GA"/>
        <w:rPr>
          <w:rtl/>
        </w:rPr>
      </w:pPr>
      <w:r>
        <w:rPr>
          <w:rFonts w:hint="cs"/>
          <w:rtl/>
        </w:rPr>
        <w:tab/>
      </w:r>
      <w:r>
        <w:rPr>
          <w:rFonts w:hint="cs"/>
          <w:rtl/>
        </w:rPr>
        <w:tab/>
      </w:r>
      <w:r w:rsidR="002B79B5">
        <w:rPr>
          <w:rtl/>
        </w:rPr>
        <w:t>معلومات محدثة عن مشاركة المرأة</w:t>
      </w:r>
    </w:p>
    <w:p w:rsidR="002B79B5" w:rsidRDefault="002B79B5" w:rsidP="002B79B5">
      <w:pPr>
        <w:pStyle w:val="SingleTxtGA"/>
        <w:rPr>
          <w:rtl/>
        </w:rPr>
      </w:pPr>
      <w:r>
        <w:rPr>
          <w:rtl/>
        </w:rPr>
        <w:t>55</w:t>
      </w:r>
      <w:r w:rsidR="0079367C">
        <w:rPr>
          <w:rtl/>
        </w:rPr>
        <w:t>-</w:t>
      </w:r>
      <w:r w:rsidR="0079367C">
        <w:rPr>
          <w:rtl/>
        </w:rPr>
        <w:tab/>
      </w:r>
      <w:r>
        <w:rPr>
          <w:rtl/>
        </w:rPr>
        <w:t>التعيينات السياسية:</w:t>
      </w:r>
    </w:p>
    <w:p w:rsidR="002B79B5" w:rsidRDefault="0079367C" w:rsidP="002B79B5">
      <w:pPr>
        <w:pStyle w:val="SingleTxtGA"/>
        <w:rPr>
          <w:rtl/>
        </w:rPr>
      </w:pPr>
      <w:r>
        <w:rPr>
          <w:rtl/>
        </w:rPr>
        <w:tab/>
        <w:t>(</w:t>
      </w:r>
      <w:r w:rsidR="002B79B5">
        <w:rPr>
          <w:rtl/>
        </w:rPr>
        <w:t>أ</w:t>
      </w:r>
      <w:r>
        <w:rPr>
          <w:rtl/>
        </w:rPr>
        <w:t>)</w:t>
      </w:r>
      <w:r>
        <w:rPr>
          <w:rtl/>
        </w:rPr>
        <w:tab/>
      </w:r>
      <w:r w:rsidR="002B79B5">
        <w:rPr>
          <w:rtl/>
        </w:rPr>
        <w:t>مجلس الوزراء: 4 وزراء (وزارة الخارجية</w:t>
      </w:r>
      <w:r>
        <w:rPr>
          <w:rtl/>
        </w:rPr>
        <w:t>،</w:t>
      </w:r>
      <w:r w:rsidR="002B79B5">
        <w:rPr>
          <w:rtl/>
        </w:rPr>
        <w:t xml:space="preserve"> وزارة الداخلية، وزارة العمل والتأمينات الاجتماعية، وزارة الصحة)؛</w:t>
      </w:r>
    </w:p>
    <w:p w:rsidR="002B79B5" w:rsidRDefault="0079367C" w:rsidP="002B79B5">
      <w:pPr>
        <w:pStyle w:val="SingleTxtGA"/>
        <w:rPr>
          <w:rtl/>
        </w:rPr>
      </w:pPr>
      <w:r>
        <w:rPr>
          <w:rtl/>
        </w:rPr>
        <w:tab/>
        <w:t>(</w:t>
      </w:r>
      <w:r w:rsidR="002B79B5">
        <w:rPr>
          <w:rtl/>
        </w:rPr>
        <w:t>ب</w:t>
      </w:r>
      <w:r>
        <w:rPr>
          <w:rtl/>
        </w:rPr>
        <w:t>)</w:t>
      </w:r>
      <w:r>
        <w:rPr>
          <w:rtl/>
        </w:rPr>
        <w:tab/>
      </w:r>
      <w:r w:rsidR="002B79B5">
        <w:rPr>
          <w:rtl/>
        </w:rPr>
        <w:t>مراجع الحسابات العام؛</w:t>
      </w:r>
    </w:p>
    <w:p w:rsidR="002B79B5" w:rsidRDefault="0079367C" w:rsidP="002B79B5">
      <w:pPr>
        <w:pStyle w:val="SingleTxtGA"/>
        <w:rPr>
          <w:rtl/>
        </w:rPr>
      </w:pPr>
      <w:r>
        <w:rPr>
          <w:rtl/>
        </w:rPr>
        <w:tab/>
        <w:t>(</w:t>
      </w:r>
      <w:r w:rsidR="002B79B5">
        <w:rPr>
          <w:rtl/>
        </w:rPr>
        <w:t>ج</w:t>
      </w:r>
      <w:r>
        <w:rPr>
          <w:rtl/>
        </w:rPr>
        <w:t>)</w:t>
      </w:r>
      <w:r>
        <w:rPr>
          <w:rtl/>
        </w:rPr>
        <w:tab/>
      </w:r>
      <w:r w:rsidR="002B79B5">
        <w:rPr>
          <w:rtl/>
        </w:rPr>
        <w:t>المحاسب العام؛</w:t>
      </w:r>
    </w:p>
    <w:p w:rsidR="002B79B5" w:rsidRDefault="0079367C" w:rsidP="002B79B5">
      <w:pPr>
        <w:pStyle w:val="SingleTxtGA"/>
        <w:rPr>
          <w:rtl/>
        </w:rPr>
      </w:pPr>
      <w:r>
        <w:rPr>
          <w:rtl/>
        </w:rPr>
        <w:tab/>
        <w:t>(</w:t>
      </w:r>
      <w:r w:rsidR="002B79B5">
        <w:rPr>
          <w:rtl/>
        </w:rPr>
        <w:t>د</w:t>
      </w:r>
      <w:r>
        <w:rPr>
          <w:rtl/>
        </w:rPr>
        <w:t>)</w:t>
      </w:r>
      <w:r>
        <w:rPr>
          <w:rtl/>
        </w:rPr>
        <w:tab/>
      </w:r>
      <w:r w:rsidR="002B79B5">
        <w:rPr>
          <w:rtl/>
        </w:rPr>
        <w:t>أمين المظالم/مفوض الشؤون الإدارية؛</w:t>
      </w:r>
    </w:p>
    <w:p w:rsidR="002B79B5" w:rsidRDefault="0079367C" w:rsidP="002B79B5">
      <w:pPr>
        <w:pStyle w:val="SingleTxtGA"/>
        <w:rPr>
          <w:rtl/>
        </w:rPr>
      </w:pPr>
      <w:r>
        <w:rPr>
          <w:rtl/>
        </w:rPr>
        <w:tab/>
        <w:t>(</w:t>
      </w:r>
      <w:r w:rsidR="00416995">
        <w:rPr>
          <w:rtl/>
        </w:rPr>
        <w:t>ﻫ</w:t>
      </w:r>
      <w:r>
        <w:rPr>
          <w:rtl/>
        </w:rPr>
        <w:t>)</w:t>
      </w:r>
      <w:r>
        <w:rPr>
          <w:rtl/>
        </w:rPr>
        <w:tab/>
      </w:r>
      <w:r w:rsidR="002B79B5">
        <w:rPr>
          <w:rtl/>
        </w:rPr>
        <w:t>المفوض القانوني؛</w:t>
      </w:r>
    </w:p>
    <w:p w:rsidR="002B79B5" w:rsidRDefault="0079367C" w:rsidP="002B79B5">
      <w:pPr>
        <w:pStyle w:val="SingleTxtGA"/>
        <w:rPr>
          <w:rtl/>
        </w:rPr>
      </w:pPr>
      <w:r>
        <w:rPr>
          <w:rtl/>
        </w:rPr>
        <w:tab/>
        <w:t>(</w:t>
      </w:r>
      <w:r w:rsidR="002B79B5">
        <w:rPr>
          <w:rtl/>
        </w:rPr>
        <w:t>و</w:t>
      </w:r>
      <w:r>
        <w:rPr>
          <w:rtl/>
        </w:rPr>
        <w:t>)</w:t>
      </w:r>
      <w:r>
        <w:rPr>
          <w:rtl/>
        </w:rPr>
        <w:tab/>
      </w:r>
      <w:r w:rsidR="002B79B5">
        <w:rPr>
          <w:rtl/>
        </w:rPr>
        <w:t>مفوضة حقوق الطفل.</w:t>
      </w:r>
    </w:p>
    <w:p w:rsidR="002B79B5" w:rsidRDefault="002B79B5" w:rsidP="002B79B5">
      <w:pPr>
        <w:pStyle w:val="SingleTxtGA"/>
        <w:rPr>
          <w:rtl/>
        </w:rPr>
      </w:pPr>
      <w:r>
        <w:rPr>
          <w:rtl/>
        </w:rPr>
        <w:t>56</w:t>
      </w:r>
      <w:r w:rsidR="0079367C">
        <w:rPr>
          <w:rtl/>
        </w:rPr>
        <w:t>-</w:t>
      </w:r>
      <w:r w:rsidR="0079367C">
        <w:rPr>
          <w:rtl/>
        </w:rPr>
        <w:tab/>
      </w:r>
      <w:r>
        <w:rPr>
          <w:rtl/>
        </w:rPr>
        <w:t>الخدمة المدنية:</w:t>
      </w:r>
    </w:p>
    <w:p w:rsidR="002B79B5" w:rsidRDefault="0079367C" w:rsidP="002B79B5">
      <w:pPr>
        <w:pStyle w:val="SingleTxtGA"/>
        <w:rPr>
          <w:rtl/>
        </w:rPr>
      </w:pPr>
      <w:r>
        <w:rPr>
          <w:rtl/>
        </w:rPr>
        <w:tab/>
        <w:t>(</w:t>
      </w:r>
      <w:r w:rsidR="002B79B5">
        <w:rPr>
          <w:rtl/>
        </w:rPr>
        <w:t>أ</w:t>
      </w:r>
      <w:r>
        <w:rPr>
          <w:rtl/>
        </w:rPr>
        <w:t>)</w:t>
      </w:r>
      <w:r>
        <w:rPr>
          <w:rtl/>
        </w:rPr>
        <w:tab/>
      </w:r>
      <w:r w:rsidR="002B79B5">
        <w:rPr>
          <w:rtl/>
        </w:rPr>
        <w:t>3/11 (27 في المائة) أمناء دائمون؛</w:t>
      </w:r>
    </w:p>
    <w:p w:rsidR="002B79B5" w:rsidRDefault="0079367C" w:rsidP="002B79B5">
      <w:pPr>
        <w:pStyle w:val="SingleTxtGA"/>
        <w:rPr>
          <w:rtl/>
        </w:rPr>
      </w:pPr>
      <w:r>
        <w:rPr>
          <w:rtl/>
        </w:rPr>
        <w:tab/>
        <w:t>(</w:t>
      </w:r>
      <w:r w:rsidR="002B79B5">
        <w:rPr>
          <w:rtl/>
        </w:rPr>
        <w:t>ب</w:t>
      </w:r>
      <w:r>
        <w:rPr>
          <w:rtl/>
        </w:rPr>
        <w:t>)</w:t>
      </w:r>
      <w:r>
        <w:rPr>
          <w:rtl/>
        </w:rPr>
        <w:tab/>
      </w:r>
      <w:r w:rsidR="002B79B5">
        <w:rPr>
          <w:rtl/>
        </w:rPr>
        <w:t>7/51 (14 في المائة) مديرو إدارات بالوزارات.</w:t>
      </w:r>
    </w:p>
    <w:p w:rsidR="002B79B5" w:rsidRDefault="002B79B5" w:rsidP="002B79B5">
      <w:pPr>
        <w:pStyle w:val="SingleTxtGA"/>
        <w:rPr>
          <w:rtl/>
        </w:rPr>
      </w:pPr>
      <w:r>
        <w:rPr>
          <w:rtl/>
        </w:rPr>
        <w:t>57</w:t>
      </w:r>
      <w:r w:rsidR="0079367C">
        <w:rPr>
          <w:rtl/>
        </w:rPr>
        <w:t>-</w:t>
      </w:r>
      <w:r w:rsidR="0079367C">
        <w:rPr>
          <w:rtl/>
        </w:rPr>
        <w:tab/>
      </w:r>
      <w:r>
        <w:rPr>
          <w:rtl/>
        </w:rPr>
        <w:t>المناصب التي تشغل بالانتخاب:</w:t>
      </w:r>
    </w:p>
    <w:p w:rsidR="002B79B5" w:rsidRDefault="002B79B5" w:rsidP="0089312E">
      <w:pPr>
        <w:pStyle w:val="Bullet1GA"/>
        <w:tabs>
          <w:tab w:val="clear" w:pos="2041"/>
        </w:tabs>
        <w:bidi/>
        <w:ind w:left="1939" w:hanging="350"/>
        <w:rPr>
          <w:rtl/>
        </w:rPr>
      </w:pPr>
      <w:r>
        <w:rPr>
          <w:rtl/>
        </w:rPr>
        <w:t>البرلمان:</w:t>
      </w:r>
    </w:p>
    <w:p w:rsidR="002B79B5" w:rsidRDefault="002B79B5" w:rsidP="0089312E">
      <w:pPr>
        <w:pStyle w:val="SingleTxtGA"/>
        <w:ind w:left="2040" w:hanging="101"/>
        <w:rPr>
          <w:rtl/>
        </w:rPr>
      </w:pPr>
      <w:r>
        <w:rPr>
          <w:rtl/>
        </w:rPr>
        <w:t>6/56 (11 في المائة) أعضاء في البرلمان؛</w:t>
      </w:r>
    </w:p>
    <w:p w:rsidR="002B79B5" w:rsidRDefault="002B79B5" w:rsidP="0089312E">
      <w:pPr>
        <w:pStyle w:val="Bullet1GA"/>
        <w:tabs>
          <w:tab w:val="clear" w:pos="2041"/>
        </w:tabs>
        <w:bidi/>
        <w:ind w:left="1939" w:hanging="350"/>
        <w:rPr>
          <w:rtl/>
        </w:rPr>
      </w:pPr>
      <w:r>
        <w:rPr>
          <w:rtl/>
        </w:rPr>
        <w:t>المجالس البلدية:</w:t>
      </w:r>
    </w:p>
    <w:p w:rsidR="002B79B5" w:rsidRDefault="002B79B5" w:rsidP="0089312E">
      <w:pPr>
        <w:pStyle w:val="SingleTxtGA"/>
        <w:ind w:left="2040" w:hanging="101"/>
        <w:rPr>
          <w:rtl/>
        </w:rPr>
      </w:pPr>
      <w:r>
        <w:rPr>
          <w:rtl/>
        </w:rPr>
        <w:t>84/468 (17.9 في المائة) أعضاء في المجالس البلدية؛</w:t>
      </w:r>
    </w:p>
    <w:p w:rsidR="002B79B5" w:rsidRDefault="002B79B5" w:rsidP="0089312E">
      <w:pPr>
        <w:pStyle w:val="Bullet1GA"/>
        <w:tabs>
          <w:tab w:val="clear" w:pos="2041"/>
        </w:tabs>
        <w:bidi/>
        <w:ind w:left="1939" w:hanging="350"/>
        <w:rPr>
          <w:rtl/>
        </w:rPr>
      </w:pPr>
      <w:r>
        <w:rPr>
          <w:rtl/>
        </w:rPr>
        <w:t>البرلمان الأوروبي:</w:t>
      </w:r>
    </w:p>
    <w:p w:rsidR="002B79B5" w:rsidRDefault="002B79B5" w:rsidP="0089312E">
      <w:pPr>
        <w:pStyle w:val="SingleTxtGA"/>
        <w:ind w:left="2040" w:hanging="101"/>
        <w:rPr>
          <w:rtl/>
        </w:rPr>
      </w:pPr>
      <w:r>
        <w:rPr>
          <w:rtl/>
        </w:rPr>
        <w:t>2/6 (33.3 في المائة) أعضاء في البرلمان الأوروبي.</w:t>
      </w:r>
    </w:p>
    <w:p w:rsidR="002B79B5" w:rsidRDefault="002B79B5" w:rsidP="002B79B5">
      <w:pPr>
        <w:pStyle w:val="SingleTxtGA"/>
        <w:rPr>
          <w:rtl/>
        </w:rPr>
      </w:pPr>
      <w:r>
        <w:rPr>
          <w:rtl/>
        </w:rPr>
        <w:t>58</w:t>
      </w:r>
      <w:r w:rsidR="0079367C">
        <w:rPr>
          <w:rtl/>
        </w:rPr>
        <w:t>-</w:t>
      </w:r>
      <w:r w:rsidR="0079367C">
        <w:rPr>
          <w:rtl/>
        </w:rPr>
        <w:tab/>
      </w:r>
      <w:r>
        <w:rPr>
          <w:rtl/>
        </w:rPr>
        <w:t xml:space="preserve">الجهاز القضائي: </w:t>
      </w:r>
    </w:p>
    <w:p w:rsidR="002B79B5" w:rsidRDefault="002B79B5" w:rsidP="0089312E">
      <w:pPr>
        <w:pStyle w:val="Bullet1GA"/>
        <w:tabs>
          <w:tab w:val="clear" w:pos="2041"/>
        </w:tabs>
        <w:bidi/>
        <w:ind w:left="1939" w:hanging="350"/>
        <w:rPr>
          <w:rtl/>
        </w:rPr>
      </w:pPr>
      <w:r>
        <w:rPr>
          <w:rtl/>
        </w:rPr>
        <w:t>2/13 (15 في المائة) قضاة في المحكمة العليا؛</w:t>
      </w:r>
    </w:p>
    <w:p w:rsidR="002B79B5" w:rsidRDefault="002B79B5" w:rsidP="0089312E">
      <w:pPr>
        <w:pStyle w:val="Bullet1GA"/>
        <w:tabs>
          <w:tab w:val="clear" w:pos="2041"/>
        </w:tabs>
        <w:bidi/>
        <w:ind w:left="1939" w:hanging="350"/>
        <w:rPr>
          <w:rtl/>
        </w:rPr>
      </w:pPr>
      <w:r>
        <w:rPr>
          <w:rtl/>
        </w:rPr>
        <w:t>47/106 (44 في المائة) قضاة.</w:t>
      </w:r>
    </w:p>
    <w:p w:rsidR="002B79B5" w:rsidRDefault="002B79B5" w:rsidP="002B79B5">
      <w:pPr>
        <w:pStyle w:val="SingleTxtGA"/>
        <w:rPr>
          <w:rtl/>
        </w:rPr>
      </w:pPr>
      <w:r>
        <w:rPr>
          <w:rtl/>
        </w:rPr>
        <w:t>59</w:t>
      </w:r>
      <w:r w:rsidR="0079367C">
        <w:rPr>
          <w:rtl/>
        </w:rPr>
        <w:t>-</w:t>
      </w:r>
      <w:r w:rsidR="0079367C">
        <w:rPr>
          <w:rtl/>
        </w:rPr>
        <w:tab/>
      </w:r>
      <w:r>
        <w:rPr>
          <w:rtl/>
        </w:rPr>
        <w:t xml:space="preserve">تدعم قبرص فكرة وجود </w:t>
      </w:r>
      <w:proofErr w:type="spellStart"/>
      <w:r>
        <w:rPr>
          <w:rtl/>
        </w:rPr>
        <w:t>استراتيجية</w:t>
      </w:r>
      <w:proofErr w:type="spellEnd"/>
      <w:r>
        <w:rPr>
          <w:rtl/>
        </w:rPr>
        <w:t xml:space="preserve"> شاملة تتضمن تدابير ترمي إلى معالجة الأسباب الرئيسية لانعدام المساواة بين الرجل والمرأة، مثل القضاء على </w:t>
      </w:r>
      <w:proofErr w:type="spellStart"/>
      <w:r>
        <w:rPr>
          <w:rtl/>
        </w:rPr>
        <w:t>التنميطات</w:t>
      </w:r>
      <w:proofErr w:type="spellEnd"/>
      <w:r>
        <w:rPr>
          <w:rtl/>
        </w:rPr>
        <w:t xml:space="preserve"> </w:t>
      </w:r>
      <w:proofErr w:type="spellStart"/>
      <w:r>
        <w:rPr>
          <w:rtl/>
        </w:rPr>
        <w:t>الجنسانية</w:t>
      </w:r>
      <w:proofErr w:type="spellEnd"/>
      <w:r>
        <w:rPr>
          <w:rtl/>
        </w:rPr>
        <w:t xml:space="preserve"> من خلال التعليم ووسائط الإعلام، وتعزيز المواءمة بين الحياة المهنية والحياة الأسرية، والقضاء على جميع أشكال العنف ضد المرأة، إلى غير ذلك. </w:t>
      </w:r>
    </w:p>
    <w:p w:rsidR="002B79B5" w:rsidRDefault="002B79B5" w:rsidP="002B79B5">
      <w:pPr>
        <w:pStyle w:val="SingleTxtGA"/>
        <w:rPr>
          <w:rtl/>
        </w:rPr>
      </w:pPr>
      <w:r>
        <w:rPr>
          <w:rtl/>
        </w:rPr>
        <w:t>60</w:t>
      </w:r>
      <w:r w:rsidR="0079367C">
        <w:rPr>
          <w:rtl/>
        </w:rPr>
        <w:t>-</w:t>
      </w:r>
      <w:r w:rsidR="0079367C">
        <w:rPr>
          <w:rtl/>
        </w:rPr>
        <w:tab/>
      </w:r>
      <w:r>
        <w:rPr>
          <w:rtl/>
        </w:rPr>
        <w:t>ويرد استعمال الحصص على جدول أعمال عدد من المنظمات غير الحكومية، رغم عدم دعمه من الحكومة أو المجتمع المدني عموم</w:t>
      </w:r>
      <w:r w:rsidR="00D94BE0">
        <w:rPr>
          <w:rtl/>
        </w:rPr>
        <w:t>اً.</w:t>
      </w:r>
    </w:p>
    <w:p w:rsidR="002B79B5" w:rsidRDefault="002B79B5" w:rsidP="002B79B5">
      <w:pPr>
        <w:pStyle w:val="SingleTxtGA"/>
        <w:rPr>
          <w:rtl/>
        </w:rPr>
      </w:pPr>
      <w:r>
        <w:rPr>
          <w:rtl/>
        </w:rPr>
        <w:t>61</w:t>
      </w:r>
      <w:r w:rsidR="0079367C">
        <w:rPr>
          <w:rtl/>
        </w:rPr>
        <w:t>-</w:t>
      </w:r>
      <w:r w:rsidR="0079367C">
        <w:rPr>
          <w:rtl/>
        </w:rPr>
        <w:tab/>
      </w:r>
      <w:r>
        <w:rPr>
          <w:rtl/>
        </w:rPr>
        <w:t>ويعمل الجهاز الوطني لحقوق المرأة بفاعلية كبيرة في مجال مشاركة المرأة في الحياة السياسية. وفي سياق الانتخابات البرلمانية والمحلية لعام 2011، نظم الجهاز حملة من خلال وسائط الإعلام تستهدف إلقاء مزيد من الضوء على قضايا المرأة وعلى المرشحات.</w:t>
      </w:r>
    </w:p>
    <w:p w:rsidR="002B79B5" w:rsidRDefault="00BE6F7A" w:rsidP="00BE6F7A">
      <w:pPr>
        <w:pStyle w:val="H23GA"/>
        <w:rPr>
          <w:rtl/>
        </w:rPr>
      </w:pPr>
      <w:r>
        <w:rPr>
          <w:rFonts w:hint="cs"/>
          <w:rtl/>
        </w:rPr>
        <w:tab/>
      </w:r>
      <w:r>
        <w:rPr>
          <w:rFonts w:hint="cs"/>
          <w:rtl/>
        </w:rPr>
        <w:tab/>
      </w:r>
      <w:r w:rsidR="002B79B5">
        <w:rPr>
          <w:rtl/>
        </w:rPr>
        <w:t>الخدمة الدولية</w:t>
      </w:r>
    </w:p>
    <w:p w:rsidR="002B79B5" w:rsidRDefault="002B79B5" w:rsidP="002B79B5">
      <w:pPr>
        <w:pStyle w:val="SingleTxtGA"/>
        <w:rPr>
          <w:rtl/>
        </w:rPr>
      </w:pPr>
      <w:r>
        <w:rPr>
          <w:rtl/>
        </w:rPr>
        <w:t>62</w:t>
      </w:r>
      <w:r w:rsidR="0079367C">
        <w:rPr>
          <w:rtl/>
        </w:rPr>
        <w:t>-</w:t>
      </w:r>
      <w:r w:rsidR="0079367C">
        <w:rPr>
          <w:rtl/>
        </w:rPr>
        <w:tab/>
      </w:r>
      <w:r>
        <w:rPr>
          <w:rtl/>
        </w:rPr>
        <w:t>يبدو أن هناك تذبذب</w:t>
      </w:r>
      <w:r w:rsidR="00D94BE0">
        <w:rPr>
          <w:rtl/>
        </w:rPr>
        <w:t xml:space="preserve">اً </w:t>
      </w:r>
      <w:r>
        <w:rPr>
          <w:rtl/>
        </w:rPr>
        <w:t>من عام لآخر، ولكن التقرير الدوري</w:t>
      </w:r>
      <w:r w:rsidR="00E840A2">
        <w:rPr>
          <w:rtl/>
        </w:rPr>
        <w:t xml:space="preserve"> لا </w:t>
      </w:r>
      <w:r>
        <w:rPr>
          <w:rtl/>
        </w:rPr>
        <w:t>يُظهر تغير</w:t>
      </w:r>
      <w:r w:rsidR="00D94BE0">
        <w:rPr>
          <w:rtl/>
        </w:rPr>
        <w:t xml:space="preserve">اً </w:t>
      </w:r>
      <w:r>
        <w:rPr>
          <w:rtl/>
        </w:rPr>
        <w:t>بالغ</w:t>
      </w:r>
      <w:r w:rsidR="00D94BE0">
        <w:rPr>
          <w:rtl/>
        </w:rPr>
        <w:t xml:space="preserve">اً </w:t>
      </w:r>
      <w:r>
        <w:rPr>
          <w:rtl/>
        </w:rPr>
        <w:t xml:space="preserve">في إجمالي تمثيل المرأة في الوظائف الرفيعة المستوى في السلك الدبلوماسي. </w:t>
      </w:r>
    </w:p>
    <w:p w:rsidR="002B79B5" w:rsidRDefault="00BE6F7A" w:rsidP="00BE6F7A">
      <w:pPr>
        <w:pStyle w:val="H1GA"/>
        <w:rPr>
          <w:rFonts w:hint="cs"/>
          <w:rtl/>
        </w:rPr>
      </w:pPr>
      <w:r>
        <w:rPr>
          <w:rFonts w:hint="cs"/>
          <w:rtl/>
        </w:rPr>
        <w:tab/>
      </w:r>
      <w:r>
        <w:rPr>
          <w:rFonts w:hint="cs"/>
          <w:rtl/>
        </w:rPr>
        <w:tab/>
      </w:r>
      <w:r>
        <w:rPr>
          <w:rtl/>
        </w:rPr>
        <w:t>التعليم والتصورات النمطية</w:t>
      </w:r>
    </w:p>
    <w:p w:rsidR="002B79B5" w:rsidRDefault="00BE6F7A" w:rsidP="00BE6F7A">
      <w:pPr>
        <w:pStyle w:val="H23GA"/>
        <w:rPr>
          <w:rtl/>
        </w:rPr>
      </w:pPr>
      <w:r>
        <w:rPr>
          <w:rFonts w:hint="cs"/>
          <w:rtl/>
        </w:rPr>
        <w:tab/>
      </w:r>
      <w:r>
        <w:rPr>
          <w:rFonts w:hint="cs"/>
          <w:rtl/>
        </w:rPr>
        <w:tab/>
      </w:r>
      <w:r w:rsidR="002B79B5">
        <w:rPr>
          <w:rtl/>
        </w:rPr>
        <w:t xml:space="preserve">الرد على القضايا المطروحة في الفقرة 11 من قائمة القضايا </w:t>
      </w:r>
    </w:p>
    <w:p w:rsidR="002B79B5" w:rsidRDefault="00BE6F7A" w:rsidP="00BE6F7A">
      <w:pPr>
        <w:pStyle w:val="H23GA"/>
        <w:rPr>
          <w:rtl/>
        </w:rPr>
      </w:pPr>
      <w:r>
        <w:rPr>
          <w:rFonts w:hint="cs"/>
          <w:rtl/>
        </w:rPr>
        <w:tab/>
      </w:r>
      <w:r>
        <w:rPr>
          <w:rFonts w:hint="cs"/>
          <w:rtl/>
        </w:rPr>
        <w:tab/>
      </w:r>
      <w:r w:rsidR="002B79B5">
        <w:rPr>
          <w:rtl/>
        </w:rPr>
        <w:t>بيانات إحصائية محدثة عن معدلات التحاق الفتيات للفترة 2010-2011</w:t>
      </w:r>
    </w:p>
    <w:p w:rsidR="002B79B5" w:rsidRDefault="002B79B5" w:rsidP="00E711E6">
      <w:pPr>
        <w:pStyle w:val="SingleTxtGA"/>
        <w:rPr>
          <w:rtl/>
        </w:rPr>
      </w:pPr>
      <w:r>
        <w:rPr>
          <w:rtl/>
        </w:rPr>
        <w:t>63</w:t>
      </w:r>
      <w:r w:rsidR="0079367C">
        <w:rPr>
          <w:rtl/>
        </w:rPr>
        <w:t>-</w:t>
      </w:r>
      <w:r w:rsidR="0079367C">
        <w:rPr>
          <w:rtl/>
        </w:rPr>
        <w:tab/>
      </w:r>
      <w:r>
        <w:rPr>
          <w:rtl/>
        </w:rPr>
        <w:t>بلغ عدد الفتيات في المدارس الابتدائية 292 26/083 54 (48.6 في المائة)، وفي المدارس الثانوية</w:t>
      </w:r>
      <w:r w:rsidR="00E711E6">
        <w:rPr>
          <w:rFonts w:hint="cs"/>
          <w:rtl/>
        </w:rPr>
        <w:t xml:space="preserve">  118 31/764 63 </w:t>
      </w:r>
      <w:r>
        <w:rPr>
          <w:rtl/>
        </w:rPr>
        <w:t>(52 في المائة). أما عدد الفتيات الملتحقات بالمستوى الجامعي (مستويات البكالوريوس والماجستير والدكتوراه) في قبرص والخارج، بما يشمل النساء القبارصة المتحدثات باللغة التركية وذوات الإعاقة، 939 25 (58 في المائة) في العام الأكاديمي 2010-2011.</w:t>
      </w:r>
    </w:p>
    <w:p w:rsidR="002B79B5" w:rsidRDefault="00BE6F7A" w:rsidP="00BE6F7A">
      <w:pPr>
        <w:pStyle w:val="H23GA"/>
        <w:rPr>
          <w:rtl/>
        </w:rPr>
      </w:pPr>
      <w:r>
        <w:rPr>
          <w:rFonts w:hint="cs"/>
          <w:rtl/>
        </w:rPr>
        <w:tab/>
      </w:r>
      <w:r>
        <w:rPr>
          <w:rFonts w:hint="cs"/>
          <w:rtl/>
        </w:rPr>
        <w:tab/>
      </w:r>
      <w:r w:rsidR="002B79B5">
        <w:rPr>
          <w:rtl/>
        </w:rPr>
        <w:t>بيانات إحصائية محدثة للفترة 2011-2012</w:t>
      </w:r>
    </w:p>
    <w:p w:rsidR="002B79B5" w:rsidRDefault="002B79B5" w:rsidP="00E711E6">
      <w:pPr>
        <w:pStyle w:val="SingleTxtGA"/>
        <w:rPr>
          <w:rtl/>
        </w:rPr>
      </w:pPr>
      <w:r>
        <w:rPr>
          <w:rtl/>
        </w:rPr>
        <w:t>64</w:t>
      </w:r>
      <w:r w:rsidR="0079367C">
        <w:rPr>
          <w:rtl/>
        </w:rPr>
        <w:t>-</w:t>
      </w:r>
      <w:r w:rsidR="0079367C">
        <w:rPr>
          <w:rtl/>
        </w:rPr>
        <w:tab/>
      </w:r>
      <w:r>
        <w:rPr>
          <w:rtl/>
        </w:rPr>
        <w:t>بلغ عدد الفتيات القبارصة اليونانيات في المدارس الابتدائية 384 20/391 42 (48 في المائة) وعدد الفتيات القبارصة الأتراك 36/90 (40 في المائة). وبلغ عدد الفتيات القبارصة اليونانيات في المدارس الثانوية 384 24/443 46 (52.5 في المائة) وعدد الفتيات</w:t>
      </w:r>
      <w:r w:rsidR="00BE6F7A">
        <w:rPr>
          <w:rFonts w:hint="cs"/>
          <w:rtl/>
        </w:rPr>
        <w:t> </w:t>
      </w:r>
      <w:r>
        <w:rPr>
          <w:rtl/>
        </w:rPr>
        <w:t>القبارصة الأتراك 10/23 (43 في المائة). وبلغ عدد الفتيات في مدارس التعليم الفني</w:t>
      </w:r>
      <w:r w:rsidR="00BE6F7A">
        <w:rPr>
          <w:rFonts w:hint="cs"/>
          <w:rtl/>
        </w:rPr>
        <w:t> </w:t>
      </w:r>
      <w:r>
        <w:rPr>
          <w:rtl/>
        </w:rPr>
        <w:t>645/</w:t>
      </w:r>
      <w:r w:rsidR="00E711E6">
        <w:rPr>
          <w:rFonts w:hint="cs"/>
          <w:rtl/>
        </w:rPr>
        <w:t>088 4</w:t>
      </w:r>
      <w:r>
        <w:rPr>
          <w:rtl/>
        </w:rPr>
        <w:t xml:space="preserve"> (15.7 في المائة).</w:t>
      </w:r>
    </w:p>
    <w:p w:rsidR="002B79B5" w:rsidRDefault="002B79B5" w:rsidP="002B79B5">
      <w:pPr>
        <w:pStyle w:val="SingleTxtGA"/>
        <w:rPr>
          <w:rtl/>
        </w:rPr>
      </w:pPr>
      <w:r>
        <w:rPr>
          <w:rtl/>
        </w:rPr>
        <w:t>65</w:t>
      </w:r>
      <w:r w:rsidR="0079367C">
        <w:rPr>
          <w:rtl/>
        </w:rPr>
        <w:t>-</w:t>
      </w:r>
      <w:r w:rsidR="0079367C">
        <w:rPr>
          <w:rtl/>
        </w:rPr>
        <w:tab/>
      </w:r>
      <w:r>
        <w:rPr>
          <w:rtl/>
        </w:rPr>
        <w:t>وبلغ مجموع عدد الأطفال ذوي الإعاقة في المدارس الثانوية 303 1.</w:t>
      </w:r>
    </w:p>
    <w:p w:rsidR="002B79B5" w:rsidRDefault="002B79B5" w:rsidP="0000104A">
      <w:pPr>
        <w:pStyle w:val="SingleTxtGA"/>
        <w:spacing w:line="370" w:lineRule="exact"/>
        <w:rPr>
          <w:rtl/>
        </w:rPr>
      </w:pPr>
      <w:r>
        <w:rPr>
          <w:rtl/>
        </w:rPr>
        <w:t>66</w:t>
      </w:r>
      <w:r w:rsidR="0079367C">
        <w:rPr>
          <w:rtl/>
        </w:rPr>
        <w:t>-</w:t>
      </w:r>
      <w:r w:rsidR="0079367C">
        <w:rPr>
          <w:rtl/>
        </w:rPr>
        <w:tab/>
      </w:r>
      <w:r>
        <w:rPr>
          <w:rtl/>
        </w:rPr>
        <w:t xml:space="preserve">وأُجري مشروع بحثي بعنوان "خريطة التوزيع </w:t>
      </w:r>
      <w:proofErr w:type="spellStart"/>
      <w:r>
        <w:rPr>
          <w:rtl/>
        </w:rPr>
        <w:t>الجنساني</w:t>
      </w:r>
      <w:proofErr w:type="spellEnd"/>
      <w:r>
        <w:rPr>
          <w:rtl/>
        </w:rPr>
        <w:t xml:space="preserve"> للتعليم العالي في قبرص"، استهدف التحقيق في هذه الخريطة وتسجيلها وعرضها نقدي</w:t>
      </w:r>
      <w:r w:rsidR="00D94BE0">
        <w:rPr>
          <w:rtl/>
        </w:rPr>
        <w:t xml:space="preserve">اً </w:t>
      </w:r>
      <w:r>
        <w:rPr>
          <w:rtl/>
        </w:rPr>
        <w:t>من الناحيتين النوعية والكمية، وأشار إلى ما يلي:</w:t>
      </w:r>
    </w:p>
    <w:p w:rsidR="002B79B5" w:rsidRDefault="0079367C" w:rsidP="0000104A">
      <w:pPr>
        <w:pStyle w:val="SingleTxtGA"/>
        <w:spacing w:line="370" w:lineRule="exact"/>
        <w:rPr>
          <w:rtl/>
        </w:rPr>
      </w:pPr>
      <w:r>
        <w:rPr>
          <w:rtl/>
        </w:rPr>
        <w:tab/>
        <w:t>(</w:t>
      </w:r>
      <w:r w:rsidR="002B79B5">
        <w:rPr>
          <w:rtl/>
        </w:rPr>
        <w:t>أ</w:t>
      </w:r>
      <w:r>
        <w:rPr>
          <w:rtl/>
        </w:rPr>
        <w:t>)</w:t>
      </w:r>
      <w:r>
        <w:rPr>
          <w:rtl/>
        </w:rPr>
        <w:tab/>
      </w:r>
      <w:r w:rsidR="002B79B5">
        <w:rPr>
          <w:rtl/>
        </w:rPr>
        <w:t>تشكل المرأة أقلية في التعليم العالي في قبرص، حيث يقل عددها عن عدد الرجال في كل الوظائف الأكاديمية. وتتسع هذه الفجوة في الوظائف الأكاديمية الدائمة (الأساتذة: 22 من النساء و121 من الرجال؛ الأساتذة المشاركون: 48 من النساء و138 من الرجال)؛</w:t>
      </w:r>
    </w:p>
    <w:p w:rsidR="002B79B5" w:rsidRDefault="0079367C" w:rsidP="0000104A">
      <w:pPr>
        <w:pStyle w:val="SingleTxtGA"/>
        <w:spacing w:line="370" w:lineRule="exact"/>
        <w:rPr>
          <w:rFonts w:hint="cs"/>
          <w:rtl/>
        </w:rPr>
      </w:pPr>
      <w:r>
        <w:rPr>
          <w:rtl/>
        </w:rPr>
        <w:tab/>
        <w:t>(</w:t>
      </w:r>
      <w:r w:rsidR="002B79B5">
        <w:rPr>
          <w:rtl/>
        </w:rPr>
        <w:t>ب</w:t>
      </w:r>
      <w:r>
        <w:rPr>
          <w:rtl/>
        </w:rPr>
        <w:t>)</w:t>
      </w:r>
      <w:r>
        <w:rPr>
          <w:rtl/>
        </w:rPr>
        <w:tab/>
      </w:r>
      <w:r w:rsidR="002B79B5">
        <w:rPr>
          <w:rtl/>
        </w:rPr>
        <w:t>وفي المقابل، تشكل النساء أغلب</w:t>
      </w:r>
      <w:r w:rsidR="0000104A">
        <w:rPr>
          <w:rtl/>
        </w:rPr>
        <w:t>ية في وظائف المدرسين المساعدين؛</w:t>
      </w:r>
    </w:p>
    <w:p w:rsidR="002B79B5" w:rsidRDefault="0079367C" w:rsidP="0000104A">
      <w:pPr>
        <w:pStyle w:val="SingleTxtGA"/>
        <w:spacing w:line="370" w:lineRule="exact"/>
        <w:rPr>
          <w:rtl/>
        </w:rPr>
      </w:pPr>
      <w:r>
        <w:rPr>
          <w:rtl/>
        </w:rPr>
        <w:tab/>
        <w:t>(</w:t>
      </w:r>
      <w:r w:rsidR="002B79B5">
        <w:rPr>
          <w:rtl/>
        </w:rPr>
        <w:t>ج</w:t>
      </w:r>
      <w:r>
        <w:rPr>
          <w:rtl/>
        </w:rPr>
        <w:t>)</w:t>
      </w:r>
      <w:r>
        <w:rPr>
          <w:rtl/>
        </w:rPr>
        <w:tab/>
      </w:r>
      <w:r w:rsidR="002B79B5">
        <w:rPr>
          <w:rtl/>
        </w:rPr>
        <w:t>وعلى الرغم من أن عدد النساء في الوظائف الدائمة بلغ نسبة 30 في المائة، فإنهن غائبات تقريب</w:t>
      </w:r>
      <w:r w:rsidR="00D94BE0">
        <w:rPr>
          <w:rtl/>
        </w:rPr>
        <w:t xml:space="preserve">اً </w:t>
      </w:r>
      <w:r w:rsidR="002B79B5">
        <w:rPr>
          <w:rtl/>
        </w:rPr>
        <w:t>عن مناصب صنع القرار في جامعاتهن. وينطبق نفس الشيء على الطالبات في مراكز صنع القرار؛</w:t>
      </w:r>
    </w:p>
    <w:p w:rsidR="002B79B5" w:rsidRDefault="0079367C" w:rsidP="0000104A">
      <w:pPr>
        <w:pStyle w:val="SingleTxtGA"/>
        <w:spacing w:line="370" w:lineRule="exact"/>
        <w:rPr>
          <w:rFonts w:hint="cs"/>
          <w:rtl/>
        </w:rPr>
      </w:pPr>
      <w:r>
        <w:rPr>
          <w:rtl/>
        </w:rPr>
        <w:tab/>
        <w:t>(</w:t>
      </w:r>
      <w:r w:rsidR="002B79B5">
        <w:rPr>
          <w:rtl/>
        </w:rPr>
        <w:t>د</w:t>
      </w:r>
      <w:r>
        <w:rPr>
          <w:rtl/>
        </w:rPr>
        <w:t>)</w:t>
      </w:r>
      <w:r>
        <w:rPr>
          <w:rtl/>
        </w:rPr>
        <w:tab/>
      </w:r>
      <w:r w:rsidR="002B79B5">
        <w:rPr>
          <w:rtl/>
        </w:rPr>
        <w:t>وفي الأعوام 1992-2011، كان متوسط عدد الطالبات في مؤسسات التعليم العالي العامة والخاصة أعلى من متوسط عدد الطلاب. وفي المرحلة الجامعية الأولى ومستوى درجة الماجستير زاد متوسط عدد النساء عن الرجال في الأعوام 2005-2011، أما مستوى درجة الدكتوراه فقد زاد فيه متوسط عدد الرجال عن النساء</w:t>
      </w:r>
      <w:r w:rsidR="0000104A">
        <w:rPr>
          <w:rFonts w:hint="cs"/>
          <w:rtl/>
        </w:rPr>
        <w:t>؛</w:t>
      </w:r>
    </w:p>
    <w:p w:rsidR="002B79B5" w:rsidRDefault="0079367C" w:rsidP="0000104A">
      <w:pPr>
        <w:pStyle w:val="SingleTxtGA"/>
        <w:spacing w:line="370" w:lineRule="exact"/>
        <w:rPr>
          <w:rtl/>
        </w:rPr>
      </w:pPr>
      <w:r>
        <w:rPr>
          <w:rtl/>
        </w:rPr>
        <w:tab/>
        <w:t>(</w:t>
      </w:r>
      <w:r w:rsidR="00416995">
        <w:rPr>
          <w:rtl/>
        </w:rPr>
        <w:t>ﻫ</w:t>
      </w:r>
      <w:r>
        <w:rPr>
          <w:rtl/>
        </w:rPr>
        <w:t>)</w:t>
      </w:r>
      <w:r>
        <w:rPr>
          <w:rtl/>
        </w:rPr>
        <w:tab/>
      </w:r>
      <w:r w:rsidR="002B79B5">
        <w:rPr>
          <w:rtl/>
        </w:rPr>
        <w:t>وفيما يتعلق بالموظفين الإداريين، كان عدد النساء في عام 2010 أكبر في الوظائف العلمية وغير العلمية في كل المؤسسات التعليمية في قبرص. ولكن معظم مناصب المديرين كان يشغلها الرجال؛</w:t>
      </w:r>
    </w:p>
    <w:p w:rsidR="002B79B5" w:rsidRDefault="0079367C" w:rsidP="00074C0F">
      <w:pPr>
        <w:pStyle w:val="SingleTxtGA"/>
        <w:spacing w:line="370" w:lineRule="exact"/>
        <w:rPr>
          <w:rtl/>
        </w:rPr>
      </w:pPr>
      <w:r>
        <w:rPr>
          <w:rtl/>
        </w:rPr>
        <w:tab/>
        <w:t>(</w:t>
      </w:r>
      <w:r w:rsidR="002B79B5">
        <w:rPr>
          <w:rtl/>
        </w:rPr>
        <w:t>و</w:t>
      </w:r>
      <w:r>
        <w:rPr>
          <w:rtl/>
        </w:rPr>
        <w:t>)</w:t>
      </w:r>
      <w:r>
        <w:rPr>
          <w:rtl/>
        </w:rPr>
        <w:tab/>
      </w:r>
      <w:r w:rsidR="002B79B5">
        <w:rPr>
          <w:rtl/>
        </w:rPr>
        <w:t>وينزع اختيار قطاع الدراسة إلى الإبقاء على الفصل في المهن بين الذكور والإناث: فبالنسبة للفترة من 1994 إلى 2011، في الجامعات العامة والخاصة على السواء، كانت نسب الطالبات أعلى في قطاعات الدراسات التربوية والاجتماعية والإنسانية، والفلسفة، والصحة، والإعلام، والفنون. وفي المقابل، كانت نسب الطلاب أعلى في مجالي الهندسة وتكنولوجيات المعلومات. وفي قطاعات الاقتصاد والإدارة والعلوم الصرفة في</w:t>
      </w:r>
      <w:r w:rsidR="00074C0F">
        <w:rPr>
          <w:rFonts w:hint="cs"/>
          <w:rtl/>
        </w:rPr>
        <w:t> </w:t>
      </w:r>
      <w:r w:rsidR="002B79B5">
        <w:rPr>
          <w:rtl/>
        </w:rPr>
        <w:t>الجامعات العامة، كانت نسب الطلاب أعلى خلال الفترة من 1994 إلى 2006، بينما</w:t>
      </w:r>
      <w:r w:rsidR="00074C0F">
        <w:rPr>
          <w:rFonts w:hint="cs"/>
          <w:rtl/>
        </w:rPr>
        <w:t> </w:t>
      </w:r>
      <w:r w:rsidR="002B79B5">
        <w:rPr>
          <w:rtl/>
        </w:rPr>
        <w:t>زادت نسب الطالبات متجاوزة نسب الطلاب في الفترة من 2005 إلى 2011؛</w:t>
      </w:r>
    </w:p>
    <w:p w:rsidR="002B79B5" w:rsidRDefault="0079367C" w:rsidP="0000104A">
      <w:pPr>
        <w:pStyle w:val="SingleTxtGA"/>
        <w:spacing w:line="370" w:lineRule="exact"/>
        <w:rPr>
          <w:rtl/>
        </w:rPr>
      </w:pPr>
      <w:r>
        <w:rPr>
          <w:rtl/>
        </w:rPr>
        <w:tab/>
        <w:t>(</w:t>
      </w:r>
      <w:r w:rsidR="002B79B5">
        <w:rPr>
          <w:rtl/>
        </w:rPr>
        <w:t>ز</w:t>
      </w:r>
      <w:r>
        <w:rPr>
          <w:rtl/>
        </w:rPr>
        <w:t>)</w:t>
      </w:r>
      <w:r>
        <w:rPr>
          <w:rtl/>
        </w:rPr>
        <w:tab/>
      </w:r>
      <w:r w:rsidR="002B79B5">
        <w:rPr>
          <w:rtl/>
        </w:rPr>
        <w:t>وتُظهر المقابلات التي أجريت مع الأساتذة من الرجال والنساء أن الجانبين يقران بعدم المساواة بين الجنسين بسبب الأدوار المختلفة المنسوبة للرجال والنساء. إلا أن التمييز في التعليم الجامعي يدركه الأساتذة من النساء في المقام الأول؛</w:t>
      </w:r>
    </w:p>
    <w:p w:rsidR="002B79B5" w:rsidRDefault="0079367C" w:rsidP="0000104A">
      <w:pPr>
        <w:pStyle w:val="SingleTxtGA"/>
        <w:spacing w:line="370" w:lineRule="exact"/>
        <w:rPr>
          <w:rtl/>
        </w:rPr>
      </w:pPr>
      <w:r>
        <w:rPr>
          <w:rtl/>
        </w:rPr>
        <w:tab/>
        <w:t>(</w:t>
      </w:r>
      <w:r w:rsidR="002B79B5">
        <w:rPr>
          <w:rtl/>
        </w:rPr>
        <w:t>ح</w:t>
      </w:r>
      <w:r>
        <w:rPr>
          <w:rtl/>
        </w:rPr>
        <w:t>)</w:t>
      </w:r>
      <w:r>
        <w:rPr>
          <w:rtl/>
        </w:rPr>
        <w:tab/>
      </w:r>
      <w:r w:rsidR="002B79B5">
        <w:rPr>
          <w:rtl/>
        </w:rPr>
        <w:t>واتسم كلام الأساتذة من النساء بالجانب العاطفي، حيث عبرن عن تجاربهن ومشاعرهن من الغضب والاستياء. وفي المقابل، فإن الأساتذة من الرجال في الجامعات العامة والخاصة، بصرف النظر عن الدرجة الوظيفية، ينظرون إلى مسألة عدم المساواة بين الجنسين من منظور كلي، واصفين أهمية الأمر من ناحية نظرية</w:t>
      </w:r>
      <w:r w:rsidR="00E840A2">
        <w:rPr>
          <w:rtl/>
        </w:rPr>
        <w:t xml:space="preserve"> لا </w:t>
      </w:r>
      <w:r w:rsidR="002B79B5">
        <w:rPr>
          <w:rtl/>
        </w:rPr>
        <w:t>عملية، ودون إبداء أية مشاعر.</w:t>
      </w:r>
    </w:p>
    <w:p w:rsidR="002B79B5" w:rsidRDefault="0079367C" w:rsidP="002B79B5">
      <w:pPr>
        <w:pStyle w:val="SingleTxtGA"/>
        <w:rPr>
          <w:rtl/>
        </w:rPr>
      </w:pPr>
      <w:r>
        <w:rPr>
          <w:rtl/>
        </w:rPr>
        <w:tab/>
        <w:t>(</w:t>
      </w:r>
      <w:r w:rsidR="002B79B5">
        <w:rPr>
          <w:rtl/>
        </w:rPr>
        <w:t>ط</w:t>
      </w:r>
      <w:r>
        <w:rPr>
          <w:rtl/>
        </w:rPr>
        <w:t>)</w:t>
      </w:r>
      <w:r>
        <w:rPr>
          <w:rtl/>
        </w:rPr>
        <w:tab/>
      </w:r>
      <w:r w:rsidR="002B79B5">
        <w:rPr>
          <w:rtl/>
        </w:rPr>
        <w:t>وكان للأساتذة من النساء اللاتي يشغلن مناصب دائمة آراء أكثر تحديد</w:t>
      </w:r>
      <w:r w:rsidR="00D94BE0">
        <w:rPr>
          <w:rtl/>
        </w:rPr>
        <w:t>اً،</w:t>
      </w:r>
      <w:r w:rsidR="002B79B5">
        <w:rPr>
          <w:rtl/>
        </w:rPr>
        <w:t xml:space="preserve"> في حين التزمت </w:t>
      </w:r>
      <w:proofErr w:type="spellStart"/>
      <w:r w:rsidR="002B79B5">
        <w:rPr>
          <w:rtl/>
        </w:rPr>
        <w:t>شاغلات</w:t>
      </w:r>
      <w:proofErr w:type="spellEnd"/>
      <w:r w:rsidR="002B79B5">
        <w:rPr>
          <w:rtl/>
        </w:rPr>
        <w:t xml:space="preserve"> المناصب غير الدائمة الحذر واتسمن بالغموض في كيفية شرح الموقف. واتسم كلام الأساتذة من النساء في الجامعات الخاصة بقدر أقل من العاطفية، حيث ركزن أكثر على المواءمة بين المسار المهني والحياة الأسرية. ولم تكن غالبية الأساتذة من الرجال والنساء على علم بسياسات الاتحاد الأوروبي المتعلقة بإدماج بُعد جنساني في كل الممارسات والعمليات؛</w:t>
      </w:r>
    </w:p>
    <w:p w:rsidR="002B79B5" w:rsidRDefault="0079367C" w:rsidP="002B79B5">
      <w:pPr>
        <w:pStyle w:val="SingleTxtGA"/>
        <w:rPr>
          <w:rtl/>
        </w:rPr>
      </w:pPr>
      <w:r>
        <w:rPr>
          <w:rtl/>
        </w:rPr>
        <w:tab/>
        <w:t>(</w:t>
      </w:r>
      <w:r w:rsidR="002B79B5">
        <w:rPr>
          <w:rtl/>
        </w:rPr>
        <w:t>ي</w:t>
      </w:r>
      <w:r>
        <w:rPr>
          <w:rtl/>
        </w:rPr>
        <w:t>)</w:t>
      </w:r>
      <w:r>
        <w:rPr>
          <w:rtl/>
        </w:rPr>
        <w:tab/>
      </w:r>
      <w:r w:rsidR="002B79B5">
        <w:rPr>
          <w:rtl/>
        </w:rPr>
        <w:t>وأعطى الأساتذة من الرجال والطلاب تفسير</w:t>
      </w:r>
      <w:r w:rsidR="00D94BE0">
        <w:rPr>
          <w:rtl/>
        </w:rPr>
        <w:t xml:space="preserve">اً </w:t>
      </w:r>
      <w:r w:rsidR="002B79B5">
        <w:rPr>
          <w:rtl/>
        </w:rPr>
        <w:t>مختلف</w:t>
      </w:r>
      <w:r w:rsidR="00D94BE0">
        <w:rPr>
          <w:rtl/>
        </w:rPr>
        <w:t xml:space="preserve">اً </w:t>
      </w:r>
      <w:r w:rsidR="002B79B5">
        <w:rPr>
          <w:rtl/>
        </w:rPr>
        <w:t>للمسألة. فالأساتذة</w:t>
      </w:r>
      <w:r w:rsidR="00E840A2">
        <w:rPr>
          <w:rtl/>
        </w:rPr>
        <w:t xml:space="preserve"> لا </w:t>
      </w:r>
      <w:r w:rsidR="002B79B5">
        <w:rPr>
          <w:rtl/>
        </w:rPr>
        <w:t>يعترفون بمشكلة عدم المساواة وينظرون للمسألة على أنها مسألة نظرية. وفي المقابل، أرجع الطلاب عدم المساواة إلى أوجه التحيز في المجتمع في المقام الأول،</w:t>
      </w:r>
      <w:r w:rsidR="00E840A2">
        <w:rPr>
          <w:rtl/>
        </w:rPr>
        <w:t xml:space="preserve"> فيما </w:t>
      </w:r>
      <w:r w:rsidR="002B79B5">
        <w:rPr>
          <w:rtl/>
        </w:rPr>
        <w:t>اشتمل كلامهم أيض</w:t>
      </w:r>
      <w:r w:rsidR="00D94BE0">
        <w:rPr>
          <w:rtl/>
        </w:rPr>
        <w:t xml:space="preserve">اً </w:t>
      </w:r>
      <w:r w:rsidR="002B79B5">
        <w:rPr>
          <w:rtl/>
        </w:rPr>
        <w:t>على أوجه تحيز.</w:t>
      </w:r>
    </w:p>
    <w:p w:rsidR="002B79B5" w:rsidRDefault="0000104A" w:rsidP="0000104A">
      <w:pPr>
        <w:pStyle w:val="H23GA"/>
        <w:rPr>
          <w:rtl/>
        </w:rPr>
      </w:pPr>
      <w:r>
        <w:rPr>
          <w:rFonts w:hint="cs"/>
          <w:rtl/>
        </w:rPr>
        <w:tab/>
      </w:r>
      <w:r>
        <w:rPr>
          <w:rFonts w:hint="cs"/>
          <w:rtl/>
        </w:rPr>
        <w:tab/>
      </w:r>
      <w:r w:rsidR="002B79B5">
        <w:rPr>
          <w:rtl/>
        </w:rPr>
        <w:t>الرد على القضايا المطروحة في الفقرة 12 من قائمة القضايا</w:t>
      </w:r>
    </w:p>
    <w:p w:rsidR="002B79B5" w:rsidRPr="0000104A" w:rsidRDefault="002B79B5" w:rsidP="0000104A">
      <w:pPr>
        <w:pStyle w:val="SingleTxtGA"/>
        <w:rPr>
          <w:spacing w:val="-2"/>
          <w:rtl/>
        </w:rPr>
      </w:pPr>
      <w:r w:rsidRPr="0000104A">
        <w:rPr>
          <w:spacing w:val="-2"/>
          <w:rtl/>
        </w:rPr>
        <w:t>67-</w:t>
      </w:r>
      <w:r w:rsidR="0079367C" w:rsidRPr="0000104A">
        <w:rPr>
          <w:rFonts w:hint="cs"/>
          <w:spacing w:val="-2"/>
          <w:rtl/>
        </w:rPr>
        <w:tab/>
      </w:r>
      <w:r w:rsidRPr="0000104A">
        <w:rPr>
          <w:spacing w:val="-2"/>
          <w:rtl/>
        </w:rPr>
        <w:t xml:space="preserve">يعتبر إصلاح التعليم عملية مستمرة تعزز المساواة على مختلف </w:t>
      </w:r>
      <w:proofErr w:type="spellStart"/>
      <w:r w:rsidRPr="0000104A">
        <w:rPr>
          <w:spacing w:val="-2"/>
          <w:rtl/>
        </w:rPr>
        <w:t>الصُعُد</w:t>
      </w:r>
      <w:proofErr w:type="spellEnd"/>
      <w:r w:rsidRPr="0000104A">
        <w:rPr>
          <w:spacing w:val="-2"/>
          <w:rtl/>
        </w:rPr>
        <w:t>. فمنهج التثقيف الصحي لجميع مراحل التعليم في قبرص، الذي مر بمرحلة الإصلاح مؤخر</w:t>
      </w:r>
      <w:r w:rsidR="00D94BE0" w:rsidRPr="0000104A">
        <w:rPr>
          <w:spacing w:val="-2"/>
          <w:rtl/>
        </w:rPr>
        <w:t>اً،</w:t>
      </w:r>
      <w:r w:rsidRPr="0000104A">
        <w:rPr>
          <w:spacing w:val="-2"/>
          <w:rtl/>
        </w:rPr>
        <w:t xml:space="preserve"> يضم أهداف</w:t>
      </w:r>
      <w:r w:rsidR="00D94BE0" w:rsidRPr="0000104A">
        <w:rPr>
          <w:spacing w:val="-2"/>
          <w:rtl/>
        </w:rPr>
        <w:t xml:space="preserve">اً </w:t>
      </w:r>
      <w:r w:rsidRPr="0000104A">
        <w:rPr>
          <w:spacing w:val="-2"/>
          <w:rtl/>
        </w:rPr>
        <w:t>تعليمية</w:t>
      </w:r>
      <w:r w:rsidR="0000104A">
        <w:rPr>
          <w:rFonts w:hint="cs"/>
          <w:spacing w:val="-2"/>
          <w:rtl/>
        </w:rPr>
        <w:t> </w:t>
      </w:r>
      <w:r w:rsidRPr="0000104A">
        <w:rPr>
          <w:spacing w:val="-2"/>
          <w:rtl/>
        </w:rPr>
        <w:t>محددة تواجه مشاكل اجتماعية مختلفة بما فيها عدم المساواة بين الجنسين، والعنف ضد المرأة، والتثقيف الجنسي، وانتهاك الحقوق الجنسية والإنجابية، والعنصرية، وكراهية المثلية الجنسية، وجنوح الأحداث، إلى غير ذلك. وتشمل تلك الأهداف ما يلي:</w:t>
      </w:r>
    </w:p>
    <w:p w:rsidR="002B79B5" w:rsidRDefault="0079367C" w:rsidP="002B79B5">
      <w:pPr>
        <w:pStyle w:val="SingleTxtGA"/>
        <w:rPr>
          <w:rtl/>
        </w:rPr>
      </w:pPr>
      <w:r>
        <w:rPr>
          <w:rtl/>
        </w:rPr>
        <w:tab/>
        <w:t>(</w:t>
      </w:r>
      <w:r w:rsidR="002B79B5">
        <w:rPr>
          <w:rtl/>
        </w:rPr>
        <w:t>أ</w:t>
      </w:r>
      <w:r>
        <w:rPr>
          <w:rtl/>
        </w:rPr>
        <w:t>)</w:t>
      </w:r>
      <w:r>
        <w:rPr>
          <w:rtl/>
        </w:rPr>
        <w:tab/>
      </w:r>
      <w:r w:rsidR="002B79B5">
        <w:rPr>
          <w:rtl/>
        </w:rPr>
        <w:t>تزويد المدارس بالمواد التعليمية ذات الصلة والتي تشمل مجالات محددة في المساواة بين الجنسين والصحة الجنسية والإنجابية ("التعلم الاجتماعي للمدارس الابتدائية"، "الخطوات الأولى"، "دليل التثقيف في مجال حقوق الإنسان من أجل الأطفال (</w:t>
      </w:r>
      <w:proofErr w:type="spellStart"/>
      <w:r w:rsidR="002B79B5">
        <w:t>Compasito</w:t>
      </w:r>
      <w:proofErr w:type="spellEnd"/>
      <w:r w:rsidR="002B79B5">
        <w:rPr>
          <w:rtl/>
        </w:rPr>
        <w:t xml:space="preserve">)"، انظر الموقع الشبكي: </w:t>
      </w:r>
      <w:r w:rsidR="002B79B5">
        <w:t>http://www.moec.gov.cy/agogi_ygeias</w:t>
      </w:r>
      <w:r w:rsidR="002B79B5">
        <w:rPr>
          <w:rtl/>
        </w:rPr>
        <w:t>؛</w:t>
      </w:r>
    </w:p>
    <w:p w:rsidR="002B79B5" w:rsidRDefault="0079367C" w:rsidP="0000104A">
      <w:pPr>
        <w:pStyle w:val="SingleTxtGA"/>
        <w:rPr>
          <w:rtl/>
        </w:rPr>
      </w:pPr>
      <w:r>
        <w:rPr>
          <w:rtl/>
        </w:rPr>
        <w:tab/>
        <w:t>(</w:t>
      </w:r>
      <w:r w:rsidR="002B79B5">
        <w:rPr>
          <w:rtl/>
        </w:rPr>
        <w:t>ب</w:t>
      </w:r>
      <w:r>
        <w:rPr>
          <w:rtl/>
        </w:rPr>
        <w:t>)</w:t>
      </w:r>
      <w:r>
        <w:rPr>
          <w:rtl/>
        </w:rPr>
        <w:tab/>
      </w:r>
      <w:r w:rsidR="002B79B5">
        <w:rPr>
          <w:rtl/>
        </w:rPr>
        <w:t>توفير التوجيه والدعم للمعلمين من خلال مرشدين صحيين يقومون بزيارة</w:t>
      </w:r>
      <w:r w:rsidR="0000104A">
        <w:rPr>
          <w:rFonts w:hint="cs"/>
          <w:rtl/>
        </w:rPr>
        <w:t> </w:t>
      </w:r>
      <w:r w:rsidR="002B79B5">
        <w:rPr>
          <w:rtl/>
        </w:rPr>
        <w:t>المدارس؛</w:t>
      </w:r>
    </w:p>
    <w:p w:rsidR="002B79B5" w:rsidRDefault="0079367C" w:rsidP="0000104A">
      <w:pPr>
        <w:pStyle w:val="SingleTxtGA"/>
        <w:rPr>
          <w:rtl/>
        </w:rPr>
      </w:pPr>
      <w:r>
        <w:rPr>
          <w:rtl/>
        </w:rPr>
        <w:tab/>
        <w:t>(</w:t>
      </w:r>
      <w:r w:rsidR="002B79B5">
        <w:rPr>
          <w:rtl/>
        </w:rPr>
        <w:t>ج</w:t>
      </w:r>
      <w:r>
        <w:rPr>
          <w:rtl/>
        </w:rPr>
        <w:t>)</w:t>
      </w:r>
      <w:r>
        <w:rPr>
          <w:rtl/>
        </w:rPr>
        <w:tab/>
      </w:r>
      <w:r w:rsidR="002B79B5">
        <w:rPr>
          <w:rtl/>
        </w:rPr>
        <w:t>توفير التدريب أثناء العمل للمدرسين في مجالي حقوق الإنسان والمساواة بين</w:t>
      </w:r>
      <w:r w:rsidR="0000104A">
        <w:rPr>
          <w:rFonts w:hint="cs"/>
          <w:rtl/>
        </w:rPr>
        <w:t> </w:t>
      </w:r>
      <w:r w:rsidR="002B79B5">
        <w:rPr>
          <w:rtl/>
        </w:rPr>
        <w:t>الجنسين؛</w:t>
      </w:r>
    </w:p>
    <w:p w:rsidR="002B79B5" w:rsidRDefault="0079367C" w:rsidP="002B79B5">
      <w:pPr>
        <w:pStyle w:val="SingleTxtGA"/>
        <w:rPr>
          <w:rtl/>
        </w:rPr>
      </w:pPr>
      <w:r>
        <w:rPr>
          <w:rtl/>
        </w:rPr>
        <w:tab/>
        <w:t>(</w:t>
      </w:r>
      <w:r w:rsidR="002B79B5">
        <w:rPr>
          <w:rtl/>
        </w:rPr>
        <w:t>د</w:t>
      </w:r>
      <w:r>
        <w:rPr>
          <w:rtl/>
        </w:rPr>
        <w:t>)</w:t>
      </w:r>
      <w:r>
        <w:rPr>
          <w:rtl/>
        </w:rPr>
        <w:tab/>
      </w:r>
      <w:r w:rsidR="002B79B5">
        <w:rPr>
          <w:rtl/>
        </w:rPr>
        <w:t>التعاون مع المنظمات غير الحكومية التي تتعلق أنشطتها بحقوق الإنسان والمساواة بين الجنسين والحقوق الجنسية والإنجابية (مثل جمعية تنظيم الأسرة في قبرص)؛</w:t>
      </w:r>
    </w:p>
    <w:p w:rsidR="002B79B5" w:rsidRDefault="0079367C" w:rsidP="00416995">
      <w:pPr>
        <w:pStyle w:val="SingleTxtGA"/>
        <w:rPr>
          <w:rFonts w:hint="cs"/>
          <w:rtl/>
        </w:rPr>
      </w:pPr>
      <w:r>
        <w:rPr>
          <w:rtl/>
        </w:rPr>
        <w:tab/>
        <w:t>(</w:t>
      </w:r>
      <w:r w:rsidR="00416995" w:rsidRPr="00416995">
        <w:rPr>
          <w:rFonts w:hint="cs"/>
          <w:sz w:val="30"/>
          <w:rtl/>
        </w:rPr>
        <w:t>ﻫ</w:t>
      </w:r>
      <w:r>
        <w:rPr>
          <w:rtl/>
        </w:rPr>
        <w:t>)</w:t>
      </w:r>
      <w:r>
        <w:rPr>
          <w:rtl/>
        </w:rPr>
        <w:tab/>
      </w:r>
      <w:r w:rsidR="002B79B5">
        <w:rPr>
          <w:rtl/>
        </w:rPr>
        <w:t>استحداث سلسلة من حلقات العمل عن "الحماية من كراهية المثلية الجنسية في التعليم" (ينظمها "فريق المدربين في مجلس شباب قبرص" و"جمعية تنظيم الأسرة في قبرص")</w:t>
      </w:r>
      <w:r w:rsidR="0000104A">
        <w:rPr>
          <w:rFonts w:hint="cs"/>
          <w:rtl/>
        </w:rPr>
        <w:t>.</w:t>
      </w:r>
    </w:p>
    <w:p w:rsidR="002B79B5" w:rsidRDefault="002B79B5" w:rsidP="0079367C">
      <w:pPr>
        <w:pStyle w:val="SingleTxtGA"/>
        <w:rPr>
          <w:rFonts w:hint="cs"/>
          <w:rtl/>
        </w:rPr>
      </w:pPr>
      <w:r>
        <w:rPr>
          <w:rtl/>
        </w:rPr>
        <w:t>68-</w:t>
      </w:r>
      <w:r w:rsidR="0079367C">
        <w:rPr>
          <w:rFonts w:hint="cs"/>
          <w:rtl/>
        </w:rPr>
        <w:tab/>
      </w:r>
      <w:r>
        <w:rPr>
          <w:rtl/>
        </w:rPr>
        <w:t>وتضم خطة العمل المعنية بالمساواة بين الجنسين في التعليم، التابعة لوزارة التعليم والثقافة، عدد</w:t>
      </w:r>
      <w:r w:rsidR="00D94BE0">
        <w:rPr>
          <w:rtl/>
        </w:rPr>
        <w:t xml:space="preserve">اً </w:t>
      </w:r>
      <w:r>
        <w:rPr>
          <w:rtl/>
        </w:rPr>
        <w:t xml:space="preserve">من الإجراءات والتدابير التي تتصدى </w:t>
      </w:r>
      <w:proofErr w:type="spellStart"/>
      <w:r>
        <w:rPr>
          <w:rtl/>
        </w:rPr>
        <w:t>لتنميطات</w:t>
      </w:r>
      <w:proofErr w:type="spellEnd"/>
      <w:r>
        <w:rPr>
          <w:rtl/>
        </w:rPr>
        <w:t xml:space="preserve"> الأدوار </w:t>
      </w:r>
      <w:proofErr w:type="spellStart"/>
      <w:r>
        <w:rPr>
          <w:rtl/>
        </w:rPr>
        <w:t>الجنسانية</w:t>
      </w:r>
      <w:proofErr w:type="spellEnd"/>
      <w:r>
        <w:rPr>
          <w:rtl/>
        </w:rPr>
        <w:t xml:space="preserve"> في الأسرة والمجتمع، مثل:</w:t>
      </w:r>
    </w:p>
    <w:p w:rsidR="002B79B5" w:rsidRDefault="002B79B5" w:rsidP="0079367C">
      <w:pPr>
        <w:pStyle w:val="SingleTxtGA"/>
        <w:rPr>
          <w:rtl/>
        </w:rPr>
      </w:pPr>
      <w:r>
        <w:rPr>
          <w:rtl/>
        </w:rPr>
        <w:t>69-</w:t>
      </w:r>
      <w:r w:rsidR="0079367C">
        <w:rPr>
          <w:rFonts w:hint="cs"/>
          <w:rtl/>
        </w:rPr>
        <w:tab/>
      </w:r>
      <w:r>
        <w:rPr>
          <w:rtl/>
        </w:rPr>
        <w:t>الإجراءات المتعلقة بهيكل النظام التعليمي:</w:t>
      </w:r>
    </w:p>
    <w:p w:rsidR="002B79B5" w:rsidRDefault="0079367C" w:rsidP="0000104A">
      <w:pPr>
        <w:pStyle w:val="SingleTxtGA"/>
        <w:rPr>
          <w:rFonts w:hint="cs"/>
          <w:rtl/>
        </w:rPr>
      </w:pPr>
      <w:r>
        <w:rPr>
          <w:rtl/>
        </w:rPr>
        <w:tab/>
        <w:t>(</w:t>
      </w:r>
      <w:r w:rsidR="002B79B5">
        <w:rPr>
          <w:rtl/>
        </w:rPr>
        <w:t>أ</w:t>
      </w:r>
      <w:r>
        <w:rPr>
          <w:rtl/>
        </w:rPr>
        <w:t>)</w:t>
      </w:r>
      <w:r>
        <w:rPr>
          <w:rtl/>
        </w:rPr>
        <w:tab/>
      </w:r>
      <w:r w:rsidR="002B79B5">
        <w:rPr>
          <w:rtl/>
        </w:rPr>
        <w:t>البرامج الرامية إلى مشاركة الفتيات في مجالات الدراسة الفنية واستعمال التكنولوجيات الحديثة. ووضع برنامج جديد وحديث للتدريب المهني لجذب الفتيات</w:t>
      </w:r>
      <w:r w:rsidR="0000104A">
        <w:rPr>
          <w:rFonts w:hint="cs"/>
          <w:rtl/>
        </w:rPr>
        <w:t>؛</w:t>
      </w:r>
    </w:p>
    <w:p w:rsidR="002B79B5" w:rsidRPr="0000104A" w:rsidRDefault="0079367C" w:rsidP="002B79B5">
      <w:pPr>
        <w:pStyle w:val="SingleTxtGA"/>
        <w:rPr>
          <w:spacing w:val="-4"/>
          <w:rtl/>
        </w:rPr>
      </w:pPr>
      <w:r w:rsidRPr="0000104A">
        <w:rPr>
          <w:spacing w:val="-4"/>
          <w:rtl/>
        </w:rPr>
        <w:tab/>
        <w:t>(</w:t>
      </w:r>
      <w:r w:rsidR="002B79B5" w:rsidRPr="0000104A">
        <w:rPr>
          <w:spacing w:val="-4"/>
          <w:rtl/>
        </w:rPr>
        <w:t>ب</w:t>
      </w:r>
      <w:r w:rsidRPr="0000104A">
        <w:rPr>
          <w:spacing w:val="-4"/>
          <w:rtl/>
        </w:rPr>
        <w:t>)</w:t>
      </w:r>
      <w:r w:rsidRPr="0000104A">
        <w:rPr>
          <w:spacing w:val="-4"/>
          <w:rtl/>
        </w:rPr>
        <w:tab/>
      </w:r>
      <w:r w:rsidR="002B79B5" w:rsidRPr="0000104A">
        <w:rPr>
          <w:spacing w:val="-4"/>
          <w:rtl/>
        </w:rPr>
        <w:t xml:space="preserve">البرامج الرامية إلى منع ومكافحة العنف وجنوح الأحداث في المدرسة والأسرة. </w:t>
      </w:r>
    </w:p>
    <w:p w:rsidR="002B79B5" w:rsidRDefault="002B79B5" w:rsidP="0079367C">
      <w:pPr>
        <w:pStyle w:val="SingleTxtGA"/>
        <w:rPr>
          <w:rtl/>
        </w:rPr>
      </w:pPr>
      <w:r>
        <w:rPr>
          <w:rtl/>
        </w:rPr>
        <w:t>70-</w:t>
      </w:r>
      <w:r w:rsidR="0079367C">
        <w:rPr>
          <w:rFonts w:hint="cs"/>
          <w:rtl/>
        </w:rPr>
        <w:tab/>
      </w:r>
      <w:r>
        <w:rPr>
          <w:rtl/>
        </w:rPr>
        <w:t xml:space="preserve">الإجراءات المتعلقة بالتدريب أثناء العمل: </w:t>
      </w:r>
    </w:p>
    <w:p w:rsidR="002B79B5" w:rsidRDefault="0079367C" w:rsidP="002B79B5">
      <w:pPr>
        <w:pStyle w:val="SingleTxtGA"/>
        <w:rPr>
          <w:rtl/>
        </w:rPr>
      </w:pPr>
      <w:r>
        <w:rPr>
          <w:rtl/>
        </w:rPr>
        <w:tab/>
        <w:t>(</w:t>
      </w:r>
      <w:r w:rsidR="002B79B5">
        <w:rPr>
          <w:rtl/>
        </w:rPr>
        <w:t>أ</w:t>
      </w:r>
      <w:r>
        <w:rPr>
          <w:rtl/>
        </w:rPr>
        <w:t>)</w:t>
      </w:r>
      <w:r>
        <w:rPr>
          <w:rtl/>
        </w:rPr>
        <w:tab/>
      </w:r>
      <w:r w:rsidR="002B79B5">
        <w:rPr>
          <w:rtl/>
        </w:rPr>
        <w:t xml:space="preserve">تقديم تدريب خاص وتوعية خاصة أثناء العمل للمعلمين بجميع مستويات التعليم ولمستشاري التوجيه المهني عن قضايا المساواة بين الجنسين والأدوار </w:t>
      </w:r>
      <w:proofErr w:type="spellStart"/>
      <w:r w:rsidR="002B79B5">
        <w:rPr>
          <w:rtl/>
        </w:rPr>
        <w:t>والتنميطات</w:t>
      </w:r>
      <w:proofErr w:type="spellEnd"/>
      <w:r w:rsidR="002B79B5">
        <w:rPr>
          <w:rtl/>
        </w:rPr>
        <w:t xml:space="preserve"> </w:t>
      </w:r>
      <w:proofErr w:type="spellStart"/>
      <w:r w:rsidR="002B79B5">
        <w:rPr>
          <w:rtl/>
        </w:rPr>
        <w:t>الجنسانية</w:t>
      </w:r>
      <w:proofErr w:type="spellEnd"/>
      <w:r w:rsidR="002B79B5">
        <w:rPr>
          <w:rtl/>
        </w:rPr>
        <w:t xml:space="preserve">، ونوع الجنس والمهنة (أي الفصل في مهن "للذكور" ومهن "للإناث")، والتثقيف الجنسي، والممارسات الجيدة لمكافحة </w:t>
      </w:r>
      <w:proofErr w:type="spellStart"/>
      <w:r w:rsidR="002B79B5">
        <w:rPr>
          <w:rtl/>
        </w:rPr>
        <w:t>التنميطات</w:t>
      </w:r>
      <w:proofErr w:type="spellEnd"/>
      <w:r w:rsidR="002B79B5">
        <w:rPr>
          <w:rtl/>
        </w:rPr>
        <w:t>.</w:t>
      </w:r>
    </w:p>
    <w:p w:rsidR="002B79B5" w:rsidRDefault="002B79B5" w:rsidP="0079367C">
      <w:pPr>
        <w:pStyle w:val="SingleTxtGA"/>
        <w:rPr>
          <w:rtl/>
        </w:rPr>
      </w:pPr>
      <w:r>
        <w:rPr>
          <w:rtl/>
        </w:rPr>
        <w:t>71-</w:t>
      </w:r>
      <w:r w:rsidR="0079367C">
        <w:rPr>
          <w:rFonts w:hint="cs"/>
          <w:rtl/>
        </w:rPr>
        <w:tab/>
      </w:r>
      <w:r>
        <w:rPr>
          <w:rtl/>
        </w:rPr>
        <w:t>الإجراءات المتعلقة بالوحدة المدرسية:</w:t>
      </w:r>
    </w:p>
    <w:p w:rsidR="002B79B5" w:rsidRDefault="0079367C" w:rsidP="002B79B5">
      <w:pPr>
        <w:pStyle w:val="SingleTxtGA"/>
        <w:rPr>
          <w:rtl/>
        </w:rPr>
      </w:pPr>
      <w:r>
        <w:rPr>
          <w:rtl/>
        </w:rPr>
        <w:tab/>
        <w:t>(</w:t>
      </w:r>
      <w:r w:rsidR="002B79B5">
        <w:rPr>
          <w:rtl/>
        </w:rPr>
        <w:t>أ</w:t>
      </w:r>
      <w:r>
        <w:rPr>
          <w:rtl/>
        </w:rPr>
        <w:t>)</w:t>
      </w:r>
      <w:r>
        <w:rPr>
          <w:rtl/>
        </w:rPr>
        <w:tab/>
      </w:r>
      <w:r w:rsidR="002B79B5">
        <w:rPr>
          <w:rtl/>
        </w:rPr>
        <w:t>إعداد مواد تثقيفية محدثة تتضمن بعد</w:t>
      </w:r>
      <w:r w:rsidR="00D94BE0">
        <w:rPr>
          <w:rtl/>
        </w:rPr>
        <w:t xml:space="preserve">اً </w:t>
      </w:r>
      <w:proofErr w:type="spellStart"/>
      <w:r w:rsidR="002B79B5">
        <w:rPr>
          <w:rtl/>
        </w:rPr>
        <w:t>جنساني</w:t>
      </w:r>
      <w:r w:rsidR="00D94BE0">
        <w:rPr>
          <w:rtl/>
        </w:rPr>
        <w:t>اً</w:t>
      </w:r>
      <w:proofErr w:type="spellEnd"/>
      <w:r w:rsidR="00D94BE0">
        <w:rPr>
          <w:rtl/>
        </w:rPr>
        <w:t xml:space="preserve"> </w:t>
      </w:r>
      <w:r w:rsidR="002B79B5">
        <w:rPr>
          <w:rtl/>
        </w:rPr>
        <w:t xml:space="preserve">من أجل مكافحة </w:t>
      </w:r>
      <w:proofErr w:type="spellStart"/>
      <w:r w:rsidR="002B79B5">
        <w:rPr>
          <w:rtl/>
        </w:rPr>
        <w:t>التنميطات</w:t>
      </w:r>
      <w:proofErr w:type="spellEnd"/>
      <w:r w:rsidR="002B79B5">
        <w:rPr>
          <w:rtl/>
        </w:rPr>
        <w:t xml:space="preserve"> </w:t>
      </w:r>
      <w:proofErr w:type="spellStart"/>
      <w:r w:rsidR="002B79B5">
        <w:rPr>
          <w:rtl/>
        </w:rPr>
        <w:t>الجنسانية</w:t>
      </w:r>
      <w:proofErr w:type="spellEnd"/>
      <w:r w:rsidR="002B79B5">
        <w:rPr>
          <w:rtl/>
        </w:rPr>
        <w:t xml:space="preserve"> من سن مبكرة، و</w:t>
      </w:r>
      <w:r w:rsidR="00E840A2">
        <w:rPr>
          <w:rtl/>
        </w:rPr>
        <w:t>لا </w:t>
      </w:r>
      <w:proofErr w:type="spellStart"/>
      <w:r w:rsidR="00E840A2">
        <w:rPr>
          <w:rtl/>
        </w:rPr>
        <w:t>سيما</w:t>
      </w:r>
      <w:proofErr w:type="spellEnd"/>
      <w:r w:rsidR="002B79B5">
        <w:rPr>
          <w:rtl/>
        </w:rPr>
        <w:t xml:space="preserve"> عن طريق تشجيع المشاركة الفاعلة للأولاد في الحياة الأسرية وللفتيات في الحياة السياسية والحياة العامة، ومن خلال تنمية العلاقات المستندة إلى المساواة والاحترام المتبادل بين الجنسين؛</w:t>
      </w:r>
    </w:p>
    <w:p w:rsidR="002B79B5" w:rsidRDefault="0079367C" w:rsidP="0000104A">
      <w:pPr>
        <w:pStyle w:val="SingleTxtGA"/>
        <w:rPr>
          <w:rtl/>
        </w:rPr>
      </w:pPr>
      <w:r>
        <w:rPr>
          <w:rtl/>
        </w:rPr>
        <w:tab/>
        <w:t>(</w:t>
      </w:r>
      <w:r w:rsidR="002B79B5">
        <w:rPr>
          <w:rtl/>
        </w:rPr>
        <w:t>ب</w:t>
      </w:r>
      <w:r>
        <w:rPr>
          <w:rtl/>
        </w:rPr>
        <w:t>)</w:t>
      </w:r>
      <w:r>
        <w:rPr>
          <w:rtl/>
        </w:rPr>
        <w:tab/>
      </w:r>
      <w:r w:rsidR="002B79B5">
        <w:rPr>
          <w:rtl/>
        </w:rPr>
        <w:t>وضع برامج لتنوير وتوعية الأولاد والفتيات بشأن اختيار مهن غير تقليدية للذكور والإناث؛</w:t>
      </w:r>
    </w:p>
    <w:p w:rsidR="002B79B5" w:rsidRDefault="0079367C" w:rsidP="002B79B5">
      <w:pPr>
        <w:pStyle w:val="SingleTxtGA"/>
        <w:rPr>
          <w:rtl/>
        </w:rPr>
      </w:pPr>
      <w:r>
        <w:rPr>
          <w:rtl/>
        </w:rPr>
        <w:tab/>
        <w:t>(</w:t>
      </w:r>
      <w:r w:rsidR="002B79B5">
        <w:rPr>
          <w:rtl/>
        </w:rPr>
        <w:t>ج</w:t>
      </w:r>
      <w:r>
        <w:rPr>
          <w:rtl/>
        </w:rPr>
        <w:t>)</w:t>
      </w:r>
      <w:r>
        <w:rPr>
          <w:rtl/>
        </w:rPr>
        <w:tab/>
      </w:r>
      <w:r w:rsidR="002B79B5">
        <w:rPr>
          <w:rtl/>
        </w:rPr>
        <w:t xml:space="preserve">تنفيذ برامج للمنع والتدخل في القضايا </w:t>
      </w:r>
      <w:proofErr w:type="spellStart"/>
      <w:r w:rsidR="002B79B5">
        <w:rPr>
          <w:rtl/>
        </w:rPr>
        <w:t>الجنسانية</w:t>
      </w:r>
      <w:proofErr w:type="spellEnd"/>
      <w:r w:rsidR="002B79B5">
        <w:rPr>
          <w:rtl/>
        </w:rPr>
        <w:t>؛</w:t>
      </w:r>
    </w:p>
    <w:p w:rsidR="002B79B5" w:rsidRDefault="0079367C" w:rsidP="002B79B5">
      <w:pPr>
        <w:pStyle w:val="SingleTxtGA"/>
        <w:rPr>
          <w:rtl/>
        </w:rPr>
      </w:pPr>
      <w:r>
        <w:rPr>
          <w:rtl/>
        </w:rPr>
        <w:tab/>
        <w:t>(</w:t>
      </w:r>
      <w:r w:rsidR="002B79B5">
        <w:rPr>
          <w:rtl/>
        </w:rPr>
        <w:t>د</w:t>
      </w:r>
      <w:r>
        <w:rPr>
          <w:rtl/>
        </w:rPr>
        <w:t>)</w:t>
      </w:r>
      <w:r>
        <w:rPr>
          <w:rtl/>
        </w:rPr>
        <w:tab/>
      </w:r>
      <w:r w:rsidR="002B79B5">
        <w:rPr>
          <w:rtl/>
        </w:rPr>
        <w:t>تدريس مادة التربية المهنية والاجتماعية في المدرسة؛</w:t>
      </w:r>
    </w:p>
    <w:p w:rsidR="002B79B5" w:rsidRPr="0000104A" w:rsidRDefault="0079367C" w:rsidP="0000104A">
      <w:pPr>
        <w:pStyle w:val="SingleTxtGA"/>
        <w:rPr>
          <w:spacing w:val="-4"/>
          <w:rtl/>
        </w:rPr>
      </w:pPr>
      <w:r w:rsidRPr="0000104A">
        <w:rPr>
          <w:spacing w:val="-4"/>
          <w:rtl/>
        </w:rPr>
        <w:tab/>
        <w:t>(</w:t>
      </w:r>
      <w:r w:rsidR="00416995" w:rsidRPr="0000104A">
        <w:rPr>
          <w:spacing w:val="-4"/>
          <w:rtl/>
        </w:rPr>
        <w:t>ﻫ</w:t>
      </w:r>
      <w:r w:rsidRPr="0000104A">
        <w:rPr>
          <w:spacing w:val="-4"/>
          <w:rtl/>
        </w:rPr>
        <w:t>)</w:t>
      </w:r>
      <w:r w:rsidRPr="0000104A">
        <w:rPr>
          <w:spacing w:val="-4"/>
          <w:rtl/>
        </w:rPr>
        <w:tab/>
      </w:r>
      <w:r w:rsidR="002B79B5" w:rsidRPr="0000104A">
        <w:rPr>
          <w:spacing w:val="-4"/>
          <w:rtl/>
        </w:rPr>
        <w:t xml:space="preserve">تخطيط وتنفيذ أنشطة في الفصول الدراسية عن القضايا </w:t>
      </w:r>
      <w:proofErr w:type="spellStart"/>
      <w:r w:rsidR="002B79B5" w:rsidRPr="0000104A">
        <w:rPr>
          <w:spacing w:val="-4"/>
          <w:rtl/>
        </w:rPr>
        <w:t>الجنسانية</w:t>
      </w:r>
      <w:proofErr w:type="spellEnd"/>
      <w:r w:rsidR="002B79B5" w:rsidRPr="0000104A">
        <w:rPr>
          <w:spacing w:val="-4"/>
          <w:rtl/>
        </w:rPr>
        <w:t xml:space="preserve"> (أي</w:t>
      </w:r>
      <w:r w:rsidR="0000104A" w:rsidRPr="0000104A">
        <w:rPr>
          <w:rFonts w:hint="cs"/>
          <w:spacing w:val="-4"/>
          <w:rtl/>
        </w:rPr>
        <w:t> </w:t>
      </w:r>
      <w:r w:rsidR="002B79B5" w:rsidRPr="0000104A">
        <w:rPr>
          <w:spacing w:val="-4"/>
          <w:rtl/>
        </w:rPr>
        <w:t xml:space="preserve">المشاركة الفاعلة لجميع الطلبة، وتشجيع الطلبة على إجراء الأبحاث في القضايا </w:t>
      </w:r>
      <w:proofErr w:type="spellStart"/>
      <w:r w:rsidR="002B79B5" w:rsidRPr="0000104A">
        <w:rPr>
          <w:spacing w:val="-4"/>
          <w:rtl/>
        </w:rPr>
        <w:t>الجنسانية</w:t>
      </w:r>
      <w:proofErr w:type="spellEnd"/>
      <w:r w:rsidR="002B79B5" w:rsidRPr="0000104A">
        <w:rPr>
          <w:spacing w:val="-4"/>
          <w:rtl/>
        </w:rPr>
        <w:t xml:space="preserve">، وتطبيق أساليب تدريس مناسبة، ومشاهدة أفلام ومسرحيات ذات صلة، وتنظيم وحضور محاضرات بشأن القضايا </w:t>
      </w:r>
      <w:proofErr w:type="spellStart"/>
      <w:r w:rsidR="002B79B5" w:rsidRPr="0000104A">
        <w:rPr>
          <w:spacing w:val="-4"/>
          <w:rtl/>
        </w:rPr>
        <w:t>الجنسانية</w:t>
      </w:r>
      <w:proofErr w:type="spellEnd"/>
      <w:r w:rsidR="002B79B5" w:rsidRPr="0000104A">
        <w:rPr>
          <w:spacing w:val="-4"/>
          <w:rtl/>
        </w:rPr>
        <w:t>، إلى غير ذلك.</w:t>
      </w:r>
    </w:p>
    <w:p w:rsidR="002B79B5" w:rsidRDefault="002B79B5" w:rsidP="0079367C">
      <w:pPr>
        <w:pStyle w:val="SingleTxtGA"/>
        <w:rPr>
          <w:rtl/>
        </w:rPr>
      </w:pPr>
      <w:r>
        <w:rPr>
          <w:rtl/>
        </w:rPr>
        <w:t>72-</w:t>
      </w:r>
      <w:r w:rsidR="0079367C">
        <w:rPr>
          <w:rFonts w:hint="cs"/>
          <w:rtl/>
        </w:rPr>
        <w:tab/>
      </w:r>
      <w:r>
        <w:rPr>
          <w:rtl/>
        </w:rPr>
        <w:t>الإجراءات المتعلقة بدور الآباء والأسر:</w:t>
      </w:r>
    </w:p>
    <w:p w:rsidR="002B79B5" w:rsidRDefault="0079367C" w:rsidP="002B79B5">
      <w:pPr>
        <w:pStyle w:val="SingleTxtGA"/>
        <w:rPr>
          <w:rtl/>
        </w:rPr>
      </w:pPr>
      <w:r>
        <w:rPr>
          <w:rtl/>
        </w:rPr>
        <w:tab/>
        <w:t>(</w:t>
      </w:r>
      <w:r w:rsidR="002B79B5">
        <w:rPr>
          <w:rtl/>
        </w:rPr>
        <w:t>أ</w:t>
      </w:r>
      <w:r>
        <w:rPr>
          <w:rtl/>
        </w:rPr>
        <w:t>)</w:t>
      </w:r>
      <w:r>
        <w:rPr>
          <w:rtl/>
        </w:rPr>
        <w:tab/>
      </w:r>
      <w:r w:rsidR="002B79B5">
        <w:rPr>
          <w:rtl/>
        </w:rPr>
        <w:t>تدريب الآباء على مهارات التواصل، والاحترام المتبادل، وقضايا المساواة بين الجنسين من أجل تعزيز توازن السلطة داخل الأسرة؛</w:t>
      </w:r>
    </w:p>
    <w:p w:rsidR="002B79B5" w:rsidRDefault="0079367C" w:rsidP="002B79B5">
      <w:pPr>
        <w:pStyle w:val="SingleTxtGA"/>
        <w:rPr>
          <w:rtl/>
        </w:rPr>
      </w:pPr>
      <w:r>
        <w:rPr>
          <w:rtl/>
        </w:rPr>
        <w:tab/>
        <w:t>(</w:t>
      </w:r>
      <w:r w:rsidR="002B79B5">
        <w:rPr>
          <w:rtl/>
        </w:rPr>
        <w:t>ب</w:t>
      </w:r>
      <w:r>
        <w:rPr>
          <w:rtl/>
        </w:rPr>
        <w:t>)</w:t>
      </w:r>
      <w:r>
        <w:rPr>
          <w:rtl/>
        </w:rPr>
        <w:tab/>
      </w:r>
      <w:r w:rsidR="002B79B5">
        <w:rPr>
          <w:rtl/>
        </w:rPr>
        <w:t>تدريب الآباء من أجل زيادة توعيتهم بشأن أثر تصرفاتهم على نماء أطفالهم.</w:t>
      </w:r>
    </w:p>
    <w:p w:rsidR="002B79B5" w:rsidRDefault="00C64C34" w:rsidP="00C64C34">
      <w:pPr>
        <w:pStyle w:val="H1GA"/>
        <w:spacing w:before="120"/>
        <w:rPr>
          <w:rtl/>
        </w:rPr>
      </w:pPr>
      <w:r>
        <w:rPr>
          <w:rFonts w:hint="cs"/>
          <w:rtl/>
        </w:rPr>
        <w:tab/>
      </w:r>
      <w:r>
        <w:rPr>
          <w:rFonts w:hint="cs"/>
          <w:rtl/>
        </w:rPr>
        <w:tab/>
      </w:r>
      <w:r w:rsidR="002B79B5">
        <w:rPr>
          <w:rtl/>
        </w:rPr>
        <w:t>العمالة</w:t>
      </w:r>
    </w:p>
    <w:p w:rsidR="002B79B5" w:rsidRDefault="00C64C34" w:rsidP="00C64C34">
      <w:pPr>
        <w:pStyle w:val="H23GA"/>
        <w:rPr>
          <w:rtl/>
        </w:rPr>
      </w:pPr>
      <w:r>
        <w:rPr>
          <w:rFonts w:hint="cs"/>
          <w:rtl/>
        </w:rPr>
        <w:tab/>
      </w:r>
      <w:r>
        <w:rPr>
          <w:rFonts w:hint="cs"/>
          <w:rtl/>
        </w:rPr>
        <w:tab/>
      </w:r>
      <w:r w:rsidR="002B79B5">
        <w:rPr>
          <w:rtl/>
        </w:rPr>
        <w:t>الرد على القضايا المطروحة في الفقرة 13 من قائمة القضايا</w:t>
      </w:r>
    </w:p>
    <w:p w:rsidR="002B79B5" w:rsidRDefault="002B79B5" w:rsidP="0079367C">
      <w:pPr>
        <w:pStyle w:val="SingleTxtGA"/>
        <w:rPr>
          <w:rtl/>
        </w:rPr>
      </w:pPr>
      <w:r>
        <w:rPr>
          <w:rtl/>
        </w:rPr>
        <w:t>73-</w:t>
      </w:r>
      <w:r w:rsidR="0079367C">
        <w:rPr>
          <w:rFonts w:hint="cs"/>
          <w:rtl/>
        </w:rPr>
        <w:tab/>
      </w:r>
      <w:r>
        <w:rPr>
          <w:rtl/>
        </w:rPr>
        <w:t>فيما يلي نتائج 230 شكوى قُدمت إلى الهيئة المعنية بالمساواة (مفوض الشؤون الإدارية) استناد</w:t>
      </w:r>
      <w:r w:rsidR="00D94BE0">
        <w:rPr>
          <w:rtl/>
        </w:rPr>
        <w:t xml:space="preserve">اً </w:t>
      </w:r>
      <w:r>
        <w:rPr>
          <w:rtl/>
        </w:rPr>
        <w:t>إلى التمييز بسبب نوع الجنس:</w:t>
      </w:r>
    </w:p>
    <w:p w:rsidR="002B79B5" w:rsidRDefault="0079367C" w:rsidP="002B79B5">
      <w:pPr>
        <w:pStyle w:val="SingleTxtGA"/>
        <w:rPr>
          <w:rtl/>
        </w:rPr>
      </w:pPr>
      <w:r>
        <w:rPr>
          <w:rtl/>
        </w:rPr>
        <w:tab/>
        <w:t>(</w:t>
      </w:r>
      <w:r w:rsidR="002B79B5">
        <w:rPr>
          <w:rtl/>
        </w:rPr>
        <w:t>أ</w:t>
      </w:r>
      <w:r>
        <w:rPr>
          <w:rtl/>
        </w:rPr>
        <w:t>)</w:t>
      </w:r>
      <w:r>
        <w:rPr>
          <w:rtl/>
        </w:rPr>
        <w:tab/>
      </w:r>
      <w:r w:rsidR="002B79B5">
        <w:rPr>
          <w:rtl/>
        </w:rPr>
        <w:t>اعتُبرت 46 منها مقبولة وشرعت الهيئة المعنية بالمساواة في وضع تقرير؛</w:t>
      </w:r>
    </w:p>
    <w:p w:rsidR="002B79B5" w:rsidRDefault="0079367C" w:rsidP="002B79B5">
      <w:pPr>
        <w:pStyle w:val="SingleTxtGA"/>
        <w:rPr>
          <w:rtl/>
        </w:rPr>
      </w:pPr>
      <w:r>
        <w:rPr>
          <w:rtl/>
        </w:rPr>
        <w:tab/>
        <w:t>(</w:t>
      </w:r>
      <w:r w:rsidR="002B79B5">
        <w:rPr>
          <w:rtl/>
        </w:rPr>
        <w:t>ب</w:t>
      </w:r>
      <w:r>
        <w:rPr>
          <w:rtl/>
        </w:rPr>
        <w:t>)</w:t>
      </w:r>
      <w:r>
        <w:rPr>
          <w:rtl/>
        </w:rPr>
        <w:tab/>
      </w:r>
      <w:r w:rsidR="002B79B5">
        <w:rPr>
          <w:rtl/>
        </w:rPr>
        <w:t>اعتُبرت 130 منها</w:t>
      </w:r>
      <w:r w:rsidR="00E840A2">
        <w:rPr>
          <w:rtl/>
        </w:rPr>
        <w:t xml:space="preserve"> لا </w:t>
      </w:r>
      <w:r w:rsidR="002B79B5">
        <w:rPr>
          <w:rtl/>
        </w:rPr>
        <w:t>أساس لها أو خارج نطاق صلاحيات الهيئة المعنية بالمساواة؛</w:t>
      </w:r>
    </w:p>
    <w:p w:rsidR="002B79B5" w:rsidRDefault="0079367C" w:rsidP="002B79B5">
      <w:pPr>
        <w:pStyle w:val="SingleTxtGA"/>
        <w:rPr>
          <w:rtl/>
        </w:rPr>
      </w:pPr>
      <w:r>
        <w:rPr>
          <w:rtl/>
        </w:rPr>
        <w:tab/>
        <w:t>(</w:t>
      </w:r>
      <w:r w:rsidR="002B79B5">
        <w:rPr>
          <w:rtl/>
        </w:rPr>
        <w:t>ج</w:t>
      </w:r>
      <w:r>
        <w:rPr>
          <w:rtl/>
        </w:rPr>
        <w:t>)</w:t>
      </w:r>
      <w:r>
        <w:rPr>
          <w:rtl/>
        </w:rPr>
        <w:tab/>
      </w:r>
      <w:r w:rsidR="002B79B5">
        <w:rPr>
          <w:rtl/>
        </w:rPr>
        <w:t>اعتُبرت 30 منها غير مقبولة أو سحبها مقدموها؛</w:t>
      </w:r>
    </w:p>
    <w:p w:rsidR="002B79B5" w:rsidRDefault="0079367C" w:rsidP="002B79B5">
      <w:pPr>
        <w:pStyle w:val="SingleTxtGA"/>
        <w:rPr>
          <w:rFonts w:hint="cs"/>
          <w:rtl/>
        </w:rPr>
      </w:pPr>
      <w:r>
        <w:rPr>
          <w:rtl/>
        </w:rPr>
        <w:tab/>
        <w:t>(</w:t>
      </w:r>
      <w:r w:rsidR="002B79B5">
        <w:rPr>
          <w:rtl/>
        </w:rPr>
        <w:t>د</w:t>
      </w:r>
      <w:r>
        <w:rPr>
          <w:rtl/>
        </w:rPr>
        <w:t>)</w:t>
      </w:r>
      <w:r>
        <w:rPr>
          <w:rtl/>
        </w:rPr>
        <w:tab/>
      </w:r>
      <w:r w:rsidR="002B79B5">
        <w:rPr>
          <w:rtl/>
        </w:rPr>
        <w:t>اختُتمت 19 منها بنجاح، حيث وافق الأشخاص المقدمة ضدهم الشكوى على الامتثال لأحكام قانون مكافحة التمييز، وذلك بعد</w:t>
      </w:r>
      <w:r w:rsidR="00C64C34">
        <w:rPr>
          <w:rtl/>
        </w:rPr>
        <w:t xml:space="preserve"> تدخل الهيئة المعنية بالمساواة؛</w:t>
      </w:r>
    </w:p>
    <w:p w:rsidR="002B79B5" w:rsidRDefault="0079367C" w:rsidP="002B79B5">
      <w:pPr>
        <w:pStyle w:val="SingleTxtGA"/>
        <w:rPr>
          <w:rtl/>
        </w:rPr>
      </w:pPr>
      <w:r>
        <w:rPr>
          <w:rtl/>
        </w:rPr>
        <w:tab/>
        <w:t>(</w:t>
      </w:r>
      <w:r w:rsidR="00416995">
        <w:rPr>
          <w:rtl/>
        </w:rPr>
        <w:t>ﻫ</w:t>
      </w:r>
      <w:r>
        <w:rPr>
          <w:rtl/>
        </w:rPr>
        <w:t>)</w:t>
      </w:r>
      <w:r>
        <w:rPr>
          <w:rtl/>
        </w:rPr>
        <w:tab/>
      </w:r>
      <w:r w:rsidR="002B79B5">
        <w:rPr>
          <w:rtl/>
        </w:rPr>
        <w:t>بقيت 5 منها قيد النظر.</w:t>
      </w:r>
    </w:p>
    <w:p w:rsidR="002B79B5" w:rsidRDefault="002B79B5" w:rsidP="0079367C">
      <w:pPr>
        <w:pStyle w:val="SingleTxtGA"/>
        <w:rPr>
          <w:rtl/>
        </w:rPr>
      </w:pPr>
      <w:r>
        <w:rPr>
          <w:rtl/>
        </w:rPr>
        <w:t>74-</w:t>
      </w:r>
      <w:r w:rsidR="0079367C">
        <w:rPr>
          <w:rFonts w:hint="cs"/>
          <w:rtl/>
        </w:rPr>
        <w:tab/>
      </w:r>
      <w:r>
        <w:rPr>
          <w:rtl/>
        </w:rPr>
        <w:t xml:space="preserve">وفيما يتعلق بحالة مشروع "إجراءات الحد من فجوة الأجور بين الجنسين"، فقد بدأت مرحلة التنفيذ في عام 2010. وينطوي المشروع على طائفة واسعة من التدابير التي ستنفذ بحلول عام 2015. وتشمل تلك التدابير ما يلي: </w:t>
      </w:r>
    </w:p>
    <w:p w:rsidR="002B79B5" w:rsidRPr="00C64C34" w:rsidRDefault="0079367C" w:rsidP="00C64C34">
      <w:pPr>
        <w:pStyle w:val="SingleTxtGA"/>
        <w:rPr>
          <w:spacing w:val="-2"/>
          <w:rtl/>
        </w:rPr>
      </w:pPr>
      <w:r w:rsidRPr="00C64C34">
        <w:rPr>
          <w:spacing w:val="-2"/>
          <w:rtl/>
        </w:rPr>
        <w:tab/>
        <w:t>(</w:t>
      </w:r>
      <w:r w:rsidR="002B79B5" w:rsidRPr="00C64C34">
        <w:rPr>
          <w:spacing w:val="-2"/>
          <w:rtl/>
        </w:rPr>
        <w:t>أ</w:t>
      </w:r>
      <w:r w:rsidRPr="00C64C34">
        <w:rPr>
          <w:spacing w:val="-2"/>
          <w:rtl/>
        </w:rPr>
        <w:t>)</w:t>
      </w:r>
      <w:r w:rsidRPr="00C64C34">
        <w:rPr>
          <w:spacing w:val="-2"/>
          <w:rtl/>
        </w:rPr>
        <w:tab/>
      </w:r>
      <w:r w:rsidR="002B79B5" w:rsidRPr="00C64C34">
        <w:rPr>
          <w:spacing w:val="-2"/>
          <w:rtl/>
        </w:rPr>
        <w:t>تنظيم تدريب نظري وتدريب في مكان العمل للموظفين والمفتشين بشأن إنفاذ التشريع المعني بالمساواة في الأجر والمساواة في المعاملة في التوظيف. وسيتم تدريب 50 من</w:t>
      </w:r>
      <w:r w:rsidR="00C64C34">
        <w:rPr>
          <w:rFonts w:hint="cs"/>
          <w:spacing w:val="-2"/>
          <w:rtl/>
        </w:rPr>
        <w:t> </w:t>
      </w:r>
      <w:r w:rsidR="002B79B5" w:rsidRPr="00C64C34">
        <w:rPr>
          <w:spacing w:val="-2"/>
          <w:rtl/>
        </w:rPr>
        <w:t>موظفي علاقات العمل والمساواة وأمانة المظالم. وسيُختتم البرنامج في آذار/مارس 2013؛</w:t>
      </w:r>
    </w:p>
    <w:p w:rsidR="002B79B5" w:rsidRDefault="0079367C" w:rsidP="002B79B5">
      <w:pPr>
        <w:pStyle w:val="SingleTxtGA"/>
        <w:rPr>
          <w:rtl/>
        </w:rPr>
      </w:pPr>
      <w:r>
        <w:rPr>
          <w:rtl/>
        </w:rPr>
        <w:tab/>
        <w:t>(</w:t>
      </w:r>
      <w:r w:rsidR="002B79B5">
        <w:rPr>
          <w:rtl/>
        </w:rPr>
        <w:t>ب</w:t>
      </w:r>
      <w:r>
        <w:rPr>
          <w:rtl/>
        </w:rPr>
        <w:t>)</w:t>
      </w:r>
      <w:r>
        <w:rPr>
          <w:rtl/>
        </w:rPr>
        <w:tab/>
      </w:r>
      <w:r w:rsidR="002B79B5">
        <w:rPr>
          <w:rtl/>
        </w:rPr>
        <w:t>مشاركة موظفي علاقات العمل والمفتشين في زيارات بحثية إلى دول أخرى من الأعضاء في الاتحاد الأوروبي من أجل التعرف على الإجراءات والأساليب التي تستخدمها هيئات التفتيش الأخرى؛</w:t>
      </w:r>
    </w:p>
    <w:p w:rsidR="002B79B5" w:rsidRDefault="0079367C" w:rsidP="002B79B5">
      <w:pPr>
        <w:pStyle w:val="SingleTxtGA"/>
        <w:rPr>
          <w:rtl/>
        </w:rPr>
      </w:pPr>
      <w:r>
        <w:rPr>
          <w:rtl/>
        </w:rPr>
        <w:tab/>
        <w:t>(</w:t>
      </w:r>
      <w:r w:rsidR="002B79B5">
        <w:rPr>
          <w:rtl/>
        </w:rPr>
        <w:t>ج</w:t>
      </w:r>
      <w:r>
        <w:rPr>
          <w:rtl/>
        </w:rPr>
        <w:t>)</w:t>
      </w:r>
      <w:r>
        <w:rPr>
          <w:rtl/>
        </w:rPr>
        <w:tab/>
      </w:r>
      <w:r w:rsidR="002B79B5">
        <w:rPr>
          <w:rtl/>
        </w:rPr>
        <w:t>تشكيل هيئة توثيق تعنى بالمساواة بين الجنسين لتقييم المؤسسات التي تدرج وتطبق أساليب تنظيمية تعتبر من أفضل الممارسات في مجال المساواة في المعاملة. وقد وُقع العقد لهذا المشروع في أيلول/سبتمبر 2012؛</w:t>
      </w:r>
    </w:p>
    <w:p w:rsidR="002B79B5" w:rsidRDefault="0079367C" w:rsidP="002B79B5">
      <w:pPr>
        <w:pStyle w:val="SingleTxtGA"/>
        <w:rPr>
          <w:rtl/>
        </w:rPr>
      </w:pPr>
      <w:r>
        <w:rPr>
          <w:rtl/>
        </w:rPr>
        <w:tab/>
        <w:t>(</w:t>
      </w:r>
      <w:r w:rsidR="002B79B5">
        <w:rPr>
          <w:rtl/>
        </w:rPr>
        <w:t>د</w:t>
      </w:r>
      <w:r>
        <w:rPr>
          <w:rtl/>
        </w:rPr>
        <w:t>)</w:t>
      </w:r>
      <w:r>
        <w:rPr>
          <w:rtl/>
        </w:rPr>
        <w:tab/>
      </w:r>
      <w:r w:rsidR="002B79B5">
        <w:rPr>
          <w:rtl/>
        </w:rPr>
        <w:t>اتخاذ إجراءات للقضاء على الفصل المهني والقطاعي، بما في ذلك المبادرات في القضايا التعليمية (أي تنظيم برامج تدريبية متخصصة لجميع أخصائيي استشارات المسار المهني ولجميع معلمي مرحلتي التعليم الابتدائي والثانوي)؛</w:t>
      </w:r>
    </w:p>
    <w:p w:rsidR="002B79B5" w:rsidRDefault="0079367C" w:rsidP="002B79B5">
      <w:pPr>
        <w:pStyle w:val="SingleTxtGA"/>
        <w:rPr>
          <w:rFonts w:hint="cs"/>
          <w:rtl/>
        </w:rPr>
      </w:pPr>
      <w:r>
        <w:rPr>
          <w:rtl/>
        </w:rPr>
        <w:tab/>
        <w:t>(</w:t>
      </w:r>
      <w:r w:rsidR="00416995">
        <w:rPr>
          <w:rtl/>
        </w:rPr>
        <w:t>ﻫ</w:t>
      </w:r>
      <w:r>
        <w:rPr>
          <w:rtl/>
        </w:rPr>
        <w:t>)</w:t>
      </w:r>
      <w:r>
        <w:rPr>
          <w:rtl/>
        </w:rPr>
        <w:tab/>
      </w:r>
      <w:r w:rsidR="002B79B5">
        <w:rPr>
          <w:rtl/>
        </w:rPr>
        <w:t>تدريب الموظفين الإداريين في المؤسسات على استعمال مدونات قواعد الممارسات المتعلقة بإنفاذ المساواة في الأجر وبش</w:t>
      </w:r>
      <w:r w:rsidR="00C64C34">
        <w:rPr>
          <w:rtl/>
        </w:rPr>
        <w:t>أن استخدام أدوات تقييم الوظائف؛</w:t>
      </w:r>
    </w:p>
    <w:p w:rsidR="002B79B5" w:rsidRDefault="0079367C" w:rsidP="00E711E6">
      <w:pPr>
        <w:pStyle w:val="SingleTxtGA"/>
        <w:rPr>
          <w:rtl/>
        </w:rPr>
      </w:pPr>
      <w:r>
        <w:rPr>
          <w:rtl/>
        </w:rPr>
        <w:tab/>
        <w:t>(</w:t>
      </w:r>
      <w:r w:rsidR="002B79B5">
        <w:rPr>
          <w:rtl/>
        </w:rPr>
        <w:t>و</w:t>
      </w:r>
      <w:r>
        <w:rPr>
          <w:rtl/>
        </w:rPr>
        <w:t>)</w:t>
      </w:r>
      <w:r>
        <w:rPr>
          <w:rtl/>
        </w:rPr>
        <w:tab/>
      </w:r>
      <w:r w:rsidR="002B79B5">
        <w:rPr>
          <w:rtl/>
        </w:rPr>
        <w:t>تنظيم برامج تدريبية للنقابات وجمعيات أرباب العمل تشمل وضع الأدلة، والكتيبات الإرشادية، وأدوات التقييم الذاتي، ومدونات قواعد الممارسات، وأدوات تقييم الوظائف، وذلك للمديرين وأخصائيي الموارد البشرية؛</w:t>
      </w:r>
    </w:p>
    <w:p w:rsidR="002B79B5" w:rsidRDefault="0079367C" w:rsidP="00E711E6">
      <w:pPr>
        <w:pStyle w:val="SingleTxtGA"/>
        <w:rPr>
          <w:rtl/>
        </w:rPr>
      </w:pPr>
      <w:r>
        <w:rPr>
          <w:rtl/>
        </w:rPr>
        <w:tab/>
        <w:t>(</w:t>
      </w:r>
      <w:r w:rsidR="002B79B5">
        <w:rPr>
          <w:rtl/>
        </w:rPr>
        <w:t>ز</w:t>
      </w:r>
      <w:r>
        <w:rPr>
          <w:rtl/>
        </w:rPr>
        <w:t>)</w:t>
      </w:r>
      <w:r>
        <w:rPr>
          <w:rtl/>
        </w:rPr>
        <w:tab/>
      </w:r>
      <w:r w:rsidR="002B79B5">
        <w:rPr>
          <w:rtl/>
        </w:rPr>
        <w:t xml:space="preserve">فحص كل الاتفاقات الجماعية لتحديد التمييز المباشر في مجال الأجور؛ </w:t>
      </w:r>
    </w:p>
    <w:p w:rsidR="002B79B5" w:rsidRDefault="0079367C" w:rsidP="00E711E6">
      <w:pPr>
        <w:pStyle w:val="SingleTxtGA"/>
        <w:rPr>
          <w:rtl/>
        </w:rPr>
      </w:pPr>
      <w:r>
        <w:rPr>
          <w:rtl/>
        </w:rPr>
        <w:tab/>
        <w:t>(</w:t>
      </w:r>
      <w:r w:rsidR="002B79B5">
        <w:rPr>
          <w:rtl/>
        </w:rPr>
        <w:t>ح</w:t>
      </w:r>
      <w:r>
        <w:rPr>
          <w:rtl/>
        </w:rPr>
        <w:t>)</w:t>
      </w:r>
      <w:r>
        <w:rPr>
          <w:rtl/>
        </w:rPr>
        <w:tab/>
      </w:r>
      <w:r w:rsidR="002B79B5">
        <w:rPr>
          <w:rtl/>
        </w:rPr>
        <w:t xml:space="preserve">تنظيم مؤتمر ثلاثي عن تبادل أفضل الممارسات في مجال المساواة في الأجر (يضم </w:t>
      </w:r>
      <w:proofErr w:type="spellStart"/>
      <w:r w:rsidR="002B79B5">
        <w:rPr>
          <w:rtl/>
        </w:rPr>
        <w:t>مسؤولين</w:t>
      </w:r>
      <w:proofErr w:type="spellEnd"/>
      <w:r w:rsidR="002B79B5">
        <w:rPr>
          <w:rtl/>
        </w:rPr>
        <w:t xml:space="preserve"> حكوميين وأعضاء نقابات وأرباب عمل) في 29-30 تشرين الأول/</w:t>
      </w:r>
      <w:r w:rsidR="00C64C34">
        <w:rPr>
          <w:rFonts w:hint="cs"/>
          <w:rtl/>
        </w:rPr>
        <w:t xml:space="preserve">      </w:t>
      </w:r>
      <w:r w:rsidR="002B79B5">
        <w:rPr>
          <w:rtl/>
        </w:rPr>
        <w:t xml:space="preserve">أكتوبر 2012 في </w:t>
      </w:r>
      <w:proofErr w:type="spellStart"/>
      <w:r w:rsidR="002B79B5">
        <w:rPr>
          <w:rtl/>
        </w:rPr>
        <w:t>ليماسول</w:t>
      </w:r>
      <w:proofErr w:type="spellEnd"/>
      <w:r w:rsidR="002B79B5">
        <w:rPr>
          <w:rtl/>
        </w:rPr>
        <w:t>، قبرص؛</w:t>
      </w:r>
    </w:p>
    <w:p w:rsidR="002B79B5" w:rsidRDefault="0079367C" w:rsidP="00E711E6">
      <w:pPr>
        <w:pStyle w:val="SingleTxtGA"/>
        <w:rPr>
          <w:rtl/>
        </w:rPr>
      </w:pPr>
      <w:r>
        <w:rPr>
          <w:rtl/>
        </w:rPr>
        <w:tab/>
        <w:t>(</w:t>
      </w:r>
      <w:r w:rsidR="002B79B5">
        <w:rPr>
          <w:rtl/>
        </w:rPr>
        <w:t>ط</w:t>
      </w:r>
      <w:r>
        <w:rPr>
          <w:rtl/>
        </w:rPr>
        <w:t>)</w:t>
      </w:r>
      <w:r>
        <w:rPr>
          <w:rtl/>
        </w:rPr>
        <w:tab/>
      </w:r>
      <w:r w:rsidR="002B79B5">
        <w:rPr>
          <w:rtl/>
        </w:rPr>
        <w:t>تنظيم حملات للتوعية بشأن المساواة في الأجر من خلال وسائط الإعلام (إعلانات تقدم معلومات عن الفجوة في الأجور بين الرجل والمرأة وعن مشروع "إجراءات الحد من فجوة الأجور بين الجنسين").</w:t>
      </w:r>
    </w:p>
    <w:p w:rsidR="002B79B5" w:rsidRDefault="00C64C34" w:rsidP="00E711E6">
      <w:pPr>
        <w:pStyle w:val="H23GA"/>
        <w:rPr>
          <w:rtl/>
        </w:rPr>
      </w:pPr>
      <w:r>
        <w:rPr>
          <w:rFonts w:hint="cs"/>
          <w:rtl/>
        </w:rPr>
        <w:tab/>
      </w:r>
      <w:r>
        <w:rPr>
          <w:rFonts w:hint="cs"/>
          <w:rtl/>
        </w:rPr>
        <w:tab/>
      </w:r>
      <w:r w:rsidR="002B79B5">
        <w:rPr>
          <w:rtl/>
        </w:rPr>
        <w:t>الرد على القضايا المطروحة في الفقرة 14 من قائمة القضايا</w:t>
      </w:r>
    </w:p>
    <w:p w:rsidR="002B79B5" w:rsidRPr="00C64C34" w:rsidRDefault="002B79B5" w:rsidP="00E711E6">
      <w:pPr>
        <w:pStyle w:val="SingleTxtGA"/>
        <w:rPr>
          <w:spacing w:val="-4"/>
          <w:rtl/>
        </w:rPr>
      </w:pPr>
      <w:r w:rsidRPr="00C64C34">
        <w:rPr>
          <w:spacing w:val="-4"/>
          <w:rtl/>
        </w:rPr>
        <w:t>75</w:t>
      </w:r>
      <w:r w:rsidR="0079367C" w:rsidRPr="00C64C34">
        <w:rPr>
          <w:spacing w:val="-4"/>
          <w:rtl/>
        </w:rPr>
        <w:t>-</w:t>
      </w:r>
      <w:r w:rsidR="0079367C" w:rsidRPr="00C64C34">
        <w:rPr>
          <w:spacing w:val="-4"/>
          <w:rtl/>
        </w:rPr>
        <w:tab/>
      </w:r>
      <w:r w:rsidRPr="00C64C34">
        <w:rPr>
          <w:spacing w:val="-4"/>
          <w:rtl/>
        </w:rPr>
        <w:t>اتخذت التدابير الملموسة التالية لضمان الحماية القانونية للمهاجرات العاملات في المنازل:</w:t>
      </w:r>
    </w:p>
    <w:p w:rsidR="002B79B5" w:rsidRDefault="0079367C" w:rsidP="00E711E6">
      <w:pPr>
        <w:pStyle w:val="SingleTxtGA"/>
        <w:rPr>
          <w:rtl/>
        </w:rPr>
      </w:pPr>
      <w:r>
        <w:rPr>
          <w:rtl/>
        </w:rPr>
        <w:tab/>
        <w:t>(</w:t>
      </w:r>
      <w:r w:rsidR="002B79B5">
        <w:rPr>
          <w:rtl/>
        </w:rPr>
        <w:t>أ</w:t>
      </w:r>
      <w:r>
        <w:rPr>
          <w:rtl/>
        </w:rPr>
        <w:t>)</w:t>
      </w:r>
      <w:r>
        <w:rPr>
          <w:rtl/>
        </w:rPr>
        <w:tab/>
      </w:r>
      <w:r w:rsidR="002B79B5">
        <w:rPr>
          <w:rtl/>
        </w:rPr>
        <w:t>اعتماد تعبير "عمال المنازل" عوض</w:t>
      </w:r>
      <w:r w:rsidR="00D94BE0">
        <w:rPr>
          <w:rtl/>
        </w:rPr>
        <w:t xml:space="preserve">اً </w:t>
      </w:r>
      <w:r w:rsidR="002B79B5">
        <w:rPr>
          <w:rtl/>
        </w:rPr>
        <w:t>عن "خدم المنازل" (يُستخدم التعبير الجديد حالي</w:t>
      </w:r>
      <w:r w:rsidR="00D94BE0">
        <w:rPr>
          <w:rtl/>
        </w:rPr>
        <w:t>اً)</w:t>
      </w:r>
      <w:r w:rsidR="002B79B5">
        <w:rPr>
          <w:rtl/>
        </w:rPr>
        <w:t>؛</w:t>
      </w:r>
    </w:p>
    <w:p w:rsidR="002B79B5" w:rsidRDefault="0079367C" w:rsidP="00E711E6">
      <w:pPr>
        <w:pStyle w:val="SingleTxtGA"/>
        <w:rPr>
          <w:rtl/>
        </w:rPr>
      </w:pPr>
      <w:r>
        <w:rPr>
          <w:rtl/>
        </w:rPr>
        <w:tab/>
        <w:t>(</w:t>
      </w:r>
      <w:r w:rsidR="002B79B5">
        <w:rPr>
          <w:rtl/>
        </w:rPr>
        <w:t>ب</w:t>
      </w:r>
      <w:r>
        <w:rPr>
          <w:rtl/>
        </w:rPr>
        <w:t>)</w:t>
      </w:r>
      <w:r>
        <w:rPr>
          <w:rtl/>
        </w:rPr>
        <w:tab/>
      </w:r>
      <w:r w:rsidR="002B79B5">
        <w:rPr>
          <w:rtl/>
        </w:rPr>
        <w:t>تقديم ضمان مصرفي من رب العمل والعامل على السواء</w:t>
      </w:r>
      <w:r w:rsidR="00C64C34">
        <w:rPr>
          <w:vertAlign w:val="superscript"/>
          <w:rtl/>
        </w:rPr>
        <w:t>(</w:t>
      </w:r>
      <w:r w:rsidR="00C64C34">
        <w:rPr>
          <w:rStyle w:val="FootnoteReference"/>
          <w:rtl/>
        </w:rPr>
        <w:footnoteReference w:id="3"/>
      </w:r>
      <w:r w:rsidR="00C64C34">
        <w:rPr>
          <w:vertAlign w:val="superscript"/>
          <w:rtl/>
        </w:rPr>
        <w:t>)</w:t>
      </w:r>
      <w:r w:rsidR="002B79B5">
        <w:rPr>
          <w:rtl/>
        </w:rPr>
        <w:t>؛</w:t>
      </w:r>
    </w:p>
    <w:p w:rsidR="002B79B5" w:rsidRDefault="0079367C" w:rsidP="00E711E6">
      <w:pPr>
        <w:pStyle w:val="SingleTxtGA"/>
        <w:rPr>
          <w:rtl/>
        </w:rPr>
      </w:pPr>
      <w:r>
        <w:rPr>
          <w:rtl/>
        </w:rPr>
        <w:tab/>
        <w:t>(</w:t>
      </w:r>
      <w:r w:rsidR="002B79B5">
        <w:rPr>
          <w:rtl/>
        </w:rPr>
        <w:t>ج</w:t>
      </w:r>
      <w:r>
        <w:rPr>
          <w:rtl/>
        </w:rPr>
        <w:t>)</w:t>
      </w:r>
      <w:r>
        <w:rPr>
          <w:rtl/>
        </w:rPr>
        <w:tab/>
      </w:r>
      <w:r w:rsidR="002B79B5">
        <w:rPr>
          <w:rtl/>
        </w:rPr>
        <w:t>اشتراط معرفة أساسية باللغة اليونانية أو الإنكليزية وخبرة في وظيفة مماثلة</w:t>
      </w:r>
      <w:r w:rsidR="00E840A2">
        <w:rPr>
          <w:rtl/>
        </w:rPr>
        <w:t xml:space="preserve"> لا </w:t>
      </w:r>
      <w:r w:rsidR="002B79B5">
        <w:rPr>
          <w:rtl/>
        </w:rPr>
        <w:t>تقل عن سنة واحدة (دخل هذا الأمر حيز النفاذ)؛</w:t>
      </w:r>
    </w:p>
    <w:p w:rsidR="002B79B5" w:rsidRDefault="0079367C" w:rsidP="00E711E6">
      <w:pPr>
        <w:pStyle w:val="SingleTxtGA"/>
        <w:rPr>
          <w:rtl/>
        </w:rPr>
      </w:pPr>
      <w:r>
        <w:rPr>
          <w:rtl/>
        </w:rPr>
        <w:tab/>
        <w:t>(</w:t>
      </w:r>
      <w:r w:rsidR="002B79B5">
        <w:rPr>
          <w:rtl/>
        </w:rPr>
        <w:t>د</w:t>
      </w:r>
      <w:r>
        <w:rPr>
          <w:rtl/>
        </w:rPr>
        <w:t>)</w:t>
      </w:r>
      <w:r>
        <w:rPr>
          <w:rtl/>
        </w:rPr>
        <w:tab/>
      </w:r>
      <w:r w:rsidR="002B79B5">
        <w:rPr>
          <w:rtl/>
        </w:rPr>
        <w:t>نقل المسؤولية عن النظر في الطلبات من وزارة الداخلية إلى مكتب العمل في وزارة العمل والتأمينات الاجتماعية. وسيتم النقل بعد الفحص الذي تجريه إدارة الشؤون الإدارية العامة والأفراد بشأن الترتيبات الإدارية واحتياجات مكتب العمل من الموظفين (لم</w:t>
      </w:r>
      <w:r w:rsidR="00C64C34">
        <w:rPr>
          <w:rFonts w:hint="cs"/>
          <w:rtl/>
        </w:rPr>
        <w:t> </w:t>
      </w:r>
      <w:r w:rsidR="002B79B5">
        <w:rPr>
          <w:rtl/>
        </w:rPr>
        <w:t>يتم النقل بعد).</w:t>
      </w:r>
    </w:p>
    <w:p w:rsidR="002B79B5" w:rsidRDefault="002B79B5" w:rsidP="00E711E6">
      <w:pPr>
        <w:pStyle w:val="SingleTxtGA"/>
        <w:rPr>
          <w:rtl/>
        </w:rPr>
      </w:pPr>
      <w:r>
        <w:rPr>
          <w:rtl/>
        </w:rPr>
        <w:t>76</w:t>
      </w:r>
      <w:r w:rsidR="0079367C">
        <w:rPr>
          <w:rtl/>
        </w:rPr>
        <w:t>-</w:t>
      </w:r>
      <w:r w:rsidR="0079367C">
        <w:rPr>
          <w:rtl/>
        </w:rPr>
        <w:tab/>
      </w:r>
      <w:r>
        <w:rPr>
          <w:rtl/>
        </w:rPr>
        <w:t>بالإضافة إلى ذلك، كلف مجلس الوزراء لجنة وزارية بتقديم مقترح جديد عن الرسوم المطلوبة لتقديم الطلبات والنظر فيها، ورسوم إصدار التصاريح، ومرتبات عمال المنازل. وقُدم المقترح إلى مجلس الوزراء ونوقش في 8 تشرين الأول/أكتوبر 2010. وتقرر ما يلي:</w:t>
      </w:r>
    </w:p>
    <w:p w:rsidR="002B79B5" w:rsidRDefault="0079367C" w:rsidP="00E711E6">
      <w:pPr>
        <w:pStyle w:val="SingleTxtGA"/>
        <w:rPr>
          <w:rFonts w:hint="cs"/>
          <w:rtl/>
        </w:rPr>
      </w:pPr>
      <w:r>
        <w:rPr>
          <w:rtl/>
        </w:rPr>
        <w:tab/>
        <w:t>(</w:t>
      </w:r>
      <w:r w:rsidR="002B79B5">
        <w:rPr>
          <w:rtl/>
        </w:rPr>
        <w:t>أ</w:t>
      </w:r>
      <w:r>
        <w:rPr>
          <w:rtl/>
        </w:rPr>
        <w:t>)</w:t>
      </w:r>
      <w:r>
        <w:rPr>
          <w:rtl/>
        </w:rPr>
        <w:tab/>
      </w:r>
      <w:r w:rsidR="002B79B5">
        <w:rPr>
          <w:rtl/>
        </w:rPr>
        <w:t>زيادة الحد الأدنى للمرتب الإجمالي لعمال المنازل بنسبة 10 في المائة على مرحلتين: 5 في المائة اعتبار</w:t>
      </w:r>
      <w:r w:rsidR="00D94BE0">
        <w:rPr>
          <w:rtl/>
        </w:rPr>
        <w:t xml:space="preserve">اً </w:t>
      </w:r>
      <w:r w:rsidR="002B79B5">
        <w:rPr>
          <w:rtl/>
        </w:rPr>
        <w:t>من 1 كانون الثاني/يناير 2011، و5 في المائة اعتبار</w:t>
      </w:r>
      <w:r w:rsidR="00D94BE0">
        <w:rPr>
          <w:rtl/>
        </w:rPr>
        <w:t xml:space="preserve">اً </w:t>
      </w:r>
      <w:r w:rsidR="002B79B5">
        <w:rPr>
          <w:rtl/>
        </w:rPr>
        <w:t>من 1 تموز/يوليه 2011 (وقد زاد بالفعل المرتب الإجمالي لعمال المنازل بنسبة 10 في المائة)</w:t>
      </w:r>
      <w:r w:rsidR="009C36FC">
        <w:rPr>
          <w:rFonts w:hint="cs"/>
          <w:rtl/>
        </w:rPr>
        <w:t>؛</w:t>
      </w:r>
    </w:p>
    <w:p w:rsidR="002B79B5" w:rsidRDefault="0079367C" w:rsidP="009C36FC">
      <w:pPr>
        <w:pStyle w:val="SingleTxtGA"/>
        <w:rPr>
          <w:rFonts w:hint="cs"/>
          <w:rtl/>
        </w:rPr>
      </w:pPr>
      <w:r>
        <w:rPr>
          <w:rtl/>
        </w:rPr>
        <w:tab/>
        <w:t>(</w:t>
      </w:r>
      <w:r w:rsidR="002B79B5">
        <w:rPr>
          <w:rtl/>
        </w:rPr>
        <w:t>ب</w:t>
      </w:r>
      <w:r>
        <w:rPr>
          <w:rtl/>
        </w:rPr>
        <w:t>)</w:t>
      </w:r>
      <w:r>
        <w:rPr>
          <w:rtl/>
        </w:rPr>
        <w:tab/>
      </w:r>
      <w:r w:rsidR="002B79B5">
        <w:rPr>
          <w:rtl/>
        </w:rPr>
        <w:t>أن تكون مدة تصاريح الإقامة والعمل المؤقتة الصادرة لعمال المنازل سنتين عوض</w:t>
      </w:r>
      <w:r w:rsidR="00D94BE0">
        <w:rPr>
          <w:rtl/>
        </w:rPr>
        <w:t xml:space="preserve">اً </w:t>
      </w:r>
      <w:r w:rsidR="002B79B5">
        <w:rPr>
          <w:rtl/>
        </w:rPr>
        <w:t>عن 4 سنوات</w:t>
      </w:r>
      <w:r w:rsidR="009C36FC">
        <w:rPr>
          <w:vertAlign w:val="superscript"/>
          <w:rtl/>
        </w:rPr>
        <w:t>(</w:t>
      </w:r>
      <w:r w:rsidR="009C36FC">
        <w:rPr>
          <w:rStyle w:val="FootnoteReference"/>
          <w:rtl/>
        </w:rPr>
        <w:footnoteReference w:id="4"/>
      </w:r>
      <w:r w:rsidR="009C36FC">
        <w:rPr>
          <w:vertAlign w:val="superscript"/>
          <w:rtl/>
        </w:rPr>
        <w:t>)</w:t>
      </w:r>
      <w:r w:rsidR="009C36FC">
        <w:rPr>
          <w:rFonts w:hint="cs"/>
          <w:rtl/>
        </w:rPr>
        <w:t>؛</w:t>
      </w:r>
    </w:p>
    <w:p w:rsidR="002B79B5" w:rsidRDefault="0079367C" w:rsidP="009C36FC">
      <w:pPr>
        <w:pStyle w:val="SingleTxtGA"/>
        <w:rPr>
          <w:rtl/>
        </w:rPr>
      </w:pPr>
      <w:r>
        <w:rPr>
          <w:rtl/>
        </w:rPr>
        <w:tab/>
        <w:t>(</w:t>
      </w:r>
      <w:r w:rsidR="002B79B5">
        <w:rPr>
          <w:rtl/>
        </w:rPr>
        <w:t>ج</w:t>
      </w:r>
      <w:r>
        <w:rPr>
          <w:rtl/>
        </w:rPr>
        <w:t>)</w:t>
      </w:r>
      <w:r>
        <w:rPr>
          <w:rtl/>
        </w:rPr>
        <w:tab/>
      </w:r>
      <w:r w:rsidR="002B79B5">
        <w:rPr>
          <w:rtl/>
        </w:rPr>
        <w:t>مراجعة الرسوم المطلوبة لجميع فئات التصاريح للعمل والزيارة والهجرة، والإقامة الطويلة الأجل، وجمع شمل الأسرة، من أجل تحقيق سياسة شاملة ورشيدة تحد قدر الإمكان من الأعباء على أصحاب الدخل المنخفض والمستفيدين من المساعدة العامة وذوي الإعاقة والمسنين</w:t>
      </w:r>
      <w:r w:rsidR="009C36FC">
        <w:rPr>
          <w:vertAlign w:val="superscript"/>
          <w:rtl/>
        </w:rPr>
        <w:t>(</w:t>
      </w:r>
      <w:r w:rsidR="009C36FC">
        <w:rPr>
          <w:rStyle w:val="FootnoteReference"/>
          <w:rtl/>
        </w:rPr>
        <w:footnoteReference w:id="5"/>
      </w:r>
      <w:r w:rsidR="009C36FC">
        <w:rPr>
          <w:vertAlign w:val="superscript"/>
          <w:rtl/>
        </w:rPr>
        <w:t>)</w:t>
      </w:r>
      <w:r w:rsidR="002B79B5">
        <w:rPr>
          <w:rtl/>
        </w:rPr>
        <w:t>.</w:t>
      </w:r>
    </w:p>
    <w:p w:rsidR="002B79B5" w:rsidRDefault="002B79B5" w:rsidP="002B79B5">
      <w:pPr>
        <w:pStyle w:val="SingleTxtGA"/>
        <w:rPr>
          <w:rtl/>
        </w:rPr>
      </w:pPr>
      <w:r>
        <w:rPr>
          <w:rtl/>
        </w:rPr>
        <w:t>77</w:t>
      </w:r>
      <w:r w:rsidR="0079367C">
        <w:rPr>
          <w:rtl/>
        </w:rPr>
        <w:t>-</w:t>
      </w:r>
      <w:r w:rsidR="0079367C">
        <w:rPr>
          <w:rtl/>
        </w:rPr>
        <w:tab/>
      </w:r>
      <w:r>
        <w:rPr>
          <w:rtl/>
        </w:rPr>
        <w:t>وفضل</w:t>
      </w:r>
      <w:r w:rsidR="00D94BE0">
        <w:rPr>
          <w:rtl/>
        </w:rPr>
        <w:t xml:space="preserve">اً </w:t>
      </w:r>
      <w:r>
        <w:rPr>
          <w:rtl/>
        </w:rPr>
        <w:t>عن ذلك، أنشئت آلية لحل الشكاوى من أجل ضمان الحماية القانونية للمهاجرات العاملات في المنازل. وتعمل هذه الآلية في كل مكتب من مكاتب علاقات العمل في المقاطعات، حيث يمكن النظر في الشكاوى المتعلقة بانتهاكات عقود توظيف العمال. ويهدف مكتب علاقات العمل في المقاطعة إلى النظر في كل شكوى في غضون 3 أسابيع من تاريخ تقديمها.</w:t>
      </w:r>
    </w:p>
    <w:p w:rsidR="002B79B5" w:rsidRPr="009C36FC" w:rsidRDefault="002B79B5" w:rsidP="002B79B5">
      <w:pPr>
        <w:pStyle w:val="SingleTxtGA"/>
        <w:rPr>
          <w:spacing w:val="-2"/>
          <w:rtl/>
        </w:rPr>
      </w:pPr>
      <w:r w:rsidRPr="009C36FC">
        <w:rPr>
          <w:spacing w:val="-2"/>
          <w:rtl/>
        </w:rPr>
        <w:t>78</w:t>
      </w:r>
      <w:r w:rsidR="0079367C" w:rsidRPr="009C36FC">
        <w:rPr>
          <w:spacing w:val="-2"/>
          <w:rtl/>
        </w:rPr>
        <w:t>-</w:t>
      </w:r>
      <w:r w:rsidR="0079367C" w:rsidRPr="009C36FC">
        <w:rPr>
          <w:spacing w:val="-2"/>
          <w:rtl/>
        </w:rPr>
        <w:tab/>
      </w:r>
      <w:r w:rsidRPr="009C36FC">
        <w:rPr>
          <w:spacing w:val="-2"/>
          <w:rtl/>
        </w:rPr>
        <w:t>وتقدم شكاوى العمال المهاجرين أول</w:t>
      </w:r>
      <w:r w:rsidR="00D94BE0" w:rsidRPr="009C36FC">
        <w:rPr>
          <w:spacing w:val="-2"/>
          <w:rtl/>
        </w:rPr>
        <w:t xml:space="preserve">اً </w:t>
      </w:r>
      <w:r w:rsidRPr="009C36FC">
        <w:rPr>
          <w:spacing w:val="-2"/>
          <w:rtl/>
        </w:rPr>
        <w:t>إلى إدارة الأجانب والهجرة حيث تُختم وتسجل. ثم يُجري مكتب علاقات العمل في المقاطعة لقاءات مع الطرفين من أجل التحقيق في الشكوى والسعي للتوصل إلى حل يرضي الطرفين. ويتحتم خلال تلك اللقاءات أن يفهم كل الأشخاص الحاضرين بوضوح المسائل موضع النقاش، ومن ثم يمكن للحوار أن يتم باليونانية والإنكليزية على السواء. ومن ثم يُرسَل تقرير مكتب علاقات العمل إلى إدارة الهجرة في وزارة الداخلية لاتخاذ قرار نهائي. وفي الحالة التي يكون فيها من الواضح والجلي انتهاك عقد توظيف عامل مهاجر، تُتخذ الإجراءات القانونية ضد رب العمل الجاني من أجل ضمان عدم تكرار تلك الانتهاكات. وفضل</w:t>
      </w:r>
      <w:r w:rsidR="00D94BE0" w:rsidRPr="009C36FC">
        <w:rPr>
          <w:spacing w:val="-2"/>
          <w:rtl/>
        </w:rPr>
        <w:t xml:space="preserve">اً </w:t>
      </w:r>
      <w:r w:rsidRPr="009C36FC">
        <w:rPr>
          <w:spacing w:val="-2"/>
          <w:rtl/>
        </w:rPr>
        <w:t>عن ذلك، يُمنح العامل المهاجر صاحب الشكوى الإذن بالبحث عن وظيفة لدى رب عمل آخر.</w:t>
      </w:r>
    </w:p>
    <w:p w:rsidR="002B79B5" w:rsidRDefault="002B79B5" w:rsidP="002B79B5">
      <w:pPr>
        <w:pStyle w:val="SingleTxtGA"/>
        <w:rPr>
          <w:rtl/>
        </w:rPr>
      </w:pPr>
      <w:r>
        <w:rPr>
          <w:rtl/>
        </w:rPr>
        <w:t>79</w:t>
      </w:r>
      <w:r w:rsidR="0079367C">
        <w:rPr>
          <w:rtl/>
        </w:rPr>
        <w:t>-</w:t>
      </w:r>
      <w:r w:rsidR="0079367C">
        <w:rPr>
          <w:rtl/>
        </w:rPr>
        <w:tab/>
      </w:r>
      <w:r>
        <w:rPr>
          <w:rtl/>
        </w:rPr>
        <w:t>وخلال التحقيق في الشكوى، وفي حالة تحديد مكتب علاقات العمل لمسائل تتعلق بالاتجار أو محاولات للاستغلال الجنسي، تحال الشكوى كذلك إلى السلطات لإجراء المزيد من التحقيق.</w:t>
      </w:r>
    </w:p>
    <w:p w:rsidR="002B79B5" w:rsidRDefault="002B79B5" w:rsidP="009C36FC">
      <w:pPr>
        <w:pStyle w:val="SingleTxtGA"/>
        <w:rPr>
          <w:rtl/>
        </w:rPr>
      </w:pPr>
      <w:r>
        <w:rPr>
          <w:rtl/>
        </w:rPr>
        <w:t>80</w:t>
      </w:r>
      <w:r w:rsidR="0079367C">
        <w:rPr>
          <w:rtl/>
        </w:rPr>
        <w:t>-</w:t>
      </w:r>
      <w:r w:rsidR="0079367C">
        <w:rPr>
          <w:rtl/>
        </w:rPr>
        <w:tab/>
      </w:r>
      <w:r>
        <w:rPr>
          <w:rtl/>
        </w:rPr>
        <w:t>وقدم العمال المهاجرون خلال عام 2010 ما مجموعه 515 1 شكوى من بينها</w:t>
      </w:r>
      <w:r w:rsidR="009C36FC">
        <w:rPr>
          <w:rFonts w:hint="cs"/>
          <w:rtl/>
        </w:rPr>
        <w:t> </w:t>
      </w:r>
      <w:r>
        <w:rPr>
          <w:rtl/>
        </w:rPr>
        <w:t>210 1 من عمال المنازل. أما في عام 2011، فقد قدم العمال المهاجرون 175 1 شكوى من بينها 989 من عمال المنازل.</w:t>
      </w:r>
    </w:p>
    <w:p w:rsidR="002B79B5" w:rsidRDefault="002B79B5" w:rsidP="002B79B5">
      <w:pPr>
        <w:pStyle w:val="SingleTxtGA"/>
        <w:rPr>
          <w:rtl/>
        </w:rPr>
      </w:pPr>
      <w:r>
        <w:rPr>
          <w:rtl/>
        </w:rPr>
        <w:t>81</w:t>
      </w:r>
      <w:r w:rsidR="0079367C">
        <w:rPr>
          <w:rtl/>
        </w:rPr>
        <w:t>-</w:t>
      </w:r>
      <w:r w:rsidR="0079367C">
        <w:rPr>
          <w:rtl/>
        </w:rPr>
        <w:tab/>
      </w:r>
      <w:r>
        <w:rPr>
          <w:rtl/>
        </w:rPr>
        <w:t>ولا توجد بيانات عن نتائج الشكاوى المقدمة منذ عام 2010.</w:t>
      </w:r>
    </w:p>
    <w:p w:rsidR="002B79B5" w:rsidRDefault="007813EB" w:rsidP="007813EB">
      <w:pPr>
        <w:pStyle w:val="H23GA"/>
        <w:rPr>
          <w:rtl/>
        </w:rPr>
      </w:pPr>
      <w:r>
        <w:rPr>
          <w:rtl/>
        </w:rPr>
        <w:br w:type="page"/>
      </w:r>
      <w:r>
        <w:rPr>
          <w:rFonts w:hint="cs"/>
          <w:rtl/>
        </w:rPr>
        <w:tab/>
      </w:r>
      <w:r>
        <w:rPr>
          <w:rFonts w:hint="cs"/>
          <w:rtl/>
        </w:rPr>
        <w:tab/>
      </w:r>
      <w:r w:rsidR="002B79B5">
        <w:rPr>
          <w:rtl/>
        </w:rPr>
        <w:t>الرد على القضايا المطروحة في الفقرة 15 من قائمة القضايا</w:t>
      </w:r>
    </w:p>
    <w:p w:rsidR="002B79B5" w:rsidRDefault="002B79B5" w:rsidP="00B95123">
      <w:pPr>
        <w:pStyle w:val="SingleTxtGA"/>
        <w:spacing w:line="370" w:lineRule="exact"/>
        <w:rPr>
          <w:rtl/>
        </w:rPr>
      </w:pPr>
      <w:r>
        <w:rPr>
          <w:rtl/>
        </w:rPr>
        <w:t>82</w:t>
      </w:r>
      <w:r w:rsidR="0079367C">
        <w:rPr>
          <w:rtl/>
        </w:rPr>
        <w:t>-</w:t>
      </w:r>
      <w:r w:rsidR="0079367C">
        <w:rPr>
          <w:rtl/>
        </w:rPr>
        <w:tab/>
      </w:r>
      <w:r>
        <w:rPr>
          <w:rtl/>
        </w:rPr>
        <w:t>في سياق حماية حقوق جميع العمال المهاجرين في قبرص، وضعت إدارة علاقات العمل إجراء للنظر في الشكاوى المتعلقة بانتهاك شروط وأحكام التوظيف. ويُبذل جهد متواصل لتحسين هذا الإجراء من أجل ضمان وتعزيز شروط عمل العمال المهاجرين، حيث ترد في عقد العمل الموقع من الطرفين. ويحدد عقد العمل أمور</w:t>
      </w:r>
      <w:r w:rsidR="00D94BE0">
        <w:rPr>
          <w:rtl/>
        </w:rPr>
        <w:t xml:space="preserve">اً </w:t>
      </w:r>
      <w:r>
        <w:rPr>
          <w:rtl/>
        </w:rPr>
        <w:t>من بينها عدد ساعات العمل اليومية والأسبوعية، ومدة الإجازات السنوية والعطل العامة المدفوعة الأجر. والمرتب الإجمالي في عقد العمل للعمال الأجانب هو المنصوص عليه في الاتفاق الجماعي ذي الصلة من أجل ضمان المساواة في الأجر.</w:t>
      </w:r>
    </w:p>
    <w:p w:rsidR="002B79B5" w:rsidRDefault="002B79B5" w:rsidP="00B95123">
      <w:pPr>
        <w:pStyle w:val="SingleTxtGA"/>
        <w:spacing w:line="370" w:lineRule="exact"/>
        <w:rPr>
          <w:rtl/>
        </w:rPr>
      </w:pPr>
      <w:r>
        <w:rPr>
          <w:rtl/>
        </w:rPr>
        <w:t>83</w:t>
      </w:r>
      <w:r w:rsidR="0079367C">
        <w:rPr>
          <w:rtl/>
        </w:rPr>
        <w:t>-</w:t>
      </w:r>
      <w:r w:rsidR="0079367C">
        <w:rPr>
          <w:rtl/>
        </w:rPr>
        <w:tab/>
      </w:r>
      <w:r>
        <w:rPr>
          <w:rtl/>
        </w:rPr>
        <w:t>وفيما يتعلق بشروط وأحكام التوظيف لعمال المنازل، تضع وزارة الداخلية نموذج عقد العمل، حيث</w:t>
      </w:r>
      <w:r w:rsidR="00E840A2">
        <w:rPr>
          <w:rtl/>
        </w:rPr>
        <w:t xml:space="preserve"> لا </w:t>
      </w:r>
      <w:r>
        <w:rPr>
          <w:rtl/>
        </w:rPr>
        <w:t>يوجد اتفاق جماعي قائم.</w:t>
      </w:r>
    </w:p>
    <w:p w:rsidR="002B79B5" w:rsidRDefault="002B79B5" w:rsidP="00B95123">
      <w:pPr>
        <w:pStyle w:val="SingleTxtGA"/>
        <w:spacing w:line="370" w:lineRule="exact"/>
        <w:rPr>
          <w:rtl/>
        </w:rPr>
      </w:pPr>
      <w:r>
        <w:rPr>
          <w:rtl/>
        </w:rPr>
        <w:t>84</w:t>
      </w:r>
      <w:r w:rsidR="0079367C">
        <w:rPr>
          <w:rtl/>
        </w:rPr>
        <w:t>-</w:t>
      </w:r>
      <w:r w:rsidR="0079367C">
        <w:rPr>
          <w:rtl/>
        </w:rPr>
        <w:tab/>
      </w:r>
      <w:r>
        <w:rPr>
          <w:rtl/>
        </w:rPr>
        <w:t>بالإضافة إلى ذلك، أنشئت آلية للتفتيش من أجل إجراء عمليات تفتيش لضمان إنفاذ المساواة في المعاملة بين الرجل والمرأة في العمالة والتدريب المهني. ومن أجل تحقيق هذا الهدف، شرعت وزارة العمل والتأمينات الاجتماعية في تعيين 30 مفتش</w:t>
      </w:r>
      <w:r w:rsidR="00D94BE0">
        <w:rPr>
          <w:rtl/>
        </w:rPr>
        <w:t xml:space="preserve">اً </w:t>
      </w:r>
      <w:r>
        <w:rPr>
          <w:rtl/>
        </w:rPr>
        <w:t>يضطلعون بالمسؤولية أيض</w:t>
      </w:r>
      <w:r w:rsidR="00D94BE0">
        <w:rPr>
          <w:rtl/>
        </w:rPr>
        <w:t xml:space="preserve">اً </w:t>
      </w:r>
      <w:r>
        <w:rPr>
          <w:rtl/>
        </w:rPr>
        <w:t>عن التفتيش في أماكن العمل</w:t>
      </w:r>
      <w:r w:rsidR="00E840A2">
        <w:rPr>
          <w:rtl/>
        </w:rPr>
        <w:t xml:space="preserve"> فيما </w:t>
      </w:r>
      <w:r>
        <w:rPr>
          <w:rtl/>
        </w:rPr>
        <w:t>يتعلق بالعمل غير المعلن.</w:t>
      </w:r>
    </w:p>
    <w:p w:rsidR="002B79B5" w:rsidRDefault="002B79B5" w:rsidP="00B95123">
      <w:pPr>
        <w:pStyle w:val="SingleTxtGA"/>
        <w:spacing w:line="370" w:lineRule="exact"/>
        <w:rPr>
          <w:rtl/>
        </w:rPr>
      </w:pPr>
      <w:r>
        <w:rPr>
          <w:rtl/>
        </w:rPr>
        <w:t>85</w:t>
      </w:r>
      <w:r w:rsidR="0079367C">
        <w:rPr>
          <w:rtl/>
        </w:rPr>
        <w:t>-</w:t>
      </w:r>
      <w:r w:rsidR="0079367C">
        <w:rPr>
          <w:rtl/>
        </w:rPr>
        <w:tab/>
      </w:r>
      <w:proofErr w:type="spellStart"/>
      <w:r>
        <w:rPr>
          <w:rtl/>
        </w:rPr>
        <w:t>ويجدر</w:t>
      </w:r>
      <w:proofErr w:type="spellEnd"/>
      <w:r>
        <w:rPr>
          <w:rtl/>
        </w:rPr>
        <w:t xml:space="preserve"> بالذكر أن تلك الإجراءات</w:t>
      </w:r>
      <w:r w:rsidR="00E840A2">
        <w:rPr>
          <w:rtl/>
        </w:rPr>
        <w:t xml:space="preserve"> لا </w:t>
      </w:r>
      <w:r>
        <w:rPr>
          <w:rtl/>
        </w:rPr>
        <w:t>تبطل حقوق العمال المهاجرين في التقدم مباشرة (من خلال محاميهم) إلى محكمة نزاعات العمل بشأن أي خرق لأي من قوانين العمل المخوَّل للمحكمة المختصة الحكم فيها. ويجب التشديد أيض</w:t>
      </w:r>
      <w:r w:rsidR="00D94BE0">
        <w:rPr>
          <w:rtl/>
        </w:rPr>
        <w:t xml:space="preserve">اً </w:t>
      </w:r>
      <w:r>
        <w:rPr>
          <w:rtl/>
        </w:rPr>
        <w:t>على أنه في حالة انتهاء مدة تأشيرة العامل أو تصريح عمله، يظل بإمكانه رفع أي دعوى يرغب في إقامتها أمام محكمة نزاعات العمل، من خلال محاميه، وعندما تنظر المحكمة في القضية، يُمنح العامل تأشيرة مؤقتة من أجل حضور جلسات المحكمة إن كان يرغب في ذلك.</w:t>
      </w:r>
    </w:p>
    <w:p w:rsidR="002B79B5" w:rsidRDefault="002B79B5" w:rsidP="00B95123">
      <w:pPr>
        <w:pStyle w:val="SingleTxtGA"/>
        <w:spacing w:line="370" w:lineRule="exact"/>
        <w:rPr>
          <w:rtl/>
        </w:rPr>
      </w:pPr>
      <w:r>
        <w:rPr>
          <w:rtl/>
        </w:rPr>
        <w:t>86</w:t>
      </w:r>
      <w:r w:rsidR="0079367C">
        <w:rPr>
          <w:rtl/>
        </w:rPr>
        <w:t>-</w:t>
      </w:r>
      <w:r w:rsidR="0079367C">
        <w:rPr>
          <w:rtl/>
        </w:rPr>
        <w:tab/>
      </w:r>
      <w:r>
        <w:rPr>
          <w:rtl/>
        </w:rPr>
        <w:t>وأخير</w:t>
      </w:r>
      <w:r w:rsidR="00D94BE0">
        <w:rPr>
          <w:rtl/>
        </w:rPr>
        <w:t>اً،</w:t>
      </w:r>
      <w:r>
        <w:rPr>
          <w:rtl/>
        </w:rPr>
        <w:t xml:space="preserve"> </w:t>
      </w:r>
      <w:proofErr w:type="spellStart"/>
      <w:r>
        <w:rPr>
          <w:rtl/>
        </w:rPr>
        <w:t>يجدر</w:t>
      </w:r>
      <w:proofErr w:type="spellEnd"/>
      <w:r>
        <w:rPr>
          <w:rtl/>
        </w:rPr>
        <w:t xml:space="preserve"> بالذكر أن إدارة علاقات العمل لها الحق أيض</w:t>
      </w:r>
      <w:r w:rsidR="00D94BE0">
        <w:rPr>
          <w:rtl/>
        </w:rPr>
        <w:t>اً،</w:t>
      </w:r>
      <w:r>
        <w:rPr>
          <w:rtl/>
        </w:rPr>
        <w:t xml:space="preserve"> إن ارتأت ضرورة لذلك، في توجيه تهم لأي رب عمل بشأن خرق أي قانون يدخل في اختصاصها، بصرف النظر عن قرار العامل اتخاذ إجراء قانوني من عدمه، بما يشمل القضايا المتعلقة بتشغيل رعايا البلدان الثالثة كعمال منازل. </w:t>
      </w:r>
    </w:p>
    <w:p w:rsidR="002B79B5" w:rsidRDefault="007813EB" w:rsidP="007813EB">
      <w:pPr>
        <w:pStyle w:val="H1GA"/>
        <w:rPr>
          <w:rFonts w:hint="cs"/>
          <w:rtl/>
        </w:rPr>
      </w:pPr>
      <w:r>
        <w:rPr>
          <w:rFonts w:hint="cs"/>
          <w:rtl/>
        </w:rPr>
        <w:tab/>
      </w:r>
      <w:r>
        <w:rPr>
          <w:rFonts w:hint="cs"/>
          <w:rtl/>
        </w:rPr>
        <w:tab/>
      </w:r>
      <w:r>
        <w:rPr>
          <w:rtl/>
        </w:rPr>
        <w:t>الصحة</w:t>
      </w:r>
    </w:p>
    <w:p w:rsidR="002B79B5" w:rsidRDefault="007813EB" w:rsidP="007813EB">
      <w:pPr>
        <w:pStyle w:val="H23GA"/>
        <w:rPr>
          <w:rtl/>
        </w:rPr>
      </w:pPr>
      <w:r>
        <w:rPr>
          <w:rFonts w:hint="cs"/>
          <w:rtl/>
        </w:rPr>
        <w:tab/>
      </w:r>
      <w:r>
        <w:rPr>
          <w:rFonts w:hint="cs"/>
          <w:rtl/>
        </w:rPr>
        <w:tab/>
      </w:r>
      <w:r w:rsidR="002B79B5">
        <w:rPr>
          <w:rtl/>
        </w:rPr>
        <w:t xml:space="preserve">الرد على القضايا المطروحة في الفقرة 16 من قائمة القضايا </w:t>
      </w:r>
    </w:p>
    <w:p w:rsidR="002B79B5" w:rsidRPr="0089312E" w:rsidRDefault="002B79B5" w:rsidP="00B95123">
      <w:pPr>
        <w:pStyle w:val="SingleTxtGA"/>
        <w:spacing w:line="370" w:lineRule="exact"/>
        <w:rPr>
          <w:spacing w:val="-2"/>
          <w:rtl/>
        </w:rPr>
      </w:pPr>
      <w:r w:rsidRPr="0089312E">
        <w:rPr>
          <w:spacing w:val="-2"/>
          <w:rtl/>
        </w:rPr>
        <w:t>87</w:t>
      </w:r>
      <w:r w:rsidR="0079367C" w:rsidRPr="0089312E">
        <w:rPr>
          <w:spacing w:val="-2"/>
          <w:rtl/>
        </w:rPr>
        <w:t>-</w:t>
      </w:r>
      <w:r w:rsidR="0079367C" w:rsidRPr="0089312E">
        <w:rPr>
          <w:spacing w:val="-2"/>
          <w:rtl/>
        </w:rPr>
        <w:tab/>
      </w:r>
      <w:r w:rsidRPr="0089312E">
        <w:rPr>
          <w:spacing w:val="-2"/>
          <w:rtl/>
        </w:rPr>
        <w:t>لا توجد برامج رعاية صحية خاصة للمهاجرين وملتمسي اللجوء والمشردين داخلي</w:t>
      </w:r>
      <w:r w:rsidR="00D94BE0" w:rsidRPr="0089312E">
        <w:rPr>
          <w:spacing w:val="-2"/>
          <w:rtl/>
        </w:rPr>
        <w:t xml:space="preserve">اً </w:t>
      </w:r>
      <w:r w:rsidRPr="0089312E">
        <w:rPr>
          <w:spacing w:val="-2"/>
          <w:rtl/>
        </w:rPr>
        <w:t xml:space="preserve">ونساء </w:t>
      </w:r>
      <w:proofErr w:type="spellStart"/>
      <w:r w:rsidRPr="0089312E">
        <w:rPr>
          <w:spacing w:val="-2"/>
          <w:rtl/>
        </w:rPr>
        <w:t>الروما</w:t>
      </w:r>
      <w:proofErr w:type="spellEnd"/>
      <w:r w:rsidRPr="0089312E">
        <w:rPr>
          <w:spacing w:val="-2"/>
          <w:rtl/>
        </w:rPr>
        <w:t>. فكل المواطنين، بصرف النظر عن الجنسية أو نوع الجنس أو الإعاقة البدنية أو</w:t>
      </w:r>
      <w:r w:rsidR="007813EB" w:rsidRPr="0089312E">
        <w:rPr>
          <w:rFonts w:hint="cs"/>
          <w:spacing w:val="-2"/>
          <w:rtl/>
        </w:rPr>
        <w:t> </w:t>
      </w:r>
      <w:r w:rsidRPr="0089312E">
        <w:rPr>
          <w:spacing w:val="-2"/>
          <w:rtl/>
        </w:rPr>
        <w:t>الحسية أو الذهنية أو العقلية، يتلقون نفس نوعية الخدمات الطبية والخدمات الصحية العامة. وقد اعتمد مجلس الوزراء مؤخر</w:t>
      </w:r>
      <w:r w:rsidR="00D94BE0" w:rsidRPr="0089312E">
        <w:rPr>
          <w:spacing w:val="-2"/>
          <w:rtl/>
        </w:rPr>
        <w:t xml:space="preserve">اً </w:t>
      </w:r>
      <w:r w:rsidRPr="0089312E">
        <w:rPr>
          <w:spacing w:val="-2"/>
          <w:rtl/>
        </w:rPr>
        <w:t>قرار</w:t>
      </w:r>
      <w:r w:rsidR="00D94BE0" w:rsidRPr="0089312E">
        <w:rPr>
          <w:spacing w:val="-2"/>
          <w:rtl/>
        </w:rPr>
        <w:t xml:space="preserve">اً </w:t>
      </w:r>
      <w:r w:rsidRPr="0089312E">
        <w:rPr>
          <w:spacing w:val="-2"/>
          <w:rtl/>
        </w:rPr>
        <w:t xml:space="preserve">بتعزيز تنفيذ نظام التأمين الصحي الوطني. وينطوي هذا القرار على خريطة طريق محددة تشمل كل المهام اللازم الوفاء </w:t>
      </w:r>
      <w:proofErr w:type="spellStart"/>
      <w:r w:rsidRPr="0089312E">
        <w:rPr>
          <w:spacing w:val="-2"/>
          <w:rtl/>
        </w:rPr>
        <w:t>بها</w:t>
      </w:r>
      <w:proofErr w:type="spellEnd"/>
      <w:r w:rsidRPr="0089312E">
        <w:rPr>
          <w:spacing w:val="-2"/>
          <w:rtl/>
        </w:rPr>
        <w:t xml:space="preserve"> في غضون فترة زمنية معينة. وتاريخ التنفيذ المستند إلى خريطة الطريق المذكورة هو النصف الثاني من عام 2015 -</w:t>
      </w:r>
      <w:r w:rsidR="00D94BE0" w:rsidRPr="0089312E">
        <w:rPr>
          <w:rFonts w:hint="cs"/>
          <w:spacing w:val="-2"/>
          <w:rtl/>
        </w:rPr>
        <w:t xml:space="preserve"> </w:t>
      </w:r>
      <w:r w:rsidRPr="0089312E">
        <w:rPr>
          <w:spacing w:val="-2"/>
          <w:rtl/>
        </w:rPr>
        <w:t xml:space="preserve">بداية عام 2016 على أقصى تقدير. </w:t>
      </w:r>
    </w:p>
    <w:p w:rsidR="002B79B5" w:rsidRDefault="0089312E" w:rsidP="0089312E">
      <w:pPr>
        <w:pStyle w:val="H23GA"/>
        <w:rPr>
          <w:rtl/>
        </w:rPr>
      </w:pPr>
      <w:r>
        <w:rPr>
          <w:rFonts w:hint="cs"/>
          <w:rtl/>
        </w:rPr>
        <w:tab/>
      </w:r>
      <w:r>
        <w:rPr>
          <w:rFonts w:hint="cs"/>
          <w:rtl/>
        </w:rPr>
        <w:tab/>
      </w:r>
      <w:r w:rsidR="002B79B5">
        <w:rPr>
          <w:rtl/>
        </w:rPr>
        <w:t xml:space="preserve">الرد على القضايا المطروحة في الفقرة 17 من قائمة القضايا </w:t>
      </w:r>
    </w:p>
    <w:p w:rsidR="002B79B5" w:rsidRDefault="002B79B5" w:rsidP="002B79B5">
      <w:pPr>
        <w:pStyle w:val="SingleTxtGA"/>
        <w:rPr>
          <w:rtl/>
        </w:rPr>
      </w:pPr>
      <w:r>
        <w:rPr>
          <w:rtl/>
        </w:rPr>
        <w:t>88</w:t>
      </w:r>
      <w:r w:rsidR="0079367C">
        <w:rPr>
          <w:rtl/>
        </w:rPr>
        <w:t>-</w:t>
      </w:r>
      <w:r w:rsidR="0079367C">
        <w:rPr>
          <w:rtl/>
        </w:rPr>
        <w:tab/>
      </w:r>
      <w:r>
        <w:rPr>
          <w:rtl/>
        </w:rPr>
        <w:t>منع الحمل:</w:t>
      </w:r>
    </w:p>
    <w:p w:rsidR="002B79B5" w:rsidRDefault="002B79B5" w:rsidP="0089312E">
      <w:pPr>
        <w:pStyle w:val="Bullet1GA"/>
        <w:tabs>
          <w:tab w:val="clear" w:pos="2041"/>
        </w:tabs>
        <w:bidi/>
        <w:ind w:left="1939" w:hanging="350"/>
        <w:rPr>
          <w:rtl/>
        </w:rPr>
      </w:pPr>
      <w:r>
        <w:rPr>
          <w:rtl/>
        </w:rPr>
        <w:t>تعد وسائل منع الحمل متاحة بيسر لكل المواطنين. وفي حالة ضرورة وجود وصفة طبية، فإن من السهل اللجوء إلى طبيب ممارس عام أو طبيب أمراض النساء</w:t>
      </w:r>
      <w:r w:rsidR="0089312E">
        <w:rPr>
          <w:rFonts w:hint="cs"/>
          <w:rtl/>
        </w:rPr>
        <w:t>؛</w:t>
      </w:r>
    </w:p>
    <w:p w:rsidR="002B79B5" w:rsidRDefault="002B79B5" w:rsidP="0089312E">
      <w:pPr>
        <w:pStyle w:val="Bullet1GA"/>
        <w:tabs>
          <w:tab w:val="clear" w:pos="2041"/>
        </w:tabs>
        <w:bidi/>
        <w:ind w:left="1939" w:hanging="350"/>
        <w:rPr>
          <w:rtl/>
        </w:rPr>
      </w:pPr>
      <w:r>
        <w:rPr>
          <w:rtl/>
        </w:rPr>
        <w:t>كل وسائل منع الحمل مجانية للأسباب الطبية فقط</w:t>
      </w:r>
      <w:r w:rsidR="0089312E">
        <w:rPr>
          <w:rFonts w:hint="cs"/>
          <w:rtl/>
        </w:rPr>
        <w:t>؛</w:t>
      </w:r>
    </w:p>
    <w:p w:rsidR="002B79B5" w:rsidRDefault="002B79B5" w:rsidP="0089312E">
      <w:pPr>
        <w:pStyle w:val="Bullet1GA"/>
        <w:tabs>
          <w:tab w:val="clear" w:pos="2041"/>
        </w:tabs>
        <w:bidi/>
        <w:ind w:left="1939" w:hanging="350"/>
        <w:rPr>
          <w:rtl/>
        </w:rPr>
      </w:pPr>
      <w:r>
        <w:rPr>
          <w:rtl/>
        </w:rPr>
        <w:t>يمكن للمراهقين والمراهقات الحصول بسهولة على وصفات طبية ووسائل منع الحمل المجانية عند الحاجة</w:t>
      </w:r>
      <w:r w:rsidR="0089312E">
        <w:rPr>
          <w:rFonts w:hint="cs"/>
          <w:rtl/>
        </w:rPr>
        <w:t>؛</w:t>
      </w:r>
    </w:p>
    <w:p w:rsidR="002B79B5" w:rsidRDefault="002B79B5" w:rsidP="0089312E">
      <w:pPr>
        <w:pStyle w:val="Bullet1GA"/>
        <w:tabs>
          <w:tab w:val="clear" w:pos="2041"/>
        </w:tabs>
        <w:bidi/>
        <w:ind w:left="1939" w:hanging="350"/>
        <w:rPr>
          <w:rtl/>
        </w:rPr>
      </w:pPr>
      <w:r>
        <w:rPr>
          <w:rtl/>
        </w:rPr>
        <w:t xml:space="preserve">عندما تُطلب وسائل منع الحمل الهرمونية، فإن الممارس العام أو طبيب أمراض النساء يقدم وسائل المنع للشباب بعد الاستشارة أو الفحص </w:t>
      </w:r>
      <w:proofErr w:type="spellStart"/>
      <w:r>
        <w:rPr>
          <w:rtl/>
        </w:rPr>
        <w:t>السريري</w:t>
      </w:r>
      <w:proofErr w:type="spellEnd"/>
      <w:r>
        <w:rPr>
          <w:rtl/>
        </w:rPr>
        <w:t xml:space="preserve">. </w:t>
      </w:r>
    </w:p>
    <w:p w:rsidR="002B79B5" w:rsidRDefault="002B79B5" w:rsidP="002B79B5">
      <w:pPr>
        <w:pStyle w:val="SingleTxtGA"/>
        <w:rPr>
          <w:rtl/>
        </w:rPr>
      </w:pPr>
      <w:r>
        <w:rPr>
          <w:rtl/>
        </w:rPr>
        <w:t>89</w:t>
      </w:r>
      <w:r w:rsidR="0079367C">
        <w:rPr>
          <w:rtl/>
        </w:rPr>
        <w:t>-</w:t>
      </w:r>
      <w:r w:rsidR="0079367C">
        <w:rPr>
          <w:rtl/>
        </w:rPr>
        <w:tab/>
      </w:r>
      <w:r>
        <w:rPr>
          <w:rtl/>
        </w:rPr>
        <w:t xml:space="preserve">ولا تسجل حالات الإجهاض غير الشرعية وغير المأمونة. ولم يبلغ عن شكاوى رسمية بشأن مضاعفات صحية أو حالات وفاة. </w:t>
      </w:r>
    </w:p>
    <w:p w:rsidR="002B79B5" w:rsidRDefault="002B79B5" w:rsidP="002B79B5">
      <w:pPr>
        <w:pStyle w:val="SingleTxtGA"/>
        <w:rPr>
          <w:rtl/>
        </w:rPr>
      </w:pPr>
      <w:r>
        <w:rPr>
          <w:rtl/>
        </w:rPr>
        <w:t>90</w:t>
      </w:r>
      <w:r w:rsidR="0079367C">
        <w:rPr>
          <w:rtl/>
        </w:rPr>
        <w:t>-</w:t>
      </w:r>
      <w:r w:rsidR="0079367C">
        <w:rPr>
          <w:rtl/>
        </w:rPr>
        <w:tab/>
      </w:r>
      <w:r>
        <w:rPr>
          <w:rtl/>
        </w:rPr>
        <w:t>واستحدثت وزارة الصحة، بالتعاون مع وزارة التعليم، برامج متنوعة للتثقيف الجنسي في المناهج الدراسية. وتحديد</w:t>
      </w:r>
      <w:r w:rsidR="00D94BE0">
        <w:rPr>
          <w:rtl/>
        </w:rPr>
        <w:t>اً،</w:t>
      </w:r>
      <w:r>
        <w:rPr>
          <w:rtl/>
        </w:rPr>
        <w:t xml:space="preserve"> يشمل منهج التثقيف الصحي الذي تم تعديله مؤخر</w:t>
      </w:r>
      <w:r w:rsidR="00D94BE0">
        <w:rPr>
          <w:rtl/>
        </w:rPr>
        <w:t xml:space="preserve">اً </w:t>
      </w:r>
      <w:r>
        <w:rPr>
          <w:rtl/>
        </w:rPr>
        <w:t>أهداف</w:t>
      </w:r>
      <w:r w:rsidR="00D94BE0">
        <w:rPr>
          <w:rtl/>
        </w:rPr>
        <w:t xml:space="preserve">اً </w:t>
      </w:r>
      <w:r>
        <w:rPr>
          <w:rtl/>
        </w:rPr>
        <w:t>تعليمية محددة تتعلق بالحقوق الجنسية والإنجابية. وسيتم تحقيق تلك الأهداف من خلال تنفيذ مختلف الإجراءات الواردة في 12-1.</w:t>
      </w:r>
    </w:p>
    <w:p w:rsidR="002B79B5" w:rsidRDefault="00B95123" w:rsidP="00B95123">
      <w:pPr>
        <w:pStyle w:val="H1GA"/>
        <w:rPr>
          <w:rFonts w:hint="cs"/>
          <w:rtl/>
        </w:rPr>
      </w:pPr>
      <w:r>
        <w:rPr>
          <w:rFonts w:hint="cs"/>
          <w:rtl/>
        </w:rPr>
        <w:tab/>
      </w:r>
      <w:r>
        <w:rPr>
          <w:rFonts w:hint="cs"/>
          <w:rtl/>
        </w:rPr>
        <w:tab/>
      </w:r>
      <w:r>
        <w:rPr>
          <w:rtl/>
        </w:rPr>
        <w:t>الفئات المحرومة من النساء</w:t>
      </w:r>
    </w:p>
    <w:p w:rsidR="002B79B5" w:rsidRDefault="00B95123" w:rsidP="00B95123">
      <w:pPr>
        <w:pStyle w:val="H23GA"/>
        <w:rPr>
          <w:rFonts w:hint="cs"/>
          <w:rtl/>
        </w:rPr>
      </w:pPr>
      <w:r>
        <w:rPr>
          <w:rFonts w:hint="cs"/>
          <w:rtl/>
        </w:rPr>
        <w:tab/>
      </w:r>
      <w:r>
        <w:rPr>
          <w:rFonts w:hint="cs"/>
          <w:rtl/>
        </w:rPr>
        <w:tab/>
      </w:r>
      <w:r w:rsidR="002B79B5">
        <w:rPr>
          <w:rtl/>
        </w:rPr>
        <w:t>الرد على القضايا المطروح</w:t>
      </w:r>
      <w:r>
        <w:rPr>
          <w:rtl/>
        </w:rPr>
        <w:t>ة في الفقرة 18 من قائمة القضايا</w:t>
      </w:r>
    </w:p>
    <w:p w:rsidR="00B95123" w:rsidRPr="00B95123" w:rsidRDefault="00B95123" w:rsidP="00B95123">
      <w:pPr>
        <w:pStyle w:val="SingleTxtGA"/>
        <w:rPr>
          <w:rFonts w:hint="cs"/>
          <w:spacing w:val="-5"/>
          <w:rtl/>
        </w:rPr>
      </w:pPr>
      <w:r w:rsidRPr="00B95123">
        <w:rPr>
          <w:spacing w:val="-5"/>
          <w:rtl/>
        </w:rPr>
        <w:t>91-</w:t>
      </w:r>
      <w:r w:rsidRPr="00B95123">
        <w:rPr>
          <w:spacing w:val="-5"/>
          <w:rtl/>
        </w:rPr>
        <w:tab/>
        <w:t xml:space="preserve">إن المهاجرات من العاملات من بلدان الاتحاد الأوروبي أو من رعايا البلدان الثالثة المتزوجات من رعايا قبارصة أو من رعايا الاتحاد الأوروبي، أو النساء ذوات مركز اللاجئ المعترف </w:t>
      </w:r>
      <w:proofErr w:type="spellStart"/>
      <w:r w:rsidRPr="00B95123">
        <w:rPr>
          <w:spacing w:val="-5"/>
          <w:rtl/>
        </w:rPr>
        <w:t>به</w:t>
      </w:r>
      <w:proofErr w:type="spellEnd"/>
      <w:r w:rsidRPr="00B95123">
        <w:rPr>
          <w:spacing w:val="-5"/>
          <w:rtl/>
        </w:rPr>
        <w:t>، يمكنهن الحصول على خدمات التوظيف العامة على قدم المساواة مع الرعايا القبارصة.</w:t>
      </w:r>
    </w:p>
    <w:p w:rsidR="00B95123" w:rsidRPr="00B95123" w:rsidRDefault="00B95123" w:rsidP="00B95123">
      <w:pPr>
        <w:pStyle w:val="SingleTxtGA"/>
        <w:rPr>
          <w:rFonts w:hint="cs"/>
          <w:rtl/>
        </w:rPr>
      </w:pPr>
      <w:r w:rsidRPr="00B95123">
        <w:rPr>
          <w:rtl/>
        </w:rPr>
        <w:t>92-</w:t>
      </w:r>
      <w:r w:rsidRPr="00B95123">
        <w:rPr>
          <w:rtl/>
        </w:rPr>
        <w:tab/>
        <w:t>وفي إطار برنامج التنمية الريفية للفترة 2007-2013، يمكن للنساء الحصول على الدعم في سياق كل التدابير، ويمكنهن الاستفادة من كل فرص الدعم على قدم المساواة مع الرجال. ومن التدابير التي تستفيد منها النساء على وجه الخصوص البرامج التالية: "إعداد المزارعين الشباب"، و"الاستفادة من الخدمات الاستشارية"، و"تحديث الممتلكات الزراعية"، و"مشاركة المزارعين في برامج جودة الأغذية".</w:t>
      </w:r>
    </w:p>
    <w:p w:rsidR="002B79B5" w:rsidRPr="00B95123" w:rsidRDefault="002B79B5" w:rsidP="00B95123">
      <w:pPr>
        <w:pStyle w:val="SingleTxtGA"/>
        <w:rPr>
          <w:spacing w:val="-2"/>
          <w:rtl/>
        </w:rPr>
      </w:pPr>
      <w:r w:rsidRPr="00B95123">
        <w:rPr>
          <w:spacing w:val="-2"/>
          <w:rtl/>
        </w:rPr>
        <w:t>93</w:t>
      </w:r>
      <w:r w:rsidR="0079367C" w:rsidRPr="00B95123">
        <w:rPr>
          <w:spacing w:val="-2"/>
          <w:rtl/>
        </w:rPr>
        <w:t>-</w:t>
      </w:r>
      <w:r w:rsidR="0079367C" w:rsidRPr="00B95123">
        <w:rPr>
          <w:spacing w:val="-2"/>
          <w:rtl/>
        </w:rPr>
        <w:tab/>
      </w:r>
      <w:r w:rsidRPr="00B95123">
        <w:rPr>
          <w:spacing w:val="-2"/>
          <w:rtl/>
        </w:rPr>
        <w:t>بالنسبة لبرنامج "إعداد المزارعين الشباب"، تلقت الإدارة الزراعية 221 طلب</w:t>
      </w:r>
      <w:r w:rsidR="00D94BE0" w:rsidRPr="00B95123">
        <w:rPr>
          <w:spacing w:val="-2"/>
          <w:rtl/>
        </w:rPr>
        <w:t>اً،</w:t>
      </w:r>
      <w:r w:rsidRPr="00B95123">
        <w:rPr>
          <w:spacing w:val="-2"/>
          <w:rtl/>
        </w:rPr>
        <w:t xml:space="preserve"> من بينها</w:t>
      </w:r>
      <w:r w:rsidR="00B95123">
        <w:rPr>
          <w:spacing w:val="-2"/>
        </w:rPr>
        <w:t> </w:t>
      </w:r>
      <w:r w:rsidRPr="00B95123">
        <w:rPr>
          <w:spacing w:val="-2"/>
          <w:rtl/>
        </w:rPr>
        <w:t>75 طلب</w:t>
      </w:r>
      <w:r w:rsidR="00D94BE0" w:rsidRPr="00B95123">
        <w:rPr>
          <w:spacing w:val="-2"/>
          <w:rtl/>
        </w:rPr>
        <w:t xml:space="preserve">اً </w:t>
      </w:r>
      <w:r w:rsidRPr="00B95123">
        <w:rPr>
          <w:spacing w:val="-2"/>
          <w:rtl/>
        </w:rPr>
        <w:t>مقدم</w:t>
      </w:r>
      <w:r w:rsidR="00D94BE0" w:rsidRPr="00B95123">
        <w:rPr>
          <w:spacing w:val="-2"/>
          <w:rtl/>
        </w:rPr>
        <w:t xml:space="preserve">اً </w:t>
      </w:r>
      <w:r w:rsidRPr="00B95123">
        <w:rPr>
          <w:spacing w:val="-2"/>
          <w:rtl/>
        </w:rPr>
        <w:t>من النساء (33.94 في المائة) تم قبول 50 منها. وبالنسبة لبرنامج "الاستفادة من الخدمات الاستشارية"، ورد 128 طلب</w:t>
      </w:r>
      <w:r w:rsidR="00D94BE0" w:rsidRPr="00B95123">
        <w:rPr>
          <w:spacing w:val="-2"/>
          <w:rtl/>
        </w:rPr>
        <w:t>اً،</w:t>
      </w:r>
      <w:r w:rsidRPr="00B95123">
        <w:rPr>
          <w:spacing w:val="-2"/>
          <w:rtl/>
        </w:rPr>
        <w:t xml:space="preserve"> من بينها 18 طلب</w:t>
      </w:r>
      <w:r w:rsidR="00D94BE0" w:rsidRPr="00B95123">
        <w:rPr>
          <w:spacing w:val="-2"/>
          <w:rtl/>
        </w:rPr>
        <w:t xml:space="preserve">اً </w:t>
      </w:r>
      <w:r w:rsidRPr="00B95123">
        <w:rPr>
          <w:spacing w:val="-2"/>
          <w:rtl/>
        </w:rPr>
        <w:t>مقدم</w:t>
      </w:r>
      <w:r w:rsidR="00D94BE0" w:rsidRPr="00B95123">
        <w:rPr>
          <w:spacing w:val="-2"/>
          <w:rtl/>
        </w:rPr>
        <w:t xml:space="preserve">اً </w:t>
      </w:r>
      <w:r w:rsidRPr="00B95123">
        <w:rPr>
          <w:spacing w:val="-2"/>
          <w:rtl/>
        </w:rPr>
        <w:t>من النساء (14.06 في المائة) تم قبولها كلها. وفيما يتعلق ببرنامج "تحديث الممتلكات الزراعية"، قُدم</w:t>
      </w:r>
      <w:r w:rsidR="00B95123">
        <w:rPr>
          <w:spacing w:val="-2"/>
        </w:rPr>
        <w:t> </w:t>
      </w:r>
      <w:r w:rsidRPr="00B95123">
        <w:rPr>
          <w:spacing w:val="-2"/>
          <w:rtl/>
        </w:rPr>
        <w:t>873 طلب</w:t>
      </w:r>
      <w:r w:rsidR="00D94BE0" w:rsidRPr="00B95123">
        <w:rPr>
          <w:spacing w:val="-2"/>
          <w:rtl/>
        </w:rPr>
        <w:t xml:space="preserve">اً </w:t>
      </w:r>
      <w:r w:rsidRPr="00B95123">
        <w:rPr>
          <w:spacing w:val="-2"/>
          <w:rtl/>
        </w:rPr>
        <w:t>في المرحلة الأولى (البرنامج ألف)، من بينها 180 طلب</w:t>
      </w:r>
      <w:r w:rsidR="00D94BE0" w:rsidRPr="00B95123">
        <w:rPr>
          <w:spacing w:val="-2"/>
          <w:rtl/>
        </w:rPr>
        <w:t xml:space="preserve">اً </w:t>
      </w:r>
      <w:r w:rsidRPr="00B95123">
        <w:rPr>
          <w:spacing w:val="-2"/>
          <w:rtl/>
        </w:rPr>
        <w:t>مقدم</w:t>
      </w:r>
      <w:r w:rsidR="00D94BE0" w:rsidRPr="00B95123">
        <w:rPr>
          <w:spacing w:val="-2"/>
          <w:rtl/>
        </w:rPr>
        <w:t xml:space="preserve">اً </w:t>
      </w:r>
      <w:r w:rsidRPr="00B95123">
        <w:rPr>
          <w:spacing w:val="-2"/>
          <w:rtl/>
        </w:rPr>
        <w:t>من النساء (21.31 في المائة) تم قبول 37 منها. وفي سياق البرنامج باء، قُدم ما مجموعه 185 1 طلب</w:t>
      </w:r>
      <w:r w:rsidR="00D94BE0" w:rsidRPr="00B95123">
        <w:rPr>
          <w:spacing w:val="-2"/>
          <w:rtl/>
        </w:rPr>
        <w:t>اً،</w:t>
      </w:r>
      <w:r w:rsidRPr="00B95123">
        <w:rPr>
          <w:spacing w:val="-2"/>
          <w:rtl/>
        </w:rPr>
        <w:t xml:space="preserve"> من بينها 190 طلب</w:t>
      </w:r>
      <w:r w:rsidR="00D94BE0" w:rsidRPr="00B95123">
        <w:rPr>
          <w:spacing w:val="-2"/>
          <w:rtl/>
        </w:rPr>
        <w:t xml:space="preserve">اً </w:t>
      </w:r>
      <w:r w:rsidRPr="00B95123">
        <w:rPr>
          <w:spacing w:val="-2"/>
          <w:rtl/>
        </w:rPr>
        <w:t>مقدم</w:t>
      </w:r>
      <w:r w:rsidR="00D94BE0" w:rsidRPr="00B95123">
        <w:rPr>
          <w:spacing w:val="-2"/>
          <w:rtl/>
        </w:rPr>
        <w:t xml:space="preserve">اً </w:t>
      </w:r>
      <w:r w:rsidRPr="00B95123">
        <w:rPr>
          <w:spacing w:val="-2"/>
          <w:rtl/>
        </w:rPr>
        <w:t>من النساء (16.03 في المائة) تم قبول 57 منها. وأخير</w:t>
      </w:r>
      <w:r w:rsidR="00D94BE0" w:rsidRPr="00B95123">
        <w:rPr>
          <w:spacing w:val="-2"/>
          <w:rtl/>
        </w:rPr>
        <w:t>اً،</w:t>
      </w:r>
      <w:r w:rsidRPr="00B95123">
        <w:rPr>
          <w:spacing w:val="-2"/>
          <w:rtl/>
        </w:rPr>
        <w:t xml:space="preserve"> بالنسبة </w:t>
      </w:r>
      <w:r w:rsidRPr="00B95123">
        <w:rPr>
          <w:spacing w:val="-4"/>
          <w:rtl/>
        </w:rPr>
        <w:t>لبرنامج "مشاركة المزارعين في برامج جودة الأغذية"، ورد ما مجموعه 647 طلب</w:t>
      </w:r>
      <w:r w:rsidR="00D94BE0" w:rsidRPr="00B95123">
        <w:rPr>
          <w:spacing w:val="-4"/>
          <w:rtl/>
        </w:rPr>
        <w:t>اً،</w:t>
      </w:r>
      <w:r w:rsidRPr="00B95123">
        <w:rPr>
          <w:spacing w:val="-4"/>
          <w:rtl/>
        </w:rPr>
        <w:t xml:space="preserve"> من بينها 138</w:t>
      </w:r>
      <w:r w:rsidRPr="00B95123">
        <w:rPr>
          <w:spacing w:val="-2"/>
          <w:rtl/>
        </w:rPr>
        <w:t xml:space="preserve"> طلب</w:t>
      </w:r>
      <w:r w:rsidR="00D94BE0" w:rsidRPr="00B95123">
        <w:rPr>
          <w:spacing w:val="-2"/>
          <w:rtl/>
        </w:rPr>
        <w:t xml:space="preserve">اً </w:t>
      </w:r>
      <w:r w:rsidRPr="00B95123">
        <w:rPr>
          <w:spacing w:val="-2"/>
          <w:rtl/>
        </w:rPr>
        <w:t>مقدم</w:t>
      </w:r>
      <w:r w:rsidR="00D94BE0" w:rsidRPr="00B95123">
        <w:rPr>
          <w:spacing w:val="-2"/>
          <w:rtl/>
        </w:rPr>
        <w:t xml:space="preserve">اً </w:t>
      </w:r>
      <w:r w:rsidRPr="00B95123">
        <w:rPr>
          <w:spacing w:val="-2"/>
          <w:rtl/>
        </w:rPr>
        <w:t>من النساء تم قبول 114 طلب</w:t>
      </w:r>
      <w:r w:rsidR="00D94BE0" w:rsidRPr="00B95123">
        <w:rPr>
          <w:spacing w:val="-2"/>
          <w:rtl/>
        </w:rPr>
        <w:t xml:space="preserve">اً </w:t>
      </w:r>
      <w:r w:rsidRPr="00B95123">
        <w:rPr>
          <w:spacing w:val="-2"/>
          <w:rtl/>
        </w:rPr>
        <w:t xml:space="preserve">منها. </w:t>
      </w:r>
    </w:p>
    <w:p w:rsidR="002B79B5" w:rsidRDefault="002B79B5" w:rsidP="002B79B5">
      <w:pPr>
        <w:pStyle w:val="SingleTxtGA"/>
        <w:rPr>
          <w:rtl/>
        </w:rPr>
      </w:pPr>
      <w:r>
        <w:rPr>
          <w:rtl/>
        </w:rPr>
        <w:t>94</w:t>
      </w:r>
      <w:r w:rsidR="0079367C">
        <w:rPr>
          <w:rtl/>
        </w:rPr>
        <w:t>-</w:t>
      </w:r>
      <w:r w:rsidR="0079367C">
        <w:rPr>
          <w:rtl/>
        </w:rPr>
        <w:tab/>
      </w:r>
      <w:r>
        <w:rPr>
          <w:rtl/>
        </w:rPr>
        <w:t xml:space="preserve">أما برنامج "المناطق ذات الأولوية في التعليم" فهو تدبير اعتُمد من أجل منع التمييز في المناطق المحرومة والقضاء عليه. بالإضافة إلى ذلك، يُقدَّم دعم للمدارس </w:t>
      </w:r>
      <w:proofErr w:type="spellStart"/>
      <w:r>
        <w:rPr>
          <w:rtl/>
        </w:rPr>
        <w:t>المحتاجة</w:t>
      </w:r>
      <w:proofErr w:type="spellEnd"/>
      <w:r>
        <w:rPr>
          <w:rtl/>
        </w:rPr>
        <w:t xml:space="preserve"> (المزيد من المعلمين والموارد المالية). </w:t>
      </w:r>
    </w:p>
    <w:p w:rsidR="002B79B5" w:rsidRDefault="002B79B5" w:rsidP="002B79B5">
      <w:pPr>
        <w:pStyle w:val="SingleTxtGA"/>
        <w:rPr>
          <w:rtl/>
        </w:rPr>
      </w:pPr>
      <w:r>
        <w:rPr>
          <w:rtl/>
        </w:rPr>
        <w:t>95</w:t>
      </w:r>
      <w:r w:rsidR="0079367C">
        <w:rPr>
          <w:rtl/>
        </w:rPr>
        <w:t>-</w:t>
      </w:r>
      <w:r w:rsidR="0079367C">
        <w:rPr>
          <w:rtl/>
        </w:rPr>
        <w:tab/>
      </w:r>
      <w:r>
        <w:rPr>
          <w:rtl/>
        </w:rPr>
        <w:t xml:space="preserve">والرعاية الصحية مجانية لجميع النساء (والرجال) من ذوي الدخل المنخفض. وبالنسبة للريفيات (بما في ذلك ملتمسات اللجوء والمنتميات للفئات الضعيفة)، فإن الجهات الطبية والمعنية بالصحة العامة في قبرص تقدم الخدمات التالية لكل عمر/مرحلة: </w:t>
      </w:r>
    </w:p>
    <w:p w:rsidR="002B79B5" w:rsidRDefault="002B79B5" w:rsidP="002B79B5">
      <w:pPr>
        <w:pStyle w:val="SingleTxtGA"/>
        <w:rPr>
          <w:rtl/>
        </w:rPr>
      </w:pPr>
      <w:r>
        <w:rPr>
          <w:rtl/>
        </w:rPr>
        <w:t>96</w:t>
      </w:r>
      <w:r w:rsidR="0079367C">
        <w:rPr>
          <w:rtl/>
        </w:rPr>
        <w:t>-</w:t>
      </w:r>
      <w:r w:rsidR="0079367C">
        <w:rPr>
          <w:rtl/>
        </w:rPr>
        <w:tab/>
      </w:r>
      <w:r>
        <w:rPr>
          <w:rtl/>
        </w:rPr>
        <w:t>الطفولة: توفَّر خلال مرحلة الطفولة اللقاحات لجميع الأطفال والفتيات والأولاد بالمجان. وكذلك تتاح للأطفال في المناطق الريفية أسبوعي</w:t>
      </w:r>
      <w:r w:rsidR="00D94BE0">
        <w:rPr>
          <w:rtl/>
        </w:rPr>
        <w:t xml:space="preserve">اً </w:t>
      </w:r>
      <w:r>
        <w:rPr>
          <w:rtl/>
        </w:rPr>
        <w:t>فرصة معرفة وزنهم وقياسهم. ويتم تثقيف الأمهات عن كيفية إرضاع أطفالهن رضاعة طبيعية.</w:t>
      </w:r>
    </w:p>
    <w:p w:rsidR="002B79B5" w:rsidRDefault="002B79B5" w:rsidP="002B79B5">
      <w:pPr>
        <w:pStyle w:val="SingleTxtGA"/>
        <w:rPr>
          <w:rtl/>
        </w:rPr>
      </w:pPr>
      <w:r>
        <w:rPr>
          <w:rtl/>
        </w:rPr>
        <w:t>97</w:t>
      </w:r>
      <w:r w:rsidR="0079367C">
        <w:rPr>
          <w:rtl/>
        </w:rPr>
        <w:t>-</w:t>
      </w:r>
      <w:r w:rsidR="0079367C">
        <w:rPr>
          <w:rtl/>
        </w:rPr>
        <w:tab/>
      </w:r>
      <w:r>
        <w:rPr>
          <w:rtl/>
        </w:rPr>
        <w:t>الفتيات في سن البلوغ:</w:t>
      </w:r>
    </w:p>
    <w:p w:rsidR="002B79B5" w:rsidRDefault="0079367C" w:rsidP="00B95123">
      <w:pPr>
        <w:pStyle w:val="SingleTxtGA"/>
        <w:rPr>
          <w:rFonts w:hint="cs"/>
          <w:rtl/>
        </w:rPr>
      </w:pPr>
      <w:r>
        <w:rPr>
          <w:rtl/>
        </w:rPr>
        <w:tab/>
        <w:t>(</w:t>
      </w:r>
      <w:r w:rsidR="002B79B5">
        <w:rPr>
          <w:rtl/>
        </w:rPr>
        <w:t>أ</w:t>
      </w:r>
      <w:r>
        <w:rPr>
          <w:rtl/>
        </w:rPr>
        <w:t>)</w:t>
      </w:r>
      <w:r>
        <w:rPr>
          <w:rtl/>
        </w:rPr>
        <w:tab/>
      </w:r>
      <w:r w:rsidR="002B79B5">
        <w:rPr>
          <w:rtl/>
        </w:rPr>
        <w:t xml:space="preserve">في سن الثانية عشرة، تقدم الخدمات الصحية المدرسية سلسلة محاضرات مصممة لتنوير الفتيات بشأن المسائل المتعلقة بالبلوغ (دورة الطمث، والخصائص الجنسية الثانوية، إلى غير ذلك). كما تقدَّم برامج لمنع التدخين (تعلم تجريبي، دراما، </w:t>
      </w:r>
      <w:proofErr w:type="spellStart"/>
      <w:r w:rsidR="002B79B5">
        <w:rPr>
          <w:rtl/>
        </w:rPr>
        <w:t>أحجيات</w:t>
      </w:r>
      <w:proofErr w:type="spellEnd"/>
      <w:r w:rsidR="002B79B5">
        <w:rPr>
          <w:rtl/>
        </w:rPr>
        <w:t>) لجميع الفتيات في تلك المرحلة العمرية</w:t>
      </w:r>
      <w:r w:rsidR="00B95123">
        <w:rPr>
          <w:rFonts w:hint="cs"/>
          <w:rtl/>
        </w:rPr>
        <w:t>؛</w:t>
      </w:r>
    </w:p>
    <w:p w:rsidR="002B79B5" w:rsidRDefault="0079367C" w:rsidP="002B79B5">
      <w:pPr>
        <w:pStyle w:val="SingleTxtGA"/>
        <w:rPr>
          <w:rtl/>
        </w:rPr>
      </w:pPr>
      <w:r>
        <w:rPr>
          <w:rtl/>
        </w:rPr>
        <w:tab/>
        <w:t>(</w:t>
      </w:r>
      <w:r w:rsidR="002B79B5">
        <w:rPr>
          <w:rtl/>
        </w:rPr>
        <w:t>ب</w:t>
      </w:r>
      <w:r>
        <w:rPr>
          <w:rtl/>
        </w:rPr>
        <w:t>)</w:t>
      </w:r>
      <w:r>
        <w:rPr>
          <w:rtl/>
        </w:rPr>
        <w:tab/>
      </w:r>
      <w:r w:rsidR="002B79B5">
        <w:rPr>
          <w:rtl/>
        </w:rPr>
        <w:t>وفي سن الخامسة عشرة، تقدم محاضرات عن مواضيع تتعلق بالمسائل الإنجابية ومنع الحمل، ومعلومات عن فيروس نقص المناعة البشرية/متلازمة نقص المناعة المكتسب والأمراض المنقولة جنسي</w:t>
      </w:r>
      <w:r w:rsidR="00D94BE0">
        <w:rPr>
          <w:rtl/>
        </w:rPr>
        <w:t>اً،</w:t>
      </w:r>
      <w:r w:rsidR="002B79B5">
        <w:rPr>
          <w:rtl/>
        </w:rPr>
        <w:t xml:space="preserve"> ويضطلع ذلك بدور رئيسي في تنمية الفتيات </w:t>
      </w:r>
      <w:proofErr w:type="spellStart"/>
      <w:r w:rsidR="002B79B5">
        <w:rPr>
          <w:rtl/>
        </w:rPr>
        <w:t>ورفاههن</w:t>
      </w:r>
      <w:proofErr w:type="spellEnd"/>
      <w:r w:rsidR="002B79B5">
        <w:rPr>
          <w:rtl/>
        </w:rPr>
        <w:t>.</w:t>
      </w:r>
    </w:p>
    <w:p w:rsidR="002B79B5" w:rsidRDefault="002B79B5" w:rsidP="002B79B5">
      <w:pPr>
        <w:pStyle w:val="SingleTxtGA"/>
        <w:rPr>
          <w:rtl/>
        </w:rPr>
      </w:pPr>
      <w:r>
        <w:rPr>
          <w:rtl/>
        </w:rPr>
        <w:t>98</w:t>
      </w:r>
      <w:r w:rsidR="0079367C">
        <w:rPr>
          <w:rtl/>
        </w:rPr>
        <w:t>-</w:t>
      </w:r>
      <w:r w:rsidR="0079367C">
        <w:rPr>
          <w:rtl/>
        </w:rPr>
        <w:tab/>
      </w:r>
      <w:r>
        <w:rPr>
          <w:rtl/>
        </w:rPr>
        <w:t>المرأة في سنوات الحمل:</w:t>
      </w:r>
    </w:p>
    <w:p w:rsidR="002B79B5" w:rsidRDefault="0079367C" w:rsidP="002B79B5">
      <w:pPr>
        <w:pStyle w:val="SingleTxtGA"/>
        <w:rPr>
          <w:rtl/>
        </w:rPr>
      </w:pPr>
      <w:r>
        <w:rPr>
          <w:rtl/>
        </w:rPr>
        <w:tab/>
        <w:t>(</w:t>
      </w:r>
      <w:r w:rsidR="002B79B5">
        <w:rPr>
          <w:rtl/>
        </w:rPr>
        <w:t>أ</w:t>
      </w:r>
      <w:r>
        <w:rPr>
          <w:rtl/>
        </w:rPr>
        <w:t>)</w:t>
      </w:r>
      <w:r>
        <w:rPr>
          <w:rtl/>
        </w:rPr>
        <w:tab/>
      </w:r>
      <w:r w:rsidR="002B79B5">
        <w:rPr>
          <w:rtl/>
        </w:rPr>
        <w:t xml:space="preserve">ينظم كل مركز من مراكز الصحة الريفية أمسية محددة من الأسبوع يقدم فيها الزائرون </w:t>
      </w:r>
      <w:proofErr w:type="spellStart"/>
      <w:r w:rsidR="002B79B5">
        <w:rPr>
          <w:rtl/>
        </w:rPr>
        <w:t>الصحيون</w:t>
      </w:r>
      <w:proofErr w:type="spellEnd"/>
      <w:r w:rsidR="002B79B5">
        <w:rPr>
          <w:rtl/>
        </w:rPr>
        <w:t xml:space="preserve"> خدماتهم (من مراكز تنظيم الأسرة والأمومة) وذلك في المسائل المتعلقة بالإنجاب والأمومة.</w:t>
      </w:r>
    </w:p>
    <w:p w:rsidR="002B79B5" w:rsidRDefault="0079367C" w:rsidP="002B79B5">
      <w:pPr>
        <w:pStyle w:val="SingleTxtGA"/>
        <w:rPr>
          <w:rtl/>
        </w:rPr>
      </w:pPr>
      <w:r>
        <w:rPr>
          <w:rtl/>
        </w:rPr>
        <w:tab/>
        <w:t>(</w:t>
      </w:r>
      <w:r w:rsidR="002B79B5">
        <w:rPr>
          <w:rtl/>
        </w:rPr>
        <w:t>ب</w:t>
      </w:r>
      <w:r>
        <w:rPr>
          <w:rtl/>
        </w:rPr>
        <w:t>)</w:t>
      </w:r>
      <w:r>
        <w:rPr>
          <w:rtl/>
        </w:rPr>
        <w:tab/>
      </w:r>
      <w:r w:rsidR="002B79B5">
        <w:rPr>
          <w:rtl/>
        </w:rPr>
        <w:t>وعلى الصعيد المحلي، تقوم السلطات المحلية بالشراكة مع المنظمات غير الحكومية المحلية والعاملين في مراكز الصحة الريفية بتنظيم محاضرات عن التثقيف الصحي والتغذية وأسلوب الحياة الصحي. وتتضمن تلك المحاضرات (المصممة خصيص</w:t>
      </w:r>
      <w:r w:rsidR="00D94BE0">
        <w:rPr>
          <w:rtl/>
        </w:rPr>
        <w:t xml:space="preserve">اً </w:t>
      </w:r>
      <w:r w:rsidR="002B79B5">
        <w:rPr>
          <w:rtl/>
        </w:rPr>
        <w:t>للنساء) مسائل خاصة بالمرأة مثل الحمل، وسن اليأس، وتشويه الأعضاء التناسلية للإناث، واكتئاب ما بعد الولادة، إلى غير ذلك.</w:t>
      </w:r>
    </w:p>
    <w:p w:rsidR="002B79B5" w:rsidRDefault="0079367C" w:rsidP="00B95123">
      <w:pPr>
        <w:pStyle w:val="SingleTxtGA"/>
        <w:rPr>
          <w:rtl/>
        </w:rPr>
      </w:pPr>
      <w:r>
        <w:rPr>
          <w:rtl/>
        </w:rPr>
        <w:tab/>
        <w:t>(</w:t>
      </w:r>
      <w:r w:rsidR="002B79B5">
        <w:rPr>
          <w:rtl/>
        </w:rPr>
        <w:t>ج</w:t>
      </w:r>
      <w:r>
        <w:rPr>
          <w:rtl/>
        </w:rPr>
        <w:t>)</w:t>
      </w:r>
      <w:r>
        <w:rPr>
          <w:rtl/>
        </w:rPr>
        <w:tab/>
      </w:r>
      <w:r w:rsidR="002B79B5">
        <w:rPr>
          <w:rtl/>
        </w:rPr>
        <w:t>ويقوم عدد من البلديات/المجتمعات المحلية بالشراكة مع منظمات غير حكومية بنقل النساء مجان</w:t>
      </w:r>
      <w:r w:rsidR="00D94BE0">
        <w:rPr>
          <w:rtl/>
        </w:rPr>
        <w:t xml:space="preserve">اً </w:t>
      </w:r>
      <w:r w:rsidR="002B79B5">
        <w:rPr>
          <w:rtl/>
        </w:rPr>
        <w:t xml:space="preserve">إلى مراكز تصوير الثدي </w:t>
      </w:r>
      <w:proofErr w:type="spellStart"/>
      <w:r w:rsidR="002B79B5">
        <w:rPr>
          <w:rtl/>
        </w:rPr>
        <w:t>الشعاعي</w:t>
      </w:r>
      <w:proofErr w:type="spellEnd"/>
      <w:r w:rsidR="002B79B5">
        <w:rPr>
          <w:rtl/>
        </w:rPr>
        <w:t xml:space="preserve"> لإجراء الفحص الخاص بسرطان</w:t>
      </w:r>
      <w:r w:rsidR="00B95123">
        <w:rPr>
          <w:rFonts w:hint="cs"/>
          <w:rtl/>
        </w:rPr>
        <w:t> </w:t>
      </w:r>
      <w:r w:rsidR="002B79B5">
        <w:rPr>
          <w:rtl/>
        </w:rPr>
        <w:t>الثدي.</w:t>
      </w:r>
    </w:p>
    <w:p w:rsidR="002B79B5" w:rsidRDefault="002B79B5" w:rsidP="002B79B5">
      <w:pPr>
        <w:pStyle w:val="SingleTxtGA"/>
        <w:rPr>
          <w:rtl/>
        </w:rPr>
      </w:pPr>
      <w:r>
        <w:rPr>
          <w:rtl/>
        </w:rPr>
        <w:t>99</w:t>
      </w:r>
      <w:r w:rsidR="0079367C">
        <w:rPr>
          <w:rtl/>
        </w:rPr>
        <w:t>-</w:t>
      </w:r>
      <w:r w:rsidR="0079367C">
        <w:rPr>
          <w:rtl/>
        </w:rPr>
        <w:tab/>
      </w:r>
      <w:r>
        <w:rPr>
          <w:rtl/>
        </w:rPr>
        <w:t xml:space="preserve">وتتوفر خدمات الرعاية التمريضية في المنزل لفئتي المسنات وذوات الإعاقة، ولمن تتجاوز أعمارهن 63 سنة وذوات القدرة المحدودة على التنقل و/أو من لديهن مشاكل في الحركة. وتهتم الرعاية المجتمعية بنظامهن الغذائي الذي يتم تنظيمه بواسطة أخصائي تغذية/طبيب عام. وتقدم دور الرعاية الصحية المجتمعية رعاية طبية مجانية عند الحاجة. </w:t>
      </w:r>
    </w:p>
    <w:p w:rsidR="002B79B5" w:rsidRDefault="002B79B5" w:rsidP="002B79B5">
      <w:pPr>
        <w:pStyle w:val="SingleTxtGA"/>
        <w:rPr>
          <w:rtl/>
        </w:rPr>
      </w:pPr>
      <w:r>
        <w:rPr>
          <w:rtl/>
        </w:rPr>
        <w:t>100</w:t>
      </w:r>
      <w:r w:rsidR="0079367C">
        <w:rPr>
          <w:rtl/>
        </w:rPr>
        <w:t>-</w:t>
      </w:r>
      <w:r w:rsidR="0079367C">
        <w:rPr>
          <w:rtl/>
        </w:rPr>
        <w:tab/>
      </w:r>
      <w:r>
        <w:rPr>
          <w:rtl/>
        </w:rPr>
        <w:t>وفي 17 مركز</w:t>
      </w:r>
      <w:r w:rsidR="00D94BE0">
        <w:rPr>
          <w:rtl/>
        </w:rPr>
        <w:t xml:space="preserve">اً </w:t>
      </w:r>
      <w:r>
        <w:rPr>
          <w:rtl/>
        </w:rPr>
        <w:t>من المراكز الصحية في كل أنحاء قبرص، وعددها 29 مركز</w:t>
      </w:r>
      <w:r w:rsidR="00D94BE0">
        <w:rPr>
          <w:rtl/>
        </w:rPr>
        <w:t>اً،</w:t>
      </w:r>
      <w:r w:rsidR="00E840A2">
        <w:rPr>
          <w:rtl/>
        </w:rPr>
        <w:t xml:space="preserve"> لا </w:t>
      </w:r>
      <w:r>
        <w:rPr>
          <w:rtl/>
        </w:rPr>
        <w:t xml:space="preserve">يتم توظيف سوى الطبيبات والممرضات والزائرات </w:t>
      </w:r>
      <w:proofErr w:type="spellStart"/>
      <w:r>
        <w:rPr>
          <w:rtl/>
        </w:rPr>
        <w:t>الصحيات</w:t>
      </w:r>
      <w:proofErr w:type="spellEnd"/>
      <w:r>
        <w:rPr>
          <w:rtl/>
        </w:rPr>
        <w:t>. وتتمتع السلطات المحلية ووزارة الصحة بعلاقات ممتازة، ويتم تكييف الرعاية الصحية وفق احتياجات سكان الريف وكل من الذكور والإناث على حدة.</w:t>
      </w:r>
    </w:p>
    <w:p w:rsidR="002B79B5" w:rsidRDefault="00E711E6" w:rsidP="00E711E6">
      <w:pPr>
        <w:pStyle w:val="H23GA"/>
        <w:rPr>
          <w:rtl/>
        </w:rPr>
      </w:pPr>
      <w:r>
        <w:rPr>
          <w:rFonts w:hint="cs"/>
          <w:rtl/>
        </w:rPr>
        <w:tab/>
      </w:r>
      <w:r>
        <w:rPr>
          <w:rFonts w:hint="cs"/>
          <w:rtl/>
        </w:rPr>
        <w:tab/>
      </w:r>
      <w:r w:rsidR="002B79B5">
        <w:rPr>
          <w:rtl/>
        </w:rPr>
        <w:t xml:space="preserve">الرد على القضايا المطروحة في الفقرة 19 من قائمة القضايا </w:t>
      </w:r>
    </w:p>
    <w:p w:rsidR="002B79B5" w:rsidRDefault="002B79B5" w:rsidP="002B79B5">
      <w:pPr>
        <w:pStyle w:val="SingleTxtGA"/>
        <w:rPr>
          <w:rtl/>
        </w:rPr>
      </w:pPr>
      <w:r>
        <w:rPr>
          <w:rtl/>
        </w:rPr>
        <w:t>101</w:t>
      </w:r>
      <w:r w:rsidR="0079367C">
        <w:rPr>
          <w:rtl/>
        </w:rPr>
        <w:t>-</w:t>
      </w:r>
      <w:r w:rsidR="0079367C">
        <w:rPr>
          <w:rtl/>
        </w:rPr>
        <w:tab/>
      </w:r>
      <w:r>
        <w:rPr>
          <w:rtl/>
        </w:rPr>
        <w:t>تم تعديل قانون السجل المدني في عام 2007 من أجل النص على حصول أطفال المشردين داخلي</w:t>
      </w:r>
      <w:r w:rsidR="00D94BE0">
        <w:rPr>
          <w:rtl/>
        </w:rPr>
        <w:t xml:space="preserve">اً </w:t>
      </w:r>
      <w:r>
        <w:rPr>
          <w:rtl/>
        </w:rPr>
        <w:t>على شهادات تؤكد أن مقدم الطلب هو طفل لأحد الأشخاص المشردين داخلي</w:t>
      </w:r>
      <w:r w:rsidR="00D94BE0">
        <w:rPr>
          <w:rtl/>
        </w:rPr>
        <w:t xml:space="preserve">اً </w:t>
      </w:r>
      <w:r>
        <w:rPr>
          <w:rtl/>
        </w:rPr>
        <w:t xml:space="preserve">بصرف النظر عن نوع جنس ذلك الشخص. </w:t>
      </w:r>
    </w:p>
    <w:p w:rsidR="002B79B5" w:rsidRDefault="002B79B5" w:rsidP="002B79B5">
      <w:pPr>
        <w:pStyle w:val="SingleTxtGA"/>
        <w:rPr>
          <w:rtl/>
        </w:rPr>
      </w:pPr>
      <w:r>
        <w:rPr>
          <w:rtl/>
        </w:rPr>
        <w:t>102</w:t>
      </w:r>
      <w:r w:rsidR="0079367C">
        <w:rPr>
          <w:rtl/>
        </w:rPr>
        <w:t>-</w:t>
      </w:r>
      <w:r w:rsidR="0079367C">
        <w:rPr>
          <w:rtl/>
        </w:rPr>
        <w:tab/>
      </w:r>
      <w:r>
        <w:rPr>
          <w:rtl/>
        </w:rPr>
        <w:t>وحتى 1 كانون الثاني/يناير 2012، لم يكن يحق لأطفال الأمهات المشردات داخلي</w:t>
      </w:r>
      <w:r w:rsidR="00D94BE0">
        <w:rPr>
          <w:rtl/>
        </w:rPr>
        <w:t xml:space="preserve">اً </w:t>
      </w:r>
      <w:r>
        <w:rPr>
          <w:rtl/>
        </w:rPr>
        <w:t>الاستفادة من برامج الإسكان. وبعد ذلك التاريخ، تم تعديل التشريعات ذات الصلة من أجل تمكين أطفال الأمهات المشردات داخلي</w:t>
      </w:r>
      <w:r w:rsidR="00D94BE0">
        <w:rPr>
          <w:rtl/>
        </w:rPr>
        <w:t xml:space="preserve">اً </w:t>
      </w:r>
      <w:r>
        <w:rPr>
          <w:rtl/>
        </w:rPr>
        <w:t xml:space="preserve">من المشاركة في برامج الإسكان التالية: </w:t>
      </w:r>
    </w:p>
    <w:p w:rsidR="002B79B5" w:rsidRDefault="0079367C" w:rsidP="002B79B5">
      <w:pPr>
        <w:pStyle w:val="SingleTxtGA"/>
        <w:rPr>
          <w:rtl/>
        </w:rPr>
      </w:pPr>
      <w:r>
        <w:rPr>
          <w:rtl/>
        </w:rPr>
        <w:tab/>
        <w:t>(</w:t>
      </w:r>
      <w:r w:rsidR="002B79B5">
        <w:rPr>
          <w:rtl/>
        </w:rPr>
        <w:t>أ</w:t>
      </w:r>
      <w:r>
        <w:rPr>
          <w:rtl/>
        </w:rPr>
        <w:t>)</w:t>
      </w:r>
      <w:r>
        <w:rPr>
          <w:rtl/>
        </w:rPr>
        <w:tab/>
      </w:r>
      <w:r w:rsidR="002B79B5">
        <w:rPr>
          <w:rtl/>
        </w:rPr>
        <w:t>مناطق الإسكان التي تنشئها الدولة؛</w:t>
      </w:r>
    </w:p>
    <w:p w:rsidR="002B79B5" w:rsidRDefault="0079367C" w:rsidP="002B79B5">
      <w:pPr>
        <w:pStyle w:val="SingleTxtGA"/>
        <w:rPr>
          <w:rtl/>
        </w:rPr>
      </w:pPr>
      <w:r>
        <w:rPr>
          <w:rtl/>
        </w:rPr>
        <w:tab/>
        <w:t>(</w:t>
      </w:r>
      <w:r w:rsidR="002B79B5">
        <w:rPr>
          <w:rtl/>
        </w:rPr>
        <w:t>ب</w:t>
      </w:r>
      <w:r>
        <w:rPr>
          <w:rtl/>
        </w:rPr>
        <w:t>)</w:t>
      </w:r>
      <w:r>
        <w:rPr>
          <w:rtl/>
        </w:rPr>
        <w:tab/>
      </w:r>
      <w:r w:rsidR="002B79B5">
        <w:rPr>
          <w:rtl/>
        </w:rPr>
        <w:t xml:space="preserve">برنامج الإسكان الذاتي على أراضي الدولة؛ </w:t>
      </w:r>
    </w:p>
    <w:p w:rsidR="002B79B5" w:rsidRDefault="0079367C" w:rsidP="002B79B5">
      <w:pPr>
        <w:pStyle w:val="SingleTxtGA"/>
        <w:rPr>
          <w:rtl/>
        </w:rPr>
      </w:pPr>
      <w:r>
        <w:rPr>
          <w:rtl/>
        </w:rPr>
        <w:tab/>
        <w:t>(</w:t>
      </w:r>
      <w:r w:rsidR="002B79B5">
        <w:rPr>
          <w:rtl/>
        </w:rPr>
        <w:t>ج</w:t>
      </w:r>
      <w:r>
        <w:rPr>
          <w:rtl/>
        </w:rPr>
        <w:t>)</w:t>
      </w:r>
      <w:r>
        <w:rPr>
          <w:rtl/>
        </w:rPr>
        <w:tab/>
      </w:r>
      <w:r w:rsidR="002B79B5">
        <w:rPr>
          <w:rtl/>
        </w:rPr>
        <w:t>برنامج إعانات الإيجار للمشردين (وهو ينطبق فقط على طلبة المدارس والجامعات).</w:t>
      </w:r>
    </w:p>
    <w:p w:rsidR="002B79B5" w:rsidRDefault="002B79B5" w:rsidP="002B79B5">
      <w:pPr>
        <w:pStyle w:val="SingleTxtGA"/>
        <w:rPr>
          <w:rtl/>
        </w:rPr>
      </w:pPr>
      <w:r>
        <w:rPr>
          <w:rtl/>
        </w:rPr>
        <w:t>103</w:t>
      </w:r>
      <w:r w:rsidR="0079367C">
        <w:rPr>
          <w:rtl/>
        </w:rPr>
        <w:t>-</w:t>
      </w:r>
      <w:r w:rsidR="0079367C">
        <w:rPr>
          <w:rtl/>
        </w:rPr>
        <w:tab/>
      </w:r>
      <w:r>
        <w:rPr>
          <w:rtl/>
        </w:rPr>
        <w:t>ويهدف قرار الحكومة إلى القضاء على التمييز ضد المرأة، ولكن تعين أن يستند إلى قدرة الدولة من الناحية المالية من أجل الاستجابة للعدد المتزايد من المتقدمين المستحقين.</w:t>
      </w:r>
    </w:p>
    <w:p w:rsidR="002B79B5" w:rsidRPr="00C1229D" w:rsidRDefault="002B79B5" w:rsidP="002B79B5">
      <w:pPr>
        <w:pStyle w:val="SingleTxtGA"/>
        <w:rPr>
          <w:spacing w:val="-2"/>
          <w:rtl/>
        </w:rPr>
      </w:pPr>
      <w:r w:rsidRPr="00C1229D">
        <w:rPr>
          <w:spacing w:val="-2"/>
          <w:rtl/>
        </w:rPr>
        <w:t>104</w:t>
      </w:r>
      <w:r w:rsidR="0079367C" w:rsidRPr="00C1229D">
        <w:rPr>
          <w:spacing w:val="-2"/>
          <w:rtl/>
        </w:rPr>
        <w:t>-</w:t>
      </w:r>
      <w:r w:rsidR="0079367C" w:rsidRPr="00C1229D">
        <w:rPr>
          <w:spacing w:val="-2"/>
          <w:rtl/>
        </w:rPr>
        <w:tab/>
      </w:r>
      <w:r w:rsidRPr="00C1229D">
        <w:rPr>
          <w:spacing w:val="-2"/>
          <w:rtl/>
        </w:rPr>
        <w:t>ولا يزال هناك برنامج إسكان واحد</w:t>
      </w:r>
      <w:r w:rsidR="00E840A2" w:rsidRPr="00C1229D">
        <w:rPr>
          <w:spacing w:val="-2"/>
          <w:rtl/>
        </w:rPr>
        <w:t xml:space="preserve"> لا </w:t>
      </w:r>
      <w:r w:rsidRPr="00C1229D">
        <w:rPr>
          <w:spacing w:val="-2"/>
          <w:rtl/>
        </w:rPr>
        <w:t>يمكن لأطفال من أمهات مشردات داخلي</w:t>
      </w:r>
      <w:r w:rsidR="00D94BE0" w:rsidRPr="00C1229D">
        <w:rPr>
          <w:spacing w:val="-2"/>
          <w:rtl/>
        </w:rPr>
        <w:t xml:space="preserve">اً </w:t>
      </w:r>
      <w:r w:rsidRPr="00C1229D">
        <w:rPr>
          <w:spacing w:val="-2"/>
          <w:rtl/>
        </w:rPr>
        <w:t>المشاركة فيه بعد. وتواصل وزارة الداخلية الحوار مع كل الأطراف ذات الصلة، وعندما تسمح الظروف المالية للحكومة فإنها ستقوم بإدخال التعديلات اللازمة على التشريعات ذات الصلة من أجل توسيع نطاق برنامج الإسكان المحدد ليشمل الأطفال من أمهات مشردات داخلي</w:t>
      </w:r>
      <w:r w:rsidR="00D94BE0" w:rsidRPr="00C1229D">
        <w:rPr>
          <w:spacing w:val="-2"/>
          <w:rtl/>
        </w:rPr>
        <w:t>اً.</w:t>
      </w:r>
      <w:r w:rsidRPr="00C1229D">
        <w:rPr>
          <w:spacing w:val="-2"/>
          <w:rtl/>
        </w:rPr>
        <w:t xml:space="preserve"> </w:t>
      </w:r>
    </w:p>
    <w:p w:rsidR="002B79B5" w:rsidRDefault="00C1229D" w:rsidP="00C1229D">
      <w:pPr>
        <w:pStyle w:val="H1GA"/>
        <w:rPr>
          <w:rFonts w:hint="cs"/>
          <w:rtl/>
        </w:rPr>
      </w:pPr>
      <w:r>
        <w:rPr>
          <w:rFonts w:hint="cs"/>
          <w:rtl/>
        </w:rPr>
        <w:tab/>
      </w:r>
      <w:r>
        <w:rPr>
          <w:rFonts w:hint="cs"/>
          <w:rtl/>
        </w:rPr>
        <w:tab/>
      </w:r>
      <w:r>
        <w:rPr>
          <w:rtl/>
        </w:rPr>
        <w:t>الزواج والأسرة</w:t>
      </w:r>
    </w:p>
    <w:p w:rsidR="002B79B5" w:rsidRDefault="00C1229D" w:rsidP="00C1229D">
      <w:pPr>
        <w:pStyle w:val="H23GA"/>
        <w:rPr>
          <w:rtl/>
        </w:rPr>
      </w:pPr>
      <w:r>
        <w:rPr>
          <w:rFonts w:hint="cs"/>
          <w:rtl/>
        </w:rPr>
        <w:tab/>
      </w:r>
      <w:r>
        <w:rPr>
          <w:rFonts w:hint="cs"/>
          <w:rtl/>
        </w:rPr>
        <w:tab/>
      </w:r>
      <w:r w:rsidR="002B79B5">
        <w:rPr>
          <w:rtl/>
        </w:rPr>
        <w:t xml:space="preserve">الرد على القضايا المطروحة في الفقرة 20 من قائمة القضايا </w:t>
      </w:r>
    </w:p>
    <w:p w:rsidR="002B79B5" w:rsidRDefault="002B79B5" w:rsidP="002B79B5">
      <w:pPr>
        <w:pStyle w:val="SingleTxtGA"/>
        <w:rPr>
          <w:rFonts w:hint="cs"/>
          <w:rtl/>
        </w:rPr>
      </w:pPr>
      <w:r>
        <w:rPr>
          <w:rtl/>
        </w:rPr>
        <w:t>105</w:t>
      </w:r>
      <w:r w:rsidR="0079367C">
        <w:rPr>
          <w:rtl/>
        </w:rPr>
        <w:t>-</w:t>
      </w:r>
      <w:r w:rsidR="0079367C">
        <w:rPr>
          <w:rtl/>
        </w:rPr>
        <w:tab/>
      </w:r>
      <w:r>
        <w:rPr>
          <w:rtl/>
        </w:rPr>
        <w:t>يبدو أن مشروع قانون الوساطة الأسرية، وهو قيد النظر في البرلمان، قد تُرك لأسباب متعددة يمكن إرجاعها إلى عدم استعداد اللجنة البرلمانية المختصة لدعمه وإلى أن الإدارة الحكومية المختصة لم تدعمه على نحو فعال. وهناك جهد متجدد في الوقت الراهن تبذله مفوضة حقوق الطفل، التي أخطرت البرلمان بأنها ستعد مشروع قانون جديد يمتثل بشكل كامل لاتفاقية حقوق الطفل وغيرها من الصكوك الدولية ذات الصلة. ومن المتوقع أن يكون جاهز</w:t>
      </w:r>
      <w:r w:rsidR="00D94BE0">
        <w:rPr>
          <w:rtl/>
        </w:rPr>
        <w:t xml:space="preserve">اً </w:t>
      </w:r>
      <w:r>
        <w:rPr>
          <w:rtl/>
        </w:rPr>
        <w:t>بحلول نهاية عام 2012، وستدعو المفوضة الحكومة والبرلمان إلى إقراره.</w:t>
      </w:r>
    </w:p>
    <w:p w:rsidR="002B79B5" w:rsidRPr="0079367C" w:rsidRDefault="0079367C" w:rsidP="0079367C">
      <w:pPr>
        <w:spacing w:before="120"/>
        <w:jc w:val="center"/>
        <w:rPr>
          <w:rFonts w:hint="cs"/>
          <w:u w:val="single"/>
          <w:rtl/>
        </w:rPr>
      </w:pPr>
      <w:r>
        <w:rPr>
          <w:u w:val="single"/>
          <w:rtl/>
        </w:rPr>
        <w:tab/>
      </w:r>
      <w:r>
        <w:rPr>
          <w:u w:val="single"/>
          <w:rtl/>
        </w:rPr>
        <w:tab/>
      </w:r>
      <w:r>
        <w:rPr>
          <w:u w:val="single"/>
          <w:rtl/>
        </w:rPr>
        <w:tab/>
      </w:r>
    </w:p>
    <w:sectPr w:rsidR="002B79B5" w:rsidRPr="0079367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A1" w:rsidRPr="00FE6865" w:rsidRDefault="00AE3AA1" w:rsidP="00FE6865">
      <w:pPr>
        <w:pStyle w:val="Footer"/>
      </w:pPr>
    </w:p>
  </w:endnote>
  <w:endnote w:type="continuationSeparator" w:id="0">
    <w:p w:rsidR="00AE3AA1" w:rsidRDefault="00A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Pr="002B79B5" w:rsidRDefault="00A652E6" w:rsidP="002B79B5">
    <w:pPr>
      <w:pStyle w:val="Footer"/>
      <w:tabs>
        <w:tab w:val="right" w:pos="9598"/>
      </w:tabs>
    </w:pPr>
    <w:r>
      <w:t>GE.12-48248</w:t>
    </w:r>
    <w:r>
      <w:tab/>
    </w:r>
    <w:r w:rsidRPr="002B79B5">
      <w:rPr>
        <w:b/>
        <w:sz w:val="18"/>
      </w:rPr>
      <w:fldChar w:fldCharType="begin"/>
    </w:r>
    <w:r w:rsidRPr="002B79B5">
      <w:rPr>
        <w:b/>
        <w:sz w:val="18"/>
      </w:rPr>
      <w:instrText xml:space="preserve"> PAGE  \* MERGEFORMAT </w:instrText>
    </w:r>
    <w:r w:rsidRPr="002B79B5">
      <w:rPr>
        <w:b/>
        <w:sz w:val="18"/>
      </w:rPr>
      <w:fldChar w:fldCharType="separate"/>
    </w:r>
    <w:r w:rsidR="009F246B">
      <w:rPr>
        <w:b/>
        <w:noProof/>
        <w:sz w:val="18"/>
      </w:rPr>
      <w:t>32</w:t>
    </w:r>
    <w:r w:rsidRPr="002B79B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Pr="002B79B5" w:rsidRDefault="00A652E6" w:rsidP="002B79B5">
    <w:pPr>
      <w:pStyle w:val="Footer"/>
      <w:tabs>
        <w:tab w:val="right" w:pos="9598"/>
      </w:tabs>
      <w:rPr>
        <w:b/>
        <w:sz w:val="18"/>
      </w:rPr>
    </w:pPr>
    <w:r w:rsidRPr="002B79B5">
      <w:rPr>
        <w:b/>
        <w:sz w:val="18"/>
      </w:rPr>
      <w:fldChar w:fldCharType="begin"/>
    </w:r>
    <w:r w:rsidRPr="002B79B5">
      <w:rPr>
        <w:b/>
        <w:sz w:val="18"/>
      </w:rPr>
      <w:instrText xml:space="preserve"> PAGE  \* MERGEFORMAT </w:instrText>
    </w:r>
    <w:r w:rsidRPr="002B79B5">
      <w:rPr>
        <w:b/>
        <w:sz w:val="18"/>
      </w:rPr>
      <w:fldChar w:fldCharType="separate"/>
    </w:r>
    <w:r w:rsidR="009F246B">
      <w:rPr>
        <w:b/>
        <w:noProof/>
        <w:sz w:val="18"/>
      </w:rPr>
      <w:t>31</w:t>
    </w:r>
    <w:r w:rsidRPr="002B79B5">
      <w:rPr>
        <w:b/>
        <w:sz w:val="18"/>
      </w:rPr>
      <w:fldChar w:fldCharType="end"/>
    </w:r>
    <w:r>
      <w:rPr>
        <w:b/>
        <w:sz w:val="18"/>
      </w:rPr>
      <w:tab/>
    </w:r>
    <w:r>
      <w:t>GE.12-48248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Default="00A652E6" w:rsidP="002B79B5">
    <w:pPr>
      <w:pStyle w:val="Footer"/>
      <w:jc w:val="right"/>
    </w:pPr>
    <w:r>
      <w:rPr>
        <w:sz w:val="20"/>
      </w:rPr>
      <w:t>(A)   GE.12-48248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261212    271212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A1" w:rsidRDefault="00AE3AA1" w:rsidP="00834FF4">
      <w:pPr>
        <w:pStyle w:val="Footer"/>
        <w:bidi/>
        <w:spacing w:after="80" w:line="200" w:lineRule="exact"/>
        <w:ind w:left="680"/>
      </w:pPr>
      <w:r>
        <w:rPr>
          <w:rFonts w:hint="cs"/>
          <w:rtl/>
        </w:rPr>
        <w:t>__________</w:t>
      </w:r>
    </w:p>
  </w:footnote>
  <w:footnote w:type="continuationSeparator" w:id="0">
    <w:p w:rsidR="00AE3AA1" w:rsidRDefault="00AE3AA1" w:rsidP="00834FF4">
      <w:pPr>
        <w:pStyle w:val="Footer"/>
        <w:bidi/>
        <w:spacing w:after="80" w:line="200" w:lineRule="exact"/>
        <w:ind w:left="680"/>
      </w:pPr>
      <w:r>
        <w:rPr>
          <w:rFonts w:hint="cs"/>
          <w:rtl/>
        </w:rPr>
        <w:t>__________</w:t>
      </w:r>
    </w:p>
  </w:footnote>
  <w:footnote w:id="1">
    <w:p w:rsidR="00127E4D" w:rsidRPr="004618D1" w:rsidRDefault="00127E4D" w:rsidP="00127E4D">
      <w:pPr>
        <w:pStyle w:val="footnoteText0"/>
        <w:rPr>
          <w:rFonts w:hint="cs"/>
          <w:rtl/>
        </w:rPr>
      </w:pPr>
      <w:r w:rsidRPr="004618D1">
        <w:rPr>
          <w:rtl/>
        </w:rPr>
        <w:tab/>
      </w:r>
      <w:r w:rsidRPr="004618D1">
        <w:rPr>
          <w:rStyle w:val="FootnoteReference"/>
          <w:szCs w:val="26"/>
          <w:vertAlign w:val="baseline"/>
          <w:rtl/>
        </w:rPr>
        <w:t>*</w:t>
      </w:r>
      <w:r w:rsidRPr="004618D1">
        <w:rPr>
          <w:rtl/>
        </w:rPr>
        <w:tab/>
        <w:t>وفقا</w:t>
      </w:r>
      <w:r w:rsidRPr="004618D1">
        <w:rPr>
          <w:rFonts w:hint="cs"/>
          <w:rtl/>
        </w:rPr>
        <w:t>ً</w:t>
      </w:r>
      <w:r w:rsidRPr="004618D1">
        <w:rPr>
          <w:rtl/>
        </w:rPr>
        <w:t xml:space="preserve"> للمعلومات المحالة إلى الدول الأطراف بشأن تجهيز تقاريرها، لم تحرر هذه الوثيقة.</w:t>
      </w:r>
    </w:p>
  </w:footnote>
  <w:footnote w:id="2">
    <w:p w:rsidR="00A652E6" w:rsidRPr="004618D1" w:rsidRDefault="00127E4D" w:rsidP="00AE3AA1">
      <w:pPr>
        <w:pStyle w:val="FootnoteText"/>
        <w:numPr>
          <w:ilvl w:val="0"/>
          <w:numId w:val="8"/>
        </w:numPr>
        <w:tabs>
          <w:tab w:val="clear" w:pos="1293"/>
        </w:tabs>
        <w:spacing w:after="60" w:line="300" w:lineRule="exact"/>
        <w:ind w:left="1247" w:right="1247"/>
        <w:rPr>
          <w:rFonts w:hint="cs"/>
          <w:sz w:val="18"/>
          <w:szCs w:val="26"/>
        </w:rPr>
      </w:pPr>
      <w:r w:rsidRPr="004618D1">
        <w:rPr>
          <w:sz w:val="18"/>
          <w:szCs w:val="26"/>
          <w:rtl/>
        </w:rPr>
        <w:t>هذه الأعداد لا تعكس العدد الفعلي للأشخاص، حيث تشمل حالات التجديد، والدخول المتكرر، وتغيير</w:t>
      </w:r>
      <w:r w:rsidR="00AF3CC4">
        <w:rPr>
          <w:rFonts w:hint="cs"/>
          <w:sz w:val="18"/>
          <w:szCs w:val="26"/>
          <w:rtl/>
        </w:rPr>
        <w:t> </w:t>
      </w:r>
      <w:r w:rsidRPr="004618D1">
        <w:rPr>
          <w:sz w:val="18"/>
          <w:szCs w:val="26"/>
          <w:rtl/>
        </w:rPr>
        <w:t>رب العمل. فأعداد الأشخاص الفعلية أقل. ومنذ تنفيذ السياسة الجديدة، أُغلقت 39 منشأة توظف</w:t>
      </w:r>
      <w:r w:rsidR="00AF3CC4">
        <w:rPr>
          <w:rFonts w:hint="cs"/>
          <w:sz w:val="18"/>
          <w:szCs w:val="26"/>
          <w:rtl/>
        </w:rPr>
        <w:t> </w:t>
      </w:r>
      <w:r w:rsidRPr="004618D1">
        <w:rPr>
          <w:sz w:val="18"/>
          <w:szCs w:val="26"/>
          <w:rtl/>
        </w:rPr>
        <w:t>رعايا بلدان ثالثة كفنانين.</w:t>
      </w:r>
    </w:p>
  </w:footnote>
  <w:footnote w:id="3">
    <w:p w:rsidR="00C64C34" w:rsidRPr="004618D1" w:rsidRDefault="00E711E6" w:rsidP="00AE3AA1">
      <w:pPr>
        <w:pStyle w:val="FootnoteText"/>
        <w:numPr>
          <w:ilvl w:val="0"/>
          <w:numId w:val="8"/>
        </w:numPr>
        <w:tabs>
          <w:tab w:val="clear" w:pos="1293"/>
        </w:tabs>
        <w:spacing w:after="60" w:line="300" w:lineRule="exact"/>
        <w:ind w:left="1247" w:right="1247"/>
        <w:rPr>
          <w:rFonts w:hint="cs"/>
          <w:sz w:val="18"/>
          <w:szCs w:val="26"/>
        </w:rPr>
      </w:pPr>
      <w:r w:rsidRPr="004618D1">
        <w:rPr>
          <w:sz w:val="18"/>
          <w:szCs w:val="26"/>
          <w:rtl/>
        </w:rPr>
        <w:t>يجري حاليا</w:t>
      </w:r>
      <w:r w:rsidRPr="004618D1">
        <w:rPr>
          <w:rFonts w:hint="cs"/>
          <w:sz w:val="18"/>
          <w:szCs w:val="26"/>
          <w:rtl/>
        </w:rPr>
        <w:t>ً</w:t>
      </w:r>
      <w:r w:rsidRPr="004618D1">
        <w:rPr>
          <w:sz w:val="18"/>
          <w:szCs w:val="26"/>
          <w:rtl/>
        </w:rPr>
        <w:t xml:space="preserve"> استعراض التشريعات لتمكين السلطات من تنفيذ القرارات السالفة الذكر.</w:t>
      </w:r>
    </w:p>
  </w:footnote>
  <w:footnote w:id="4">
    <w:p w:rsidR="009C36FC" w:rsidRPr="004618D1" w:rsidRDefault="00127E4D" w:rsidP="00AE3AA1">
      <w:pPr>
        <w:pStyle w:val="FootnoteText"/>
        <w:numPr>
          <w:ilvl w:val="0"/>
          <w:numId w:val="8"/>
        </w:numPr>
        <w:tabs>
          <w:tab w:val="clear" w:pos="1293"/>
        </w:tabs>
        <w:spacing w:after="60" w:line="300" w:lineRule="exact"/>
        <w:ind w:left="1247" w:right="1247"/>
        <w:rPr>
          <w:rFonts w:hint="cs"/>
          <w:sz w:val="18"/>
          <w:szCs w:val="26"/>
        </w:rPr>
      </w:pPr>
      <w:r w:rsidRPr="004618D1">
        <w:rPr>
          <w:sz w:val="18"/>
          <w:szCs w:val="26"/>
          <w:rtl/>
        </w:rPr>
        <w:t>يجري حاليا</w:t>
      </w:r>
      <w:r w:rsidRPr="004618D1">
        <w:rPr>
          <w:rFonts w:hint="cs"/>
          <w:sz w:val="18"/>
          <w:szCs w:val="26"/>
          <w:rtl/>
        </w:rPr>
        <w:t>ً</w:t>
      </w:r>
      <w:r w:rsidRPr="004618D1">
        <w:rPr>
          <w:sz w:val="18"/>
          <w:szCs w:val="26"/>
          <w:rtl/>
        </w:rPr>
        <w:t xml:space="preserve"> استعراض التشريعات لتمكين السلطات من تنفيذ القرارات السالفة الذكر.</w:t>
      </w:r>
    </w:p>
  </w:footnote>
  <w:footnote w:id="5">
    <w:p w:rsidR="009C36FC" w:rsidRPr="004618D1" w:rsidRDefault="00127E4D" w:rsidP="00AE3AA1">
      <w:pPr>
        <w:pStyle w:val="FootnoteText"/>
        <w:numPr>
          <w:ilvl w:val="0"/>
          <w:numId w:val="8"/>
        </w:numPr>
        <w:tabs>
          <w:tab w:val="clear" w:pos="1293"/>
        </w:tabs>
        <w:spacing w:after="60" w:line="300" w:lineRule="exact"/>
        <w:ind w:left="1247" w:right="1247"/>
        <w:rPr>
          <w:rFonts w:hint="cs"/>
          <w:sz w:val="18"/>
          <w:szCs w:val="26"/>
        </w:rPr>
      </w:pPr>
      <w:r w:rsidRPr="004618D1">
        <w:rPr>
          <w:sz w:val="18"/>
          <w:szCs w:val="26"/>
          <w:rtl/>
        </w:rPr>
        <w:t>يجري حاليا</w:t>
      </w:r>
      <w:r w:rsidRPr="004618D1">
        <w:rPr>
          <w:rFonts w:hint="cs"/>
          <w:sz w:val="18"/>
          <w:szCs w:val="26"/>
          <w:rtl/>
        </w:rPr>
        <w:t>ً</w:t>
      </w:r>
      <w:r w:rsidRPr="004618D1">
        <w:rPr>
          <w:sz w:val="18"/>
          <w:szCs w:val="26"/>
          <w:rtl/>
        </w:rPr>
        <w:t xml:space="preserve"> استعراض التشريعات لتمكين السلطات من تنفيذ القرارات السالفة الذكر.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Pr="002B79B5" w:rsidRDefault="00A652E6" w:rsidP="002B79B5">
    <w:pPr>
      <w:pStyle w:val="Header"/>
      <w:jc w:val="right"/>
    </w:pPr>
    <w:r w:rsidRPr="002B79B5">
      <w:t>CEDAW/C/CYP/Q/6-7/Add.1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Pr="002B79B5" w:rsidRDefault="00A652E6" w:rsidP="002B79B5">
    <w:pPr>
      <w:pStyle w:val="Header"/>
      <w:jc w:val="left"/>
    </w:pPr>
    <w:r w:rsidRPr="002B79B5">
      <w:t>CEDAW/C/CYP/Q/6-7/Add.1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E6" w:rsidRDefault="00A652E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A652E6" w:rsidRPr="00460CB7" w:rsidRDefault="00A652E6"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7815282"/>
    <w:multiLevelType w:val="hybridMultilevel"/>
    <w:tmpl w:val="DDD6E094"/>
    <w:lvl w:ilvl="0" w:tplc="F2F09CA4">
      <w:start w:val="1"/>
      <w:numFmt w:val="decimal"/>
      <w:lvlRestart w:val="0"/>
      <w:lvlText w:val="(%1)"/>
      <w:lvlJc w:val="right"/>
      <w:pPr>
        <w:tabs>
          <w:tab w:val="num" w:pos="1293"/>
        </w:tabs>
        <w:ind w:left="1293" w:hanging="227"/>
      </w:pPr>
      <w:rPr>
        <w:rFonts w:ascii="Traditional Arabic" w:hAnsi="Traditional Arabic" w:cs="Traditional Arabic"/>
        <w:sz w:val="26"/>
        <w:szCs w:val="26"/>
      </w:rPr>
    </w:lvl>
    <w:lvl w:ilvl="1" w:tplc="569ADE36">
      <w:start w:val="1"/>
      <w:numFmt w:val="decimal"/>
      <w:lvlRestart w:val="0"/>
      <w:lvlText w:val="(%2)"/>
      <w:lvlJc w:val="right"/>
      <w:pPr>
        <w:tabs>
          <w:tab w:val="num" w:pos="1353"/>
        </w:tabs>
        <w:ind w:left="1353" w:hanging="227"/>
      </w:pPr>
      <w:rPr>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E88"/>
    <w:rsid w:val="0000104A"/>
    <w:rsid w:val="00040E25"/>
    <w:rsid w:val="00042149"/>
    <w:rsid w:val="000448E5"/>
    <w:rsid w:val="000648EA"/>
    <w:rsid w:val="000725DD"/>
    <w:rsid w:val="00074C0F"/>
    <w:rsid w:val="000957C8"/>
    <w:rsid w:val="00097049"/>
    <w:rsid w:val="000A04D5"/>
    <w:rsid w:val="000A75F9"/>
    <w:rsid w:val="000B52F2"/>
    <w:rsid w:val="000D0EAE"/>
    <w:rsid w:val="000D5380"/>
    <w:rsid w:val="000D6654"/>
    <w:rsid w:val="000D6FB3"/>
    <w:rsid w:val="000E103D"/>
    <w:rsid w:val="000E778D"/>
    <w:rsid w:val="000F0264"/>
    <w:rsid w:val="000F2EBF"/>
    <w:rsid w:val="000F3A9F"/>
    <w:rsid w:val="000F5FF6"/>
    <w:rsid w:val="001022B5"/>
    <w:rsid w:val="00113FA5"/>
    <w:rsid w:val="00127E4D"/>
    <w:rsid w:val="001455A0"/>
    <w:rsid w:val="001602A3"/>
    <w:rsid w:val="001A5161"/>
    <w:rsid w:val="001A60BD"/>
    <w:rsid w:val="002225D3"/>
    <w:rsid w:val="002244FB"/>
    <w:rsid w:val="0023156A"/>
    <w:rsid w:val="00232277"/>
    <w:rsid w:val="0023736D"/>
    <w:rsid w:val="002406B5"/>
    <w:rsid w:val="00257225"/>
    <w:rsid w:val="002B79B5"/>
    <w:rsid w:val="002D691F"/>
    <w:rsid w:val="00310160"/>
    <w:rsid w:val="00341A8C"/>
    <w:rsid w:val="003515E1"/>
    <w:rsid w:val="003519E6"/>
    <w:rsid w:val="00396A6A"/>
    <w:rsid w:val="003B4356"/>
    <w:rsid w:val="003F08A8"/>
    <w:rsid w:val="00416995"/>
    <w:rsid w:val="004250E3"/>
    <w:rsid w:val="00444585"/>
    <w:rsid w:val="00460CB7"/>
    <w:rsid w:val="004618D1"/>
    <w:rsid w:val="00472A81"/>
    <w:rsid w:val="00484AC9"/>
    <w:rsid w:val="004A20A6"/>
    <w:rsid w:val="004B2C92"/>
    <w:rsid w:val="004D6A3A"/>
    <w:rsid w:val="004F4AD7"/>
    <w:rsid w:val="00526455"/>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813EB"/>
    <w:rsid w:val="0079344E"/>
    <w:rsid w:val="0079367C"/>
    <w:rsid w:val="007A301E"/>
    <w:rsid w:val="007E197F"/>
    <w:rsid w:val="007F68C4"/>
    <w:rsid w:val="008153DE"/>
    <w:rsid w:val="00834FF4"/>
    <w:rsid w:val="00840CD1"/>
    <w:rsid w:val="00852A10"/>
    <w:rsid w:val="008538C3"/>
    <w:rsid w:val="00862634"/>
    <w:rsid w:val="00862C23"/>
    <w:rsid w:val="00866C59"/>
    <w:rsid w:val="00877306"/>
    <w:rsid w:val="0089312E"/>
    <w:rsid w:val="008A6242"/>
    <w:rsid w:val="008B4BC6"/>
    <w:rsid w:val="00901E57"/>
    <w:rsid w:val="009070DF"/>
    <w:rsid w:val="00922026"/>
    <w:rsid w:val="00935F0E"/>
    <w:rsid w:val="0095208F"/>
    <w:rsid w:val="00977B3F"/>
    <w:rsid w:val="009814AE"/>
    <w:rsid w:val="009901D3"/>
    <w:rsid w:val="00996BBE"/>
    <w:rsid w:val="009B2C03"/>
    <w:rsid w:val="009C36FC"/>
    <w:rsid w:val="009D1DD5"/>
    <w:rsid w:val="009F246B"/>
    <w:rsid w:val="009F722C"/>
    <w:rsid w:val="00A26157"/>
    <w:rsid w:val="00A265C3"/>
    <w:rsid w:val="00A43F9A"/>
    <w:rsid w:val="00A53F38"/>
    <w:rsid w:val="00A543D4"/>
    <w:rsid w:val="00A652E6"/>
    <w:rsid w:val="00AB4974"/>
    <w:rsid w:val="00AD0014"/>
    <w:rsid w:val="00AD4CF2"/>
    <w:rsid w:val="00AE3AA1"/>
    <w:rsid w:val="00AF0BBA"/>
    <w:rsid w:val="00AF3CC4"/>
    <w:rsid w:val="00B22076"/>
    <w:rsid w:val="00B25BBD"/>
    <w:rsid w:val="00B30468"/>
    <w:rsid w:val="00B37166"/>
    <w:rsid w:val="00B44E31"/>
    <w:rsid w:val="00B95123"/>
    <w:rsid w:val="00BA4F7E"/>
    <w:rsid w:val="00BB2C41"/>
    <w:rsid w:val="00BC55C8"/>
    <w:rsid w:val="00BC5C10"/>
    <w:rsid w:val="00BE2964"/>
    <w:rsid w:val="00BE6F7A"/>
    <w:rsid w:val="00BF1CB8"/>
    <w:rsid w:val="00BF2C66"/>
    <w:rsid w:val="00C1229D"/>
    <w:rsid w:val="00C21623"/>
    <w:rsid w:val="00C24FBD"/>
    <w:rsid w:val="00C473BA"/>
    <w:rsid w:val="00C611ED"/>
    <w:rsid w:val="00C6490A"/>
    <w:rsid w:val="00C64C34"/>
    <w:rsid w:val="00C64FE1"/>
    <w:rsid w:val="00C74296"/>
    <w:rsid w:val="00C8345E"/>
    <w:rsid w:val="00CA5F7C"/>
    <w:rsid w:val="00D45E88"/>
    <w:rsid w:val="00D51067"/>
    <w:rsid w:val="00D75657"/>
    <w:rsid w:val="00D940ED"/>
    <w:rsid w:val="00D94BE0"/>
    <w:rsid w:val="00D960AD"/>
    <w:rsid w:val="00DA0E0E"/>
    <w:rsid w:val="00DB0C39"/>
    <w:rsid w:val="00DB6C86"/>
    <w:rsid w:val="00DB7679"/>
    <w:rsid w:val="00DF1702"/>
    <w:rsid w:val="00DF4DD8"/>
    <w:rsid w:val="00DF668E"/>
    <w:rsid w:val="00E04826"/>
    <w:rsid w:val="00E14D2B"/>
    <w:rsid w:val="00E20DBA"/>
    <w:rsid w:val="00E254B1"/>
    <w:rsid w:val="00E6524A"/>
    <w:rsid w:val="00E65A5F"/>
    <w:rsid w:val="00E660D6"/>
    <w:rsid w:val="00E711E6"/>
    <w:rsid w:val="00E771AB"/>
    <w:rsid w:val="00E840A2"/>
    <w:rsid w:val="00EA796F"/>
    <w:rsid w:val="00EB077B"/>
    <w:rsid w:val="00EB2D07"/>
    <w:rsid w:val="00EB3D7B"/>
    <w:rsid w:val="00EC50B9"/>
    <w:rsid w:val="00ED26A0"/>
    <w:rsid w:val="00F1727A"/>
    <w:rsid w:val="00F34764"/>
    <w:rsid w:val="00F54E3C"/>
    <w:rsid w:val="00F7225E"/>
    <w:rsid w:val="00F874BD"/>
    <w:rsid w:val="00FB1D0B"/>
    <w:rsid w:val="00FC3FE4"/>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FootnoteTextChar">
    <w:name w:val="Footnote Text Char"/>
    <w:aliases w:val="5_G Char"/>
    <w:link w:val="FootnoteText"/>
    <w:rsid w:val="002B79B5"/>
    <w:rPr>
      <w:rFonts w:cs="Traditional Arabic"/>
      <w:lang w:val="en-US" w:eastAsia="en-US" w:bidi="ar-SA"/>
    </w:rPr>
  </w:style>
  <w:style w:type="character" w:customStyle="1" w:styleId="text6">
    <w:name w:val="text6"/>
    <w:rsid w:val="002B79B5"/>
    <w:rPr>
      <w:rFonts w:ascii="Verdana" w:hAnsi="Verdana" w:hint="default"/>
      <w:color w:val="333333"/>
      <w:sz w:val="10"/>
      <w:szCs w:val="10"/>
      <w:rtl/>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32</Pages>
  <Words>8187</Words>
  <Characters>46666</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CEDAW/C/CYP/Q/6-7/Add.1</vt:lpstr>
    </vt:vector>
  </TitlesOfParts>
  <Company>CSD</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CEDAW/C/CYP/Q/6-7/Add.1</dc:title>
  <dc:subject>Emara</dc:subject>
  <dc:creator>Gamal</dc:creator>
  <cp:keywords/>
  <dc:description/>
  <cp:lastModifiedBy>Gamal</cp:lastModifiedBy>
  <cp:revision>2</cp:revision>
  <cp:lastPrinted>2012-12-27T15:25:00Z</cp:lastPrinted>
  <dcterms:created xsi:type="dcterms:W3CDTF">2012-12-27T15:26:00Z</dcterms:created>
  <dcterms:modified xsi:type="dcterms:W3CDTF">2012-12-27T15:26:00Z</dcterms:modified>
</cp:coreProperties>
</file>