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48438" w14:textId="77777777" w:rsidR="00DE4254" w:rsidRPr="0046567B" w:rsidRDefault="00DE4254" w:rsidP="00DE4254">
      <w:pPr>
        <w:spacing w:line="240" w:lineRule="auto"/>
        <w:rPr>
          <w:sz w:val="2"/>
        </w:rPr>
        <w:sectPr w:rsidR="00DE4254" w:rsidRPr="0046567B" w:rsidSect="00DE425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152" w:left="1200" w:header="432" w:footer="576" w:gutter="0"/>
          <w:cols w:space="720"/>
          <w:titlePg/>
          <w:docGrid w:linePitch="360"/>
        </w:sectPr>
      </w:pPr>
      <w:commentRangeStart w:id="0"/>
      <w:commentRangeEnd w:id="0"/>
      <w:r w:rsidRPr="0046567B">
        <w:rPr>
          <w:rStyle w:val="CommentReference"/>
        </w:rPr>
        <w:commentReference w:id="0"/>
      </w:r>
    </w:p>
    <w:p w14:paraId="486E7344" w14:textId="3FF4B825" w:rsidR="00620F6A" w:rsidRPr="0046567B" w:rsidRDefault="00620F6A" w:rsidP="00620F6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bidi="fr-FR"/>
        </w:rPr>
      </w:pPr>
      <w:r w:rsidRPr="0046567B">
        <w:rPr>
          <w:lang w:val="fr-FR" w:bidi="fr-FR"/>
        </w:rPr>
        <w:t>Comité pour l</w:t>
      </w:r>
      <w:r w:rsidR="00FB11B3" w:rsidRPr="0046567B">
        <w:rPr>
          <w:lang w:val="fr-FR" w:bidi="fr-FR"/>
        </w:rPr>
        <w:t>’</w:t>
      </w:r>
      <w:r w:rsidRPr="0046567B">
        <w:rPr>
          <w:lang w:val="fr-FR" w:bidi="fr-FR"/>
        </w:rPr>
        <w:t>élimination de la discrimination</w:t>
      </w:r>
      <w:r w:rsidRPr="0046567B">
        <w:rPr>
          <w:lang w:val="fr-FR" w:bidi="fr-FR"/>
        </w:rPr>
        <w:br/>
        <w:t>à l</w:t>
      </w:r>
      <w:r w:rsidR="00FB11B3" w:rsidRPr="0046567B">
        <w:rPr>
          <w:lang w:val="fr-FR" w:bidi="fr-FR"/>
        </w:rPr>
        <w:t>’</w:t>
      </w:r>
      <w:r w:rsidRPr="0046567B">
        <w:rPr>
          <w:lang w:val="fr-FR" w:bidi="fr-FR"/>
        </w:rPr>
        <w:t>égard des femmes</w:t>
      </w:r>
    </w:p>
    <w:p w14:paraId="3975275B" w14:textId="7B67AD5E" w:rsidR="00620F6A" w:rsidRPr="0046567B" w:rsidRDefault="00620F6A" w:rsidP="00620F6A">
      <w:pPr>
        <w:pStyle w:val="SingleTxt"/>
        <w:spacing w:after="0" w:line="120" w:lineRule="exact"/>
        <w:rPr>
          <w:sz w:val="10"/>
          <w:lang w:val="fr-FR" w:bidi="fr-FR"/>
        </w:rPr>
      </w:pPr>
    </w:p>
    <w:p w14:paraId="5372E60F" w14:textId="16E7C942" w:rsidR="00620F6A" w:rsidRPr="0046567B" w:rsidRDefault="00620F6A" w:rsidP="00620F6A">
      <w:pPr>
        <w:pStyle w:val="SingleTxt"/>
        <w:spacing w:after="0" w:line="120" w:lineRule="exact"/>
        <w:rPr>
          <w:sz w:val="10"/>
          <w:lang w:val="fr-FR" w:bidi="fr-FR"/>
        </w:rPr>
      </w:pPr>
    </w:p>
    <w:p w14:paraId="5520AB5D" w14:textId="615AE613" w:rsidR="00620F6A" w:rsidRPr="0046567B" w:rsidRDefault="00620F6A" w:rsidP="00620F6A">
      <w:pPr>
        <w:pStyle w:val="SingleTxt"/>
        <w:spacing w:after="0" w:line="120" w:lineRule="exact"/>
        <w:rPr>
          <w:sz w:val="10"/>
          <w:lang w:val="fr-FR" w:bidi="fr-FR"/>
        </w:rPr>
      </w:pPr>
    </w:p>
    <w:p w14:paraId="5CA46F15" w14:textId="127FC163" w:rsidR="00620F6A" w:rsidRPr="0046567B" w:rsidRDefault="00620F6A" w:rsidP="00C31384">
      <w:pPr>
        <w:framePr w:w="9792" w:h="432" w:hSpace="180" w:wrap="around" w:vAnchor="page" w:hAnchor="page" w:x="1191" w:y="1302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0" w:line="240" w:lineRule="auto"/>
        <w:ind w:left="1267" w:right="1260" w:hanging="576"/>
        <w:rPr>
          <w:spacing w:val="5"/>
          <w:w w:val="104"/>
          <w:sz w:val="17"/>
          <w:szCs w:val="20"/>
        </w:rPr>
      </w:pPr>
      <w:r w:rsidRPr="0046567B">
        <w:rPr>
          <w:noProof/>
          <w:w w:val="100"/>
        </w:rPr>
        <mc:AlternateContent>
          <mc:Choice Requires="wps">
            <w:drawing>
              <wp:anchor distT="0" distB="0" distL="114300" distR="114300" simplePos="0" relativeHeight="251659264" behindDoc="0" locked="0" layoutInCell="1" allowOverlap="1" wp14:anchorId="2B5BAFB9" wp14:editId="45ABC72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E1B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46567B">
        <w:rPr>
          <w:spacing w:val="5"/>
          <w:w w:val="104"/>
          <w:sz w:val="17"/>
          <w:szCs w:val="20"/>
        </w:rPr>
        <w:tab/>
        <w:t>*</w:t>
      </w:r>
      <w:r w:rsidRPr="0046567B">
        <w:rPr>
          <w:spacing w:val="5"/>
          <w:w w:val="104"/>
          <w:sz w:val="17"/>
          <w:szCs w:val="20"/>
        </w:rPr>
        <w:tab/>
        <w:t>La version originale du présent document n</w:t>
      </w:r>
      <w:r w:rsidR="00FB11B3" w:rsidRPr="0046567B">
        <w:rPr>
          <w:spacing w:val="5"/>
          <w:w w:val="104"/>
          <w:sz w:val="17"/>
          <w:szCs w:val="20"/>
        </w:rPr>
        <w:t>’</w:t>
      </w:r>
      <w:r w:rsidRPr="0046567B">
        <w:rPr>
          <w:spacing w:val="5"/>
          <w:w w:val="104"/>
          <w:sz w:val="17"/>
          <w:szCs w:val="20"/>
        </w:rPr>
        <w:t>a pas été revue par les services d</w:t>
      </w:r>
      <w:r w:rsidR="00FB11B3" w:rsidRPr="0046567B">
        <w:rPr>
          <w:spacing w:val="5"/>
          <w:w w:val="104"/>
          <w:sz w:val="17"/>
          <w:szCs w:val="20"/>
        </w:rPr>
        <w:t>’</w:t>
      </w:r>
      <w:r w:rsidRPr="0046567B">
        <w:rPr>
          <w:spacing w:val="5"/>
          <w:w w:val="104"/>
          <w:sz w:val="17"/>
          <w:szCs w:val="20"/>
        </w:rPr>
        <w:t>édition.</w:t>
      </w:r>
    </w:p>
    <w:p w14:paraId="2C4D8EF7" w14:textId="3D612F34" w:rsidR="00620F6A" w:rsidRPr="0046567B" w:rsidRDefault="00620F6A" w:rsidP="00C31384">
      <w:pPr>
        <w:framePr w:w="9792" w:h="432" w:hSpace="180" w:wrap="around" w:vAnchor="page" w:hAnchor="page" w:x="1191" w:y="1302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hanging="576"/>
        <w:rPr>
          <w:spacing w:val="5"/>
          <w:w w:val="104"/>
          <w:sz w:val="17"/>
          <w:szCs w:val="20"/>
        </w:rPr>
      </w:pPr>
      <w:r w:rsidRPr="0046567B">
        <w:rPr>
          <w:spacing w:val="5"/>
          <w:w w:val="104"/>
          <w:sz w:val="17"/>
          <w:szCs w:val="20"/>
        </w:rPr>
        <w:tab/>
        <w:t>**</w:t>
      </w:r>
      <w:r w:rsidRPr="0046567B">
        <w:rPr>
          <w:spacing w:val="5"/>
          <w:w w:val="104"/>
          <w:sz w:val="17"/>
          <w:szCs w:val="20"/>
        </w:rPr>
        <w:tab/>
        <w:t>Ce document fait partie du rapport de l</w:t>
      </w:r>
      <w:r w:rsidR="00FB11B3" w:rsidRPr="0046567B">
        <w:rPr>
          <w:spacing w:val="5"/>
          <w:w w:val="104"/>
          <w:sz w:val="17"/>
          <w:szCs w:val="20"/>
        </w:rPr>
        <w:t>’</w:t>
      </w:r>
      <w:r w:rsidRPr="0046567B">
        <w:rPr>
          <w:spacing w:val="5"/>
          <w:w w:val="104"/>
          <w:sz w:val="17"/>
          <w:szCs w:val="20"/>
        </w:rPr>
        <w:t>État partie qui comprend les rapports de la Chine (</w:t>
      </w:r>
      <w:hyperlink r:id="rId17" w:history="1">
        <w:r w:rsidRPr="0046567B">
          <w:rPr>
            <w:rStyle w:val="Hyperlink"/>
            <w:spacing w:val="5"/>
            <w:w w:val="104"/>
            <w:sz w:val="17"/>
            <w:szCs w:val="20"/>
          </w:rPr>
          <w:t>CEDAW/C/CHN/9</w:t>
        </w:r>
      </w:hyperlink>
      <w:r w:rsidRPr="0046567B">
        <w:rPr>
          <w:spacing w:val="5"/>
          <w:w w:val="104"/>
          <w:sz w:val="17"/>
          <w:szCs w:val="20"/>
        </w:rPr>
        <w:t>), de Hong Kong (</w:t>
      </w:r>
      <w:hyperlink r:id="rId18" w:history="1">
        <w:r w:rsidRPr="0046567B">
          <w:rPr>
            <w:rStyle w:val="Hyperlink"/>
            <w:spacing w:val="5"/>
            <w:w w:val="104"/>
            <w:sz w:val="17"/>
            <w:szCs w:val="20"/>
          </w:rPr>
          <w:t>CEDAW/C/CHN-HKG/9</w:t>
        </w:r>
      </w:hyperlink>
      <w:r w:rsidRPr="0046567B">
        <w:rPr>
          <w:spacing w:val="5"/>
          <w:w w:val="104"/>
          <w:sz w:val="17"/>
          <w:szCs w:val="20"/>
        </w:rPr>
        <w:t>) et de Macao (</w:t>
      </w:r>
      <w:hyperlink r:id="rId19" w:history="1">
        <w:r w:rsidRPr="0046567B">
          <w:rPr>
            <w:rStyle w:val="Hyperlink"/>
            <w:spacing w:val="5"/>
            <w:w w:val="104"/>
            <w:sz w:val="17"/>
            <w:szCs w:val="20"/>
          </w:rPr>
          <w:t>CEDAW/C/CHN-MAC/9</w:t>
        </w:r>
      </w:hyperlink>
      <w:r w:rsidRPr="0046567B">
        <w:rPr>
          <w:spacing w:val="5"/>
          <w:w w:val="104"/>
          <w:sz w:val="17"/>
          <w:szCs w:val="20"/>
        </w:rPr>
        <w:t>).</w:t>
      </w:r>
    </w:p>
    <w:p w14:paraId="11993DA3" w14:textId="0A64301C" w:rsidR="00620F6A" w:rsidRPr="0046567B" w:rsidRDefault="00620F6A" w:rsidP="00C31384">
      <w:pPr>
        <w:framePr w:w="9792" w:h="432" w:hSpace="180" w:wrap="around" w:vAnchor="page" w:hAnchor="page" w:x="1191" w:y="1302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hanging="576"/>
        <w:rPr>
          <w:spacing w:val="5"/>
          <w:w w:val="104"/>
          <w:sz w:val="17"/>
          <w:szCs w:val="20"/>
        </w:rPr>
      </w:pPr>
      <w:r w:rsidRPr="0046567B">
        <w:rPr>
          <w:spacing w:val="5"/>
          <w:w w:val="104"/>
          <w:sz w:val="17"/>
          <w:szCs w:val="20"/>
        </w:rPr>
        <w:tab/>
        <w:t>***</w:t>
      </w:r>
      <w:r w:rsidRPr="0046567B">
        <w:rPr>
          <w:spacing w:val="5"/>
          <w:w w:val="104"/>
          <w:sz w:val="17"/>
          <w:szCs w:val="20"/>
        </w:rPr>
        <w:tab/>
        <w:t>Les annexes au présent document peuvent être consultées sur le site Web du Comité.</w:t>
      </w:r>
    </w:p>
    <w:p w14:paraId="5048D417" w14:textId="410DD672" w:rsidR="00620F6A" w:rsidRPr="0046567B" w:rsidRDefault="00620F6A" w:rsidP="00620F6A">
      <w:pPr>
        <w:pStyle w:val="TitleHCH"/>
        <w:ind w:right="1260"/>
        <w:rPr>
          <w:b w:val="0"/>
          <w:sz w:val="20"/>
          <w:lang w:val="fr-FR" w:bidi="fr-FR"/>
        </w:rPr>
      </w:pPr>
      <w:r w:rsidRPr="0046567B">
        <w:rPr>
          <w:lang w:val="fr-FR" w:bidi="fr-FR"/>
        </w:rPr>
        <w:tab/>
      </w:r>
      <w:r w:rsidRPr="0046567B">
        <w:rPr>
          <w:lang w:val="fr-FR" w:bidi="fr-FR"/>
        </w:rPr>
        <w:tab/>
        <w:t>Neuvième rapport périodique soumis par Hong Kong en application de l</w:t>
      </w:r>
      <w:r w:rsidR="00FB11B3" w:rsidRPr="0046567B">
        <w:rPr>
          <w:lang w:val="fr-FR" w:bidi="fr-FR"/>
        </w:rPr>
        <w:t>’</w:t>
      </w:r>
      <w:r w:rsidRPr="0046567B">
        <w:rPr>
          <w:lang w:val="fr-FR" w:bidi="fr-FR"/>
        </w:rPr>
        <w:t>article 18 de la Convention, attendu en 2018</w:t>
      </w:r>
      <w:r w:rsidRPr="0046567B">
        <w:rPr>
          <w:b w:val="0"/>
          <w:sz w:val="20"/>
          <w:lang w:val="fr-FR" w:bidi="fr-FR"/>
        </w:rPr>
        <w:t>*</w:t>
      </w:r>
      <w:r w:rsidRPr="00670DD4">
        <w:rPr>
          <w:b w:val="0"/>
          <w:sz w:val="20"/>
          <w:vertAlign w:val="superscript"/>
          <w:lang w:val="fr-FR" w:bidi="fr-FR"/>
        </w:rPr>
        <w:t>,</w:t>
      </w:r>
      <w:r w:rsidRPr="0046567B">
        <w:rPr>
          <w:b w:val="0"/>
          <w:sz w:val="20"/>
          <w:lang w:val="fr-FR" w:bidi="fr-FR"/>
        </w:rPr>
        <w:t xml:space="preserve"> **</w:t>
      </w:r>
      <w:r w:rsidRPr="00670DD4">
        <w:rPr>
          <w:b w:val="0"/>
          <w:sz w:val="20"/>
          <w:vertAlign w:val="superscript"/>
          <w:lang w:val="fr-FR" w:bidi="fr-FR"/>
        </w:rPr>
        <w:t>,</w:t>
      </w:r>
      <w:r w:rsidRPr="0046567B">
        <w:rPr>
          <w:b w:val="0"/>
          <w:sz w:val="20"/>
          <w:lang w:val="fr-FR" w:bidi="fr-FR"/>
        </w:rPr>
        <w:t xml:space="preserve"> ***</w:t>
      </w:r>
    </w:p>
    <w:p w14:paraId="48CAC5B3" w14:textId="50A24A36" w:rsidR="00620F6A" w:rsidRPr="0046567B" w:rsidRDefault="00620F6A" w:rsidP="002A20B0">
      <w:pPr>
        <w:pStyle w:val="SingleTxt"/>
        <w:spacing w:after="0" w:line="120" w:lineRule="exact"/>
        <w:rPr>
          <w:sz w:val="10"/>
          <w:lang w:val="fr-FR" w:bidi="fr-FR"/>
        </w:rPr>
      </w:pPr>
    </w:p>
    <w:p w14:paraId="7D05E73C" w14:textId="77777777" w:rsidR="002A20B0" w:rsidRPr="0046567B" w:rsidRDefault="002A20B0" w:rsidP="00620F6A">
      <w:pPr>
        <w:pStyle w:val="SingleTxt"/>
        <w:spacing w:after="0" w:line="120" w:lineRule="exact"/>
        <w:rPr>
          <w:sz w:val="10"/>
          <w:lang w:val="fr-FR" w:bidi="fr-FR"/>
        </w:rPr>
      </w:pPr>
    </w:p>
    <w:p w14:paraId="3A465695" w14:textId="5D7883D3" w:rsidR="00DE4254" w:rsidRPr="0046567B" w:rsidRDefault="00620F6A" w:rsidP="00620F6A">
      <w:pPr>
        <w:pStyle w:val="SingleTxt"/>
        <w:jc w:val="right"/>
        <w:rPr>
          <w:lang w:val="fr-FR" w:bidi="fr-FR"/>
        </w:rPr>
      </w:pPr>
      <w:r w:rsidRPr="0046567B">
        <w:rPr>
          <w:lang w:val="fr-FR" w:bidi="fr-FR"/>
        </w:rPr>
        <w:t>[Date de réception</w:t>
      </w:r>
      <w:r w:rsidR="00FB11B3" w:rsidRPr="0046567B">
        <w:rPr>
          <w:lang w:val="fr-FR" w:bidi="fr-FR"/>
        </w:rPr>
        <w:t> :</w:t>
      </w:r>
      <w:r w:rsidRPr="0046567B">
        <w:rPr>
          <w:lang w:val="fr-FR" w:bidi="fr-FR"/>
        </w:rPr>
        <w:t xml:space="preserve"> 26 mars 2020]</w:t>
      </w:r>
    </w:p>
    <w:p w14:paraId="20C465D9" w14:textId="2983F1B4" w:rsidR="00620F6A" w:rsidRPr="0046567B" w:rsidRDefault="00620F6A">
      <w:pPr>
        <w:spacing w:after="200" w:line="276" w:lineRule="auto"/>
        <w:rPr>
          <w:lang w:val="fr-FR" w:bidi="fr-FR"/>
        </w:rPr>
      </w:pPr>
      <w:r w:rsidRPr="0046567B">
        <w:rPr>
          <w:lang w:val="fr-FR" w:bidi="fr-FR"/>
        </w:rPr>
        <w:br w:type="page"/>
      </w:r>
    </w:p>
    <w:p w14:paraId="5BE63E79" w14:textId="77777777" w:rsidR="00620F6A" w:rsidRPr="0046567B" w:rsidRDefault="00620F6A" w:rsidP="00620F6A">
      <w:pPr>
        <w:pStyle w:val="HCH"/>
        <w:spacing w:after="120"/>
      </w:pPr>
      <w:r w:rsidRPr="0046567B">
        <w:lastRenderedPageBreak/>
        <w:t>Table des matières</w:t>
      </w:r>
    </w:p>
    <w:tbl>
      <w:tblPr>
        <w:tblW w:w="9864" w:type="dxa"/>
        <w:tblLayout w:type="fixed"/>
        <w:tblCellMar>
          <w:left w:w="0" w:type="dxa"/>
          <w:right w:w="0" w:type="dxa"/>
        </w:tblCellMar>
        <w:tblLook w:val="0000" w:firstRow="0" w:lastRow="0" w:firstColumn="0" w:lastColumn="0" w:noHBand="0" w:noVBand="0"/>
      </w:tblPr>
      <w:tblGrid>
        <w:gridCol w:w="1060"/>
        <w:gridCol w:w="7315"/>
        <w:gridCol w:w="994"/>
        <w:gridCol w:w="495"/>
      </w:tblGrid>
      <w:tr w:rsidR="00620F6A" w:rsidRPr="0046567B" w14:paraId="3125665B" w14:textId="77777777" w:rsidTr="008454D2">
        <w:tc>
          <w:tcPr>
            <w:tcW w:w="1060" w:type="dxa"/>
            <w:shd w:val="clear" w:color="auto" w:fill="auto"/>
          </w:tcPr>
          <w:p w14:paraId="3FEB22AD" w14:textId="53AA5F19" w:rsidR="00620F6A" w:rsidRPr="0046567B" w:rsidRDefault="00620F6A" w:rsidP="00620F6A">
            <w:pPr>
              <w:spacing w:after="120" w:line="240" w:lineRule="auto"/>
              <w:jc w:val="right"/>
              <w:rPr>
                <w:i/>
                <w:sz w:val="14"/>
              </w:rPr>
            </w:pPr>
          </w:p>
        </w:tc>
        <w:tc>
          <w:tcPr>
            <w:tcW w:w="7315" w:type="dxa"/>
            <w:shd w:val="clear" w:color="auto" w:fill="auto"/>
          </w:tcPr>
          <w:p w14:paraId="3A9E294E" w14:textId="77777777" w:rsidR="00620F6A" w:rsidRPr="0046567B" w:rsidRDefault="00620F6A" w:rsidP="00620F6A">
            <w:pPr>
              <w:spacing w:after="120" w:line="240" w:lineRule="auto"/>
              <w:rPr>
                <w:i/>
                <w:sz w:val="14"/>
              </w:rPr>
            </w:pPr>
          </w:p>
        </w:tc>
        <w:tc>
          <w:tcPr>
            <w:tcW w:w="994" w:type="dxa"/>
            <w:shd w:val="clear" w:color="auto" w:fill="auto"/>
          </w:tcPr>
          <w:p w14:paraId="60A362BC" w14:textId="2F54660E" w:rsidR="00620F6A" w:rsidRPr="0046567B" w:rsidRDefault="00620F6A" w:rsidP="00620F6A">
            <w:pPr>
              <w:spacing w:after="120" w:line="240" w:lineRule="auto"/>
              <w:jc w:val="right"/>
              <w:rPr>
                <w:i/>
                <w:sz w:val="14"/>
              </w:rPr>
            </w:pPr>
            <w:r w:rsidRPr="0046567B">
              <w:rPr>
                <w:i/>
                <w:sz w:val="14"/>
              </w:rPr>
              <w:t>Paragraphes</w:t>
            </w:r>
          </w:p>
        </w:tc>
        <w:tc>
          <w:tcPr>
            <w:tcW w:w="495" w:type="dxa"/>
            <w:shd w:val="clear" w:color="auto" w:fill="auto"/>
          </w:tcPr>
          <w:p w14:paraId="770FB87C" w14:textId="53DBF516" w:rsidR="00620F6A" w:rsidRPr="0046567B" w:rsidRDefault="00620F6A" w:rsidP="00620F6A">
            <w:pPr>
              <w:spacing w:after="120" w:line="240" w:lineRule="auto"/>
              <w:jc w:val="right"/>
              <w:rPr>
                <w:i/>
                <w:sz w:val="14"/>
              </w:rPr>
            </w:pPr>
            <w:r w:rsidRPr="0046567B">
              <w:rPr>
                <w:i/>
                <w:sz w:val="14"/>
              </w:rPr>
              <w:t>Page</w:t>
            </w:r>
          </w:p>
        </w:tc>
      </w:tr>
      <w:tr w:rsidR="00A55DB4" w:rsidRPr="0046567B" w14:paraId="5A78FDF4" w14:textId="77777777" w:rsidTr="00AB0B0B">
        <w:tc>
          <w:tcPr>
            <w:tcW w:w="9369" w:type="dxa"/>
            <w:gridSpan w:val="3"/>
            <w:shd w:val="clear" w:color="auto" w:fill="auto"/>
          </w:tcPr>
          <w:p w14:paraId="10B81C73" w14:textId="77777777" w:rsidR="00A55DB4" w:rsidRPr="0046567B" w:rsidRDefault="00A55DB4" w:rsidP="00297A31">
            <w:pPr>
              <w:tabs>
                <w:tab w:val="left" w:pos="1296"/>
                <w:tab w:val="left" w:pos="1728"/>
                <w:tab w:val="right" w:leader="dot" w:pos="9360"/>
              </w:tabs>
              <w:suppressAutoHyphens/>
              <w:spacing w:after="120"/>
              <w:ind w:left="1080"/>
              <w:rPr>
                <w:spacing w:val="60"/>
                <w:sz w:val="17"/>
                <w:lang w:val="fr-BE"/>
              </w:rPr>
            </w:pPr>
            <w:r w:rsidRPr="0046567B">
              <w:t>Pr</w:t>
            </w:r>
            <w:r w:rsidRPr="0046567B">
              <w:rPr>
                <w:lang w:val="fr-BE"/>
              </w:rPr>
              <w:t>éambule</w:t>
            </w:r>
            <w:r w:rsidRPr="0046567B">
              <w:rPr>
                <w:spacing w:val="60"/>
                <w:sz w:val="17"/>
                <w:lang w:val="fr-BE"/>
              </w:rPr>
              <w:tab/>
            </w:r>
          </w:p>
        </w:tc>
        <w:tc>
          <w:tcPr>
            <w:tcW w:w="495" w:type="dxa"/>
            <w:shd w:val="clear" w:color="auto" w:fill="auto"/>
            <w:vAlign w:val="bottom"/>
          </w:tcPr>
          <w:p w14:paraId="02282DFD" w14:textId="5E7F9AAF" w:rsidR="00A55DB4" w:rsidRPr="0046567B" w:rsidRDefault="008454D2" w:rsidP="00AB0B0B">
            <w:pPr>
              <w:spacing w:after="120"/>
              <w:ind w:right="40"/>
              <w:jc w:val="right"/>
            </w:pPr>
            <w:r w:rsidRPr="0046567B">
              <w:t>7</w:t>
            </w:r>
          </w:p>
        </w:tc>
      </w:tr>
      <w:tr w:rsidR="00A55DB4" w:rsidRPr="0046567B" w14:paraId="5B408CEB" w14:textId="77777777" w:rsidTr="00AB0B0B">
        <w:tc>
          <w:tcPr>
            <w:tcW w:w="8375" w:type="dxa"/>
            <w:gridSpan w:val="2"/>
            <w:shd w:val="clear" w:color="auto" w:fill="auto"/>
          </w:tcPr>
          <w:p w14:paraId="652A542E" w14:textId="24C0725D" w:rsidR="00A55DB4" w:rsidRPr="0046567B" w:rsidRDefault="00A55DB4" w:rsidP="00A55DB4">
            <w:pPr>
              <w:tabs>
                <w:tab w:val="left" w:pos="1296"/>
                <w:tab w:val="left" w:pos="1728"/>
                <w:tab w:val="right" w:leader="dot" w:pos="9360"/>
              </w:tabs>
              <w:suppressAutoHyphens/>
              <w:spacing w:after="120"/>
              <w:ind w:left="1080"/>
              <w:rPr>
                <w:i/>
                <w:spacing w:val="60"/>
                <w:sz w:val="17"/>
              </w:rPr>
            </w:pPr>
            <w:r w:rsidRPr="0046567B">
              <w:rPr>
                <w:lang w:bidi="fr-FR"/>
              </w:rPr>
              <w:t xml:space="preserve">Article 1 </w:t>
            </w:r>
            <w:r w:rsidR="00297A31" w:rsidRPr="0046567B">
              <w:rPr>
                <w:lang w:bidi="fr-FR"/>
              </w:rPr>
              <w:t>–</w:t>
            </w:r>
            <w:r w:rsidRPr="0046567B">
              <w:rPr>
                <w:lang w:bidi="fr-FR"/>
              </w:rPr>
              <w:t xml:space="preserve"> Définition de la discrimination</w:t>
            </w:r>
            <w:r w:rsidRPr="0046567B">
              <w:rPr>
                <w:spacing w:val="60"/>
                <w:sz w:val="17"/>
                <w:lang w:bidi="fr-FR"/>
              </w:rPr>
              <w:tab/>
            </w:r>
          </w:p>
        </w:tc>
        <w:tc>
          <w:tcPr>
            <w:tcW w:w="994" w:type="dxa"/>
            <w:shd w:val="clear" w:color="auto" w:fill="auto"/>
            <w:vAlign w:val="bottom"/>
          </w:tcPr>
          <w:p w14:paraId="23EC5582" w14:textId="4A001F2B" w:rsidR="00A55DB4" w:rsidRPr="0046567B" w:rsidRDefault="00A55DB4" w:rsidP="00AB0B0B">
            <w:pPr>
              <w:spacing w:after="120"/>
              <w:ind w:right="40"/>
              <w:jc w:val="right"/>
              <w:rPr>
                <w:iCs/>
                <w:szCs w:val="20"/>
              </w:rPr>
            </w:pPr>
            <w:r w:rsidRPr="0046567B">
              <w:rPr>
                <w:iCs/>
                <w:szCs w:val="20"/>
              </w:rPr>
              <w:t>6-7</w:t>
            </w:r>
          </w:p>
        </w:tc>
        <w:tc>
          <w:tcPr>
            <w:tcW w:w="495" w:type="dxa"/>
            <w:shd w:val="clear" w:color="auto" w:fill="auto"/>
            <w:vAlign w:val="bottom"/>
          </w:tcPr>
          <w:p w14:paraId="3C992C2D" w14:textId="2A352519" w:rsidR="00A55DB4" w:rsidRPr="0046567B" w:rsidRDefault="008454D2" w:rsidP="00AB0B0B">
            <w:pPr>
              <w:spacing w:after="120"/>
              <w:ind w:right="40"/>
              <w:jc w:val="right"/>
              <w:rPr>
                <w:iCs/>
                <w:szCs w:val="20"/>
              </w:rPr>
            </w:pPr>
            <w:r w:rsidRPr="0046567B">
              <w:rPr>
                <w:iCs/>
                <w:szCs w:val="20"/>
              </w:rPr>
              <w:t>7</w:t>
            </w:r>
          </w:p>
        </w:tc>
      </w:tr>
      <w:tr w:rsidR="00A55DB4" w:rsidRPr="0046567B" w14:paraId="1D4D484B" w14:textId="77777777" w:rsidTr="00AB0B0B">
        <w:tc>
          <w:tcPr>
            <w:tcW w:w="8375" w:type="dxa"/>
            <w:gridSpan w:val="2"/>
            <w:shd w:val="clear" w:color="auto" w:fill="auto"/>
          </w:tcPr>
          <w:p w14:paraId="56CE59A1" w14:textId="3A187BAD" w:rsidR="00A55DB4" w:rsidRPr="0046567B" w:rsidRDefault="00A55DB4" w:rsidP="00A55DB4">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lang w:bidi="fr-FR"/>
              </w:rPr>
            </w:pPr>
            <w:r w:rsidRPr="0046567B">
              <w:rPr>
                <w:lang w:bidi="fr-FR"/>
              </w:rPr>
              <w:tab/>
            </w:r>
            <w:r w:rsidRPr="0046567B">
              <w:rPr>
                <w:lang w:bidi="fr-FR"/>
              </w:rPr>
              <w:tab/>
            </w:r>
            <w:r w:rsidRPr="0046567B">
              <w:rPr>
                <w:lang w:val="fr-FR" w:bidi="fr-FR"/>
              </w:rPr>
              <w:t>Définition de la discrimination à l</w:t>
            </w:r>
            <w:r w:rsidR="00FB11B3" w:rsidRPr="0046567B">
              <w:rPr>
                <w:lang w:val="fr-FR" w:bidi="fr-FR"/>
              </w:rPr>
              <w:t>’</w:t>
            </w:r>
            <w:r w:rsidRPr="0046567B">
              <w:rPr>
                <w:lang w:val="fr-FR" w:bidi="fr-FR"/>
              </w:rPr>
              <w:t>égard des femmes dans l</w:t>
            </w:r>
            <w:r w:rsidR="00FB11B3" w:rsidRPr="0046567B">
              <w:rPr>
                <w:lang w:val="fr-FR" w:bidi="fr-FR"/>
              </w:rPr>
              <w:t>’</w:t>
            </w:r>
            <w:r w:rsidRPr="0046567B">
              <w:rPr>
                <w:lang w:val="fr-FR" w:bidi="fr-FR"/>
              </w:rPr>
              <w:t>ordonnance sur la discrimination sexuelle</w:t>
            </w:r>
            <w:r w:rsidRPr="0046567B">
              <w:rPr>
                <w:spacing w:val="60"/>
                <w:sz w:val="17"/>
                <w:lang w:val="fr-FR" w:bidi="fr-FR"/>
              </w:rPr>
              <w:tab/>
            </w:r>
          </w:p>
        </w:tc>
        <w:tc>
          <w:tcPr>
            <w:tcW w:w="994" w:type="dxa"/>
            <w:shd w:val="clear" w:color="auto" w:fill="auto"/>
            <w:vAlign w:val="bottom"/>
          </w:tcPr>
          <w:p w14:paraId="455167AE" w14:textId="098A63F9" w:rsidR="00A55DB4" w:rsidRPr="0046567B" w:rsidRDefault="00A55DB4" w:rsidP="00AB0B0B">
            <w:pPr>
              <w:spacing w:after="120"/>
              <w:ind w:right="40"/>
              <w:jc w:val="right"/>
              <w:rPr>
                <w:iCs/>
                <w:szCs w:val="20"/>
              </w:rPr>
            </w:pPr>
            <w:r w:rsidRPr="0046567B">
              <w:rPr>
                <w:iCs/>
                <w:szCs w:val="20"/>
              </w:rPr>
              <w:t>6</w:t>
            </w:r>
          </w:p>
        </w:tc>
        <w:tc>
          <w:tcPr>
            <w:tcW w:w="495" w:type="dxa"/>
            <w:shd w:val="clear" w:color="auto" w:fill="auto"/>
            <w:vAlign w:val="bottom"/>
          </w:tcPr>
          <w:p w14:paraId="5F035128" w14:textId="080F6DB1" w:rsidR="00A55DB4" w:rsidRPr="0046567B" w:rsidRDefault="008454D2" w:rsidP="00AB0B0B">
            <w:pPr>
              <w:spacing w:after="120"/>
              <w:ind w:right="40"/>
              <w:jc w:val="right"/>
              <w:rPr>
                <w:iCs/>
                <w:szCs w:val="20"/>
              </w:rPr>
            </w:pPr>
            <w:r w:rsidRPr="0046567B">
              <w:rPr>
                <w:iCs/>
                <w:szCs w:val="20"/>
              </w:rPr>
              <w:t>7</w:t>
            </w:r>
          </w:p>
        </w:tc>
      </w:tr>
      <w:tr w:rsidR="00A55DB4" w:rsidRPr="0046567B" w14:paraId="5BF8C0EF" w14:textId="77777777" w:rsidTr="00AB0B0B">
        <w:tc>
          <w:tcPr>
            <w:tcW w:w="8375" w:type="dxa"/>
            <w:gridSpan w:val="2"/>
            <w:shd w:val="clear" w:color="auto" w:fill="auto"/>
          </w:tcPr>
          <w:p w14:paraId="43E70BC8" w14:textId="2E891409" w:rsidR="00A55DB4" w:rsidRPr="0046567B" w:rsidRDefault="00A55DB4" w:rsidP="00A55DB4">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728" w:hanging="648"/>
              <w:rPr>
                <w:spacing w:val="60"/>
                <w:sz w:val="17"/>
                <w:lang w:bidi="fr-FR"/>
              </w:rPr>
            </w:pPr>
            <w:r w:rsidRPr="0046567B">
              <w:rPr>
                <w:lang w:bidi="fr-FR"/>
              </w:rPr>
              <w:tab/>
            </w:r>
            <w:r w:rsidRPr="0046567B">
              <w:rPr>
                <w:lang w:bidi="fr-FR"/>
              </w:rPr>
              <w:tab/>
            </w:r>
            <w:r w:rsidRPr="0046567B">
              <w:rPr>
                <w:lang w:val="fr-FR" w:bidi="fr-FR"/>
              </w:rPr>
              <w:t>Réserves et déclarations relatives à l</w:t>
            </w:r>
            <w:r w:rsidR="00FB11B3" w:rsidRPr="0046567B">
              <w:rPr>
                <w:lang w:val="fr-FR" w:bidi="fr-FR"/>
              </w:rPr>
              <w:t>’</w:t>
            </w:r>
            <w:r w:rsidRPr="0046567B">
              <w:rPr>
                <w:lang w:val="fr-FR" w:bidi="fr-FR"/>
              </w:rPr>
              <w:t>application de la Convention dans la Région administrative spéciale de Hong Kong</w:t>
            </w:r>
            <w:r w:rsidRPr="0046567B">
              <w:rPr>
                <w:spacing w:val="60"/>
                <w:sz w:val="17"/>
                <w:lang w:val="fr-FR" w:bidi="fr-FR"/>
              </w:rPr>
              <w:tab/>
            </w:r>
          </w:p>
        </w:tc>
        <w:tc>
          <w:tcPr>
            <w:tcW w:w="994" w:type="dxa"/>
            <w:shd w:val="clear" w:color="auto" w:fill="auto"/>
            <w:vAlign w:val="bottom"/>
          </w:tcPr>
          <w:p w14:paraId="11BBD6BE" w14:textId="52EFE030" w:rsidR="00A55DB4" w:rsidRPr="0046567B" w:rsidRDefault="008454D2" w:rsidP="00AB0B0B">
            <w:pPr>
              <w:spacing w:after="120"/>
              <w:ind w:right="40"/>
              <w:jc w:val="right"/>
              <w:rPr>
                <w:iCs/>
                <w:szCs w:val="20"/>
              </w:rPr>
            </w:pPr>
            <w:r w:rsidRPr="0046567B">
              <w:rPr>
                <w:iCs/>
                <w:szCs w:val="20"/>
              </w:rPr>
              <w:t>7</w:t>
            </w:r>
          </w:p>
        </w:tc>
        <w:tc>
          <w:tcPr>
            <w:tcW w:w="495" w:type="dxa"/>
            <w:shd w:val="clear" w:color="auto" w:fill="auto"/>
            <w:vAlign w:val="bottom"/>
          </w:tcPr>
          <w:p w14:paraId="6E29FDC1" w14:textId="5C169292" w:rsidR="00A55DB4" w:rsidRPr="0046567B" w:rsidRDefault="008454D2" w:rsidP="00AB0B0B">
            <w:pPr>
              <w:spacing w:after="120"/>
              <w:ind w:right="40"/>
              <w:jc w:val="right"/>
              <w:rPr>
                <w:iCs/>
                <w:szCs w:val="20"/>
              </w:rPr>
            </w:pPr>
            <w:r w:rsidRPr="0046567B">
              <w:rPr>
                <w:iCs/>
                <w:szCs w:val="20"/>
              </w:rPr>
              <w:t>8</w:t>
            </w:r>
          </w:p>
        </w:tc>
      </w:tr>
      <w:tr w:rsidR="00A55DB4" w:rsidRPr="0046567B" w14:paraId="22BDB149" w14:textId="77777777" w:rsidTr="00AB0B0B">
        <w:tc>
          <w:tcPr>
            <w:tcW w:w="8375" w:type="dxa"/>
            <w:gridSpan w:val="2"/>
            <w:shd w:val="clear" w:color="auto" w:fill="auto"/>
          </w:tcPr>
          <w:p w14:paraId="79C6595C" w14:textId="69EB1EF4" w:rsidR="00A55DB4" w:rsidRPr="0046567B" w:rsidRDefault="00A55DB4" w:rsidP="00A55DB4">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lang w:bidi="fr-FR"/>
              </w:rPr>
            </w:pPr>
            <w:r w:rsidRPr="0046567B">
              <w:rPr>
                <w:lang w:val="fr-FR" w:bidi="fr-FR"/>
              </w:rPr>
              <w:t xml:space="preserve">Article 2 </w:t>
            </w:r>
            <w:r w:rsidR="00297A31" w:rsidRPr="0046567B">
              <w:rPr>
                <w:lang w:val="fr-FR" w:bidi="fr-FR"/>
              </w:rPr>
              <w:t>–</w:t>
            </w:r>
            <w:r w:rsidRPr="0046567B">
              <w:rPr>
                <w:lang w:val="fr-FR" w:bidi="fr-FR"/>
              </w:rPr>
              <w:t xml:space="preserve"> Obligations des États parties</w:t>
            </w:r>
            <w:r w:rsidRPr="0046567B">
              <w:rPr>
                <w:spacing w:val="60"/>
                <w:sz w:val="17"/>
                <w:lang w:val="fr-FR" w:bidi="fr-FR"/>
              </w:rPr>
              <w:tab/>
            </w:r>
          </w:p>
        </w:tc>
        <w:tc>
          <w:tcPr>
            <w:tcW w:w="994" w:type="dxa"/>
            <w:shd w:val="clear" w:color="auto" w:fill="auto"/>
            <w:vAlign w:val="bottom"/>
          </w:tcPr>
          <w:p w14:paraId="495F170E" w14:textId="2DEF037D" w:rsidR="00A55DB4" w:rsidRPr="0046567B" w:rsidRDefault="008454D2" w:rsidP="00AB0B0B">
            <w:pPr>
              <w:spacing w:after="120"/>
              <w:ind w:right="40"/>
              <w:jc w:val="right"/>
              <w:rPr>
                <w:iCs/>
                <w:szCs w:val="20"/>
              </w:rPr>
            </w:pPr>
            <w:r w:rsidRPr="0046567B">
              <w:rPr>
                <w:iCs/>
                <w:szCs w:val="20"/>
              </w:rPr>
              <w:t>8-20</w:t>
            </w:r>
          </w:p>
        </w:tc>
        <w:tc>
          <w:tcPr>
            <w:tcW w:w="495" w:type="dxa"/>
            <w:shd w:val="clear" w:color="auto" w:fill="auto"/>
            <w:vAlign w:val="bottom"/>
          </w:tcPr>
          <w:p w14:paraId="60045F02" w14:textId="577876D0" w:rsidR="00A55DB4" w:rsidRPr="0046567B" w:rsidRDefault="008454D2" w:rsidP="00AB0B0B">
            <w:pPr>
              <w:spacing w:after="120"/>
              <w:ind w:right="40"/>
              <w:jc w:val="right"/>
              <w:rPr>
                <w:iCs/>
                <w:szCs w:val="20"/>
              </w:rPr>
            </w:pPr>
            <w:r w:rsidRPr="0046567B">
              <w:rPr>
                <w:iCs/>
                <w:szCs w:val="20"/>
              </w:rPr>
              <w:t>8</w:t>
            </w:r>
          </w:p>
        </w:tc>
      </w:tr>
      <w:tr w:rsidR="00A55DB4" w:rsidRPr="0046567B" w14:paraId="5BB9D9A8" w14:textId="77777777" w:rsidTr="00AB0B0B">
        <w:tc>
          <w:tcPr>
            <w:tcW w:w="8375" w:type="dxa"/>
            <w:gridSpan w:val="2"/>
            <w:shd w:val="clear" w:color="auto" w:fill="auto"/>
          </w:tcPr>
          <w:p w14:paraId="7D97263E" w14:textId="3433D56B" w:rsidR="00A55DB4" w:rsidRPr="0046567B" w:rsidRDefault="00A55DB4" w:rsidP="00A55DB4">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Loi fondamentale et Déclaration des droits de Hong Kong</w:t>
            </w:r>
            <w:r w:rsidRPr="0046567B">
              <w:rPr>
                <w:spacing w:val="60"/>
                <w:sz w:val="17"/>
                <w:lang w:val="fr-FR" w:bidi="fr-FR"/>
              </w:rPr>
              <w:tab/>
            </w:r>
          </w:p>
        </w:tc>
        <w:tc>
          <w:tcPr>
            <w:tcW w:w="994" w:type="dxa"/>
            <w:shd w:val="clear" w:color="auto" w:fill="auto"/>
            <w:vAlign w:val="bottom"/>
          </w:tcPr>
          <w:p w14:paraId="2AA31821" w14:textId="681DC9F7" w:rsidR="00A55DB4" w:rsidRPr="0046567B" w:rsidRDefault="008454D2" w:rsidP="00AB0B0B">
            <w:pPr>
              <w:spacing w:after="120"/>
              <w:ind w:right="40"/>
              <w:jc w:val="right"/>
              <w:rPr>
                <w:iCs/>
                <w:szCs w:val="20"/>
              </w:rPr>
            </w:pPr>
            <w:r w:rsidRPr="0046567B">
              <w:rPr>
                <w:iCs/>
                <w:szCs w:val="20"/>
              </w:rPr>
              <w:t>9</w:t>
            </w:r>
          </w:p>
        </w:tc>
        <w:tc>
          <w:tcPr>
            <w:tcW w:w="495" w:type="dxa"/>
            <w:shd w:val="clear" w:color="auto" w:fill="auto"/>
            <w:vAlign w:val="bottom"/>
          </w:tcPr>
          <w:p w14:paraId="4DE16A5A" w14:textId="4565A954" w:rsidR="00A55DB4" w:rsidRPr="0046567B" w:rsidRDefault="008454D2" w:rsidP="00AB0B0B">
            <w:pPr>
              <w:spacing w:after="120"/>
              <w:ind w:right="40"/>
              <w:jc w:val="right"/>
              <w:rPr>
                <w:iCs/>
                <w:szCs w:val="20"/>
              </w:rPr>
            </w:pPr>
            <w:r w:rsidRPr="0046567B">
              <w:rPr>
                <w:iCs/>
                <w:szCs w:val="20"/>
              </w:rPr>
              <w:t>8</w:t>
            </w:r>
          </w:p>
        </w:tc>
      </w:tr>
      <w:tr w:rsidR="00A55DB4" w:rsidRPr="0046567B" w14:paraId="4840B1B6" w14:textId="77777777" w:rsidTr="00AB0B0B">
        <w:tc>
          <w:tcPr>
            <w:tcW w:w="8375" w:type="dxa"/>
            <w:gridSpan w:val="2"/>
            <w:shd w:val="clear" w:color="auto" w:fill="auto"/>
          </w:tcPr>
          <w:p w14:paraId="4F9E94CF" w14:textId="4DB20963" w:rsidR="00A55DB4" w:rsidRPr="0046567B" w:rsidRDefault="00A55DB4" w:rsidP="00A55DB4">
            <w:pPr>
              <w:tabs>
                <w:tab w:val="left" w:pos="1296"/>
                <w:tab w:val="left" w:pos="1728"/>
                <w:tab w:val="left" w:pos="2160"/>
                <w:tab w:val="left" w:pos="2592"/>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Législation</w:t>
            </w:r>
            <w:r w:rsidRPr="0046567B">
              <w:rPr>
                <w:spacing w:val="60"/>
                <w:sz w:val="17"/>
                <w:lang w:val="fr-FR" w:bidi="fr-FR"/>
              </w:rPr>
              <w:tab/>
            </w:r>
          </w:p>
        </w:tc>
        <w:tc>
          <w:tcPr>
            <w:tcW w:w="994" w:type="dxa"/>
            <w:shd w:val="clear" w:color="auto" w:fill="auto"/>
            <w:vAlign w:val="bottom"/>
          </w:tcPr>
          <w:p w14:paraId="11BFA72A" w14:textId="4BCB9479" w:rsidR="00A55DB4" w:rsidRPr="0046567B" w:rsidRDefault="008454D2" w:rsidP="00AB0B0B">
            <w:pPr>
              <w:spacing w:after="120"/>
              <w:ind w:right="40"/>
              <w:jc w:val="right"/>
              <w:rPr>
                <w:iCs/>
                <w:szCs w:val="20"/>
              </w:rPr>
            </w:pPr>
            <w:r w:rsidRPr="0046567B">
              <w:rPr>
                <w:iCs/>
                <w:szCs w:val="20"/>
              </w:rPr>
              <w:t>10-12</w:t>
            </w:r>
          </w:p>
        </w:tc>
        <w:tc>
          <w:tcPr>
            <w:tcW w:w="495" w:type="dxa"/>
            <w:shd w:val="clear" w:color="auto" w:fill="auto"/>
            <w:vAlign w:val="bottom"/>
          </w:tcPr>
          <w:p w14:paraId="007CA132" w14:textId="5C0BB6A7" w:rsidR="00A55DB4" w:rsidRPr="0046567B" w:rsidRDefault="008454D2" w:rsidP="00AB0B0B">
            <w:pPr>
              <w:spacing w:after="120"/>
              <w:ind w:right="40"/>
              <w:jc w:val="right"/>
              <w:rPr>
                <w:iCs/>
                <w:szCs w:val="20"/>
              </w:rPr>
            </w:pPr>
            <w:r w:rsidRPr="0046567B">
              <w:rPr>
                <w:iCs/>
                <w:szCs w:val="20"/>
              </w:rPr>
              <w:t>8</w:t>
            </w:r>
          </w:p>
        </w:tc>
      </w:tr>
      <w:tr w:rsidR="00A55DB4" w:rsidRPr="0046567B" w14:paraId="6351424D" w14:textId="77777777" w:rsidTr="00AB0B0B">
        <w:tc>
          <w:tcPr>
            <w:tcW w:w="8375" w:type="dxa"/>
            <w:gridSpan w:val="2"/>
            <w:shd w:val="clear" w:color="auto" w:fill="auto"/>
          </w:tcPr>
          <w:p w14:paraId="0E6620F9" w14:textId="2F6A95CF" w:rsidR="00A55DB4" w:rsidRPr="0046567B" w:rsidRDefault="00A55DB4" w:rsidP="00A55DB4">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Commission de l</w:t>
            </w:r>
            <w:r w:rsidR="00FB11B3" w:rsidRPr="0046567B">
              <w:rPr>
                <w:lang w:val="fr-FR" w:bidi="fr-FR"/>
              </w:rPr>
              <w:t>’</w:t>
            </w:r>
            <w:r w:rsidRPr="0046567B">
              <w:rPr>
                <w:lang w:val="fr-FR" w:bidi="fr-FR"/>
              </w:rPr>
              <w:t>égalité des chances</w:t>
            </w:r>
            <w:r w:rsidRPr="0046567B">
              <w:rPr>
                <w:spacing w:val="60"/>
                <w:sz w:val="17"/>
                <w:lang w:val="fr-FR" w:bidi="fr-FR"/>
              </w:rPr>
              <w:tab/>
            </w:r>
          </w:p>
        </w:tc>
        <w:tc>
          <w:tcPr>
            <w:tcW w:w="994" w:type="dxa"/>
            <w:shd w:val="clear" w:color="auto" w:fill="auto"/>
            <w:vAlign w:val="bottom"/>
          </w:tcPr>
          <w:p w14:paraId="7F0BA6ED" w14:textId="5D027247" w:rsidR="00A55DB4" w:rsidRPr="0046567B" w:rsidRDefault="008454D2" w:rsidP="00AB0B0B">
            <w:pPr>
              <w:spacing w:after="120"/>
              <w:ind w:right="40"/>
              <w:jc w:val="right"/>
              <w:rPr>
                <w:iCs/>
                <w:szCs w:val="20"/>
              </w:rPr>
            </w:pPr>
            <w:r w:rsidRPr="0046567B">
              <w:rPr>
                <w:iCs/>
                <w:szCs w:val="20"/>
              </w:rPr>
              <w:t>13-15</w:t>
            </w:r>
          </w:p>
        </w:tc>
        <w:tc>
          <w:tcPr>
            <w:tcW w:w="495" w:type="dxa"/>
            <w:shd w:val="clear" w:color="auto" w:fill="auto"/>
            <w:vAlign w:val="bottom"/>
          </w:tcPr>
          <w:p w14:paraId="7D0FD452" w14:textId="41E6F053" w:rsidR="00A55DB4" w:rsidRPr="0046567B" w:rsidRDefault="008454D2" w:rsidP="00AB0B0B">
            <w:pPr>
              <w:spacing w:after="120"/>
              <w:ind w:right="40"/>
              <w:jc w:val="right"/>
              <w:rPr>
                <w:iCs/>
                <w:szCs w:val="20"/>
              </w:rPr>
            </w:pPr>
            <w:r w:rsidRPr="0046567B">
              <w:rPr>
                <w:iCs/>
                <w:szCs w:val="20"/>
              </w:rPr>
              <w:t>9</w:t>
            </w:r>
          </w:p>
        </w:tc>
      </w:tr>
      <w:tr w:rsidR="00A55DB4" w:rsidRPr="0046567B" w14:paraId="3199860D" w14:textId="77777777" w:rsidTr="00AB0B0B">
        <w:tc>
          <w:tcPr>
            <w:tcW w:w="8375" w:type="dxa"/>
            <w:gridSpan w:val="2"/>
            <w:shd w:val="clear" w:color="auto" w:fill="auto"/>
          </w:tcPr>
          <w:p w14:paraId="54CAD05A" w14:textId="15072C52" w:rsidR="00A55DB4" w:rsidRPr="0046567B" w:rsidRDefault="00A55DB4" w:rsidP="00A55DB4">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Commission de la femme</w:t>
            </w:r>
            <w:r w:rsidRPr="0046567B">
              <w:rPr>
                <w:spacing w:val="60"/>
                <w:sz w:val="17"/>
                <w:lang w:val="fr-FR" w:bidi="fr-FR"/>
              </w:rPr>
              <w:tab/>
            </w:r>
          </w:p>
        </w:tc>
        <w:tc>
          <w:tcPr>
            <w:tcW w:w="994" w:type="dxa"/>
            <w:shd w:val="clear" w:color="auto" w:fill="auto"/>
            <w:vAlign w:val="bottom"/>
          </w:tcPr>
          <w:p w14:paraId="03A7E8DC" w14:textId="52ADBAA0" w:rsidR="00A55DB4" w:rsidRPr="0046567B" w:rsidRDefault="008454D2" w:rsidP="00AB0B0B">
            <w:pPr>
              <w:spacing w:after="120"/>
              <w:ind w:right="40"/>
              <w:jc w:val="right"/>
              <w:rPr>
                <w:iCs/>
                <w:szCs w:val="20"/>
              </w:rPr>
            </w:pPr>
            <w:r w:rsidRPr="0046567B">
              <w:rPr>
                <w:iCs/>
                <w:szCs w:val="20"/>
              </w:rPr>
              <w:t>16-20</w:t>
            </w:r>
          </w:p>
        </w:tc>
        <w:tc>
          <w:tcPr>
            <w:tcW w:w="495" w:type="dxa"/>
            <w:shd w:val="clear" w:color="auto" w:fill="auto"/>
            <w:vAlign w:val="bottom"/>
          </w:tcPr>
          <w:p w14:paraId="5B9D036E" w14:textId="57A09535" w:rsidR="00A55DB4" w:rsidRPr="0046567B" w:rsidRDefault="008454D2" w:rsidP="00AB0B0B">
            <w:pPr>
              <w:spacing w:after="120"/>
              <w:ind w:right="40"/>
              <w:jc w:val="right"/>
              <w:rPr>
                <w:iCs/>
                <w:szCs w:val="20"/>
              </w:rPr>
            </w:pPr>
            <w:r w:rsidRPr="0046567B">
              <w:rPr>
                <w:iCs/>
                <w:szCs w:val="20"/>
              </w:rPr>
              <w:t>9</w:t>
            </w:r>
          </w:p>
        </w:tc>
      </w:tr>
      <w:tr w:rsidR="00A55DB4" w:rsidRPr="0046567B" w14:paraId="05282E69" w14:textId="77777777" w:rsidTr="00AB0B0B">
        <w:tc>
          <w:tcPr>
            <w:tcW w:w="8375" w:type="dxa"/>
            <w:gridSpan w:val="2"/>
            <w:shd w:val="clear" w:color="auto" w:fill="auto"/>
          </w:tcPr>
          <w:p w14:paraId="1627ACFE" w14:textId="2366F7FA" w:rsidR="00A55DB4" w:rsidRPr="0046567B" w:rsidRDefault="00A55DB4" w:rsidP="00A55DB4">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lang w:val="fr-FR" w:bidi="fr-FR"/>
              </w:rPr>
            </w:pPr>
            <w:r w:rsidRPr="0046567B">
              <w:rPr>
                <w:lang w:val="fr-FR" w:bidi="fr-FR"/>
              </w:rPr>
              <w:t>Article 3 – Mesures appropriées</w:t>
            </w:r>
            <w:r w:rsidRPr="0046567B">
              <w:rPr>
                <w:spacing w:val="60"/>
                <w:sz w:val="17"/>
                <w:lang w:val="fr-FR" w:bidi="fr-FR"/>
              </w:rPr>
              <w:tab/>
            </w:r>
          </w:p>
        </w:tc>
        <w:tc>
          <w:tcPr>
            <w:tcW w:w="994" w:type="dxa"/>
            <w:shd w:val="clear" w:color="auto" w:fill="auto"/>
            <w:vAlign w:val="bottom"/>
          </w:tcPr>
          <w:p w14:paraId="0B243FE7" w14:textId="4C418CF8" w:rsidR="00A55DB4" w:rsidRPr="0046567B" w:rsidRDefault="008454D2" w:rsidP="00AB0B0B">
            <w:pPr>
              <w:spacing w:after="120"/>
              <w:ind w:right="40"/>
              <w:jc w:val="right"/>
              <w:rPr>
                <w:iCs/>
                <w:szCs w:val="20"/>
              </w:rPr>
            </w:pPr>
            <w:r w:rsidRPr="0046567B">
              <w:rPr>
                <w:iCs/>
                <w:szCs w:val="20"/>
              </w:rPr>
              <w:t>21-27</w:t>
            </w:r>
          </w:p>
        </w:tc>
        <w:tc>
          <w:tcPr>
            <w:tcW w:w="495" w:type="dxa"/>
            <w:shd w:val="clear" w:color="auto" w:fill="auto"/>
            <w:vAlign w:val="bottom"/>
          </w:tcPr>
          <w:p w14:paraId="08B43A2B" w14:textId="552B5E93" w:rsidR="00A55DB4" w:rsidRPr="0046567B" w:rsidRDefault="008454D2" w:rsidP="00AB0B0B">
            <w:pPr>
              <w:spacing w:after="120"/>
              <w:ind w:right="40"/>
              <w:jc w:val="right"/>
              <w:rPr>
                <w:iCs/>
                <w:szCs w:val="20"/>
              </w:rPr>
            </w:pPr>
            <w:r w:rsidRPr="0046567B">
              <w:rPr>
                <w:iCs/>
                <w:szCs w:val="20"/>
              </w:rPr>
              <w:t>10</w:t>
            </w:r>
          </w:p>
        </w:tc>
      </w:tr>
      <w:tr w:rsidR="00A55DB4" w:rsidRPr="0046567B" w14:paraId="2FBAAD99" w14:textId="77777777" w:rsidTr="00AB0B0B">
        <w:tc>
          <w:tcPr>
            <w:tcW w:w="8375" w:type="dxa"/>
            <w:gridSpan w:val="2"/>
            <w:shd w:val="clear" w:color="auto" w:fill="auto"/>
          </w:tcPr>
          <w:p w14:paraId="4411F74D" w14:textId="064ACFA7" w:rsidR="00A55DB4" w:rsidRPr="0046567B" w:rsidRDefault="00A55DB4" w:rsidP="00A55DB4">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Intégration des questions de genre</w:t>
            </w:r>
            <w:r w:rsidRPr="0046567B">
              <w:rPr>
                <w:spacing w:val="60"/>
                <w:sz w:val="17"/>
                <w:lang w:val="fr-FR" w:bidi="fr-FR"/>
              </w:rPr>
              <w:tab/>
            </w:r>
          </w:p>
        </w:tc>
        <w:tc>
          <w:tcPr>
            <w:tcW w:w="994" w:type="dxa"/>
            <w:shd w:val="clear" w:color="auto" w:fill="auto"/>
            <w:vAlign w:val="bottom"/>
          </w:tcPr>
          <w:p w14:paraId="004921F6" w14:textId="0E06AACB" w:rsidR="00A55DB4" w:rsidRPr="0046567B" w:rsidRDefault="008454D2" w:rsidP="00AB0B0B">
            <w:pPr>
              <w:spacing w:after="120"/>
              <w:ind w:right="40"/>
              <w:jc w:val="right"/>
              <w:rPr>
                <w:iCs/>
                <w:szCs w:val="20"/>
              </w:rPr>
            </w:pPr>
            <w:r w:rsidRPr="0046567B">
              <w:rPr>
                <w:iCs/>
                <w:szCs w:val="20"/>
              </w:rPr>
              <w:t>21-23</w:t>
            </w:r>
          </w:p>
        </w:tc>
        <w:tc>
          <w:tcPr>
            <w:tcW w:w="495" w:type="dxa"/>
            <w:shd w:val="clear" w:color="auto" w:fill="auto"/>
            <w:vAlign w:val="bottom"/>
          </w:tcPr>
          <w:p w14:paraId="10A89DCE" w14:textId="273940CF" w:rsidR="00A55DB4" w:rsidRPr="0046567B" w:rsidRDefault="008454D2" w:rsidP="00AB0B0B">
            <w:pPr>
              <w:spacing w:after="120"/>
              <w:ind w:right="40"/>
              <w:jc w:val="right"/>
              <w:rPr>
                <w:iCs/>
                <w:szCs w:val="20"/>
              </w:rPr>
            </w:pPr>
            <w:r w:rsidRPr="0046567B">
              <w:rPr>
                <w:iCs/>
                <w:szCs w:val="20"/>
              </w:rPr>
              <w:t>10</w:t>
            </w:r>
          </w:p>
        </w:tc>
      </w:tr>
      <w:tr w:rsidR="00A55DB4" w:rsidRPr="0046567B" w14:paraId="3C6E48A1" w14:textId="77777777" w:rsidTr="00AB0B0B">
        <w:tc>
          <w:tcPr>
            <w:tcW w:w="8375" w:type="dxa"/>
            <w:gridSpan w:val="2"/>
            <w:shd w:val="clear" w:color="auto" w:fill="auto"/>
          </w:tcPr>
          <w:p w14:paraId="4F1900B7" w14:textId="75BFA776" w:rsidR="00A55DB4" w:rsidRPr="0046567B" w:rsidRDefault="00A55DB4" w:rsidP="00A55DB4">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Études, recherches et collecte de données sur les femmes</w:t>
            </w:r>
            <w:r w:rsidRPr="0046567B">
              <w:rPr>
                <w:spacing w:val="60"/>
                <w:sz w:val="17"/>
                <w:lang w:val="fr-FR" w:bidi="fr-FR"/>
              </w:rPr>
              <w:tab/>
            </w:r>
          </w:p>
        </w:tc>
        <w:tc>
          <w:tcPr>
            <w:tcW w:w="994" w:type="dxa"/>
            <w:shd w:val="clear" w:color="auto" w:fill="auto"/>
            <w:vAlign w:val="bottom"/>
          </w:tcPr>
          <w:p w14:paraId="0D3D3E88" w14:textId="0F6CF429" w:rsidR="00A55DB4" w:rsidRPr="0046567B" w:rsidRDefault="008454D2" w:rsidP="00AB0B0B">
            <w:pPr>
              <w:spacing w:after="120"/>
              <w:ind w:right="40"/>
              <w:jc w:val="right"/>
              <w:rPr>
                <w:iCs/>
                <w:szCs w:val="20"/>
              </w:rPr>
            </w:pPr>
            <w:r w:rsidRPr="0046567B">
              <w:rPr>
                <w:iCs/>
                <w:szCs w:val="20"/>
              </w:rPr>
              <w:t>24-27</w:t>
            </w:r>
          </w:p>
        </w:tc>
        <w:tc>
          <w:tcPr>
            <w:tcW w:w="495" w:type="dxa"/>
            <w:shd w:val="clear" w:color="auto" w:fill="auto"/>
            <w:vAlign w:val="bottom"/>
          </w:tcPr>
          <w:p w14:paraId="019496EA" w14:textId="59760EDC" w:rsidR="00A55DB4" w:rsidRPr="0046567B" w:rsidRDefault="008454D2" w:rsidP="00AB0B0B">
            <w:pPr>
              <w:spacing w:after="120"/>
              <w:ind w:right="40"/>
              <w:jc w:val="right"/>
              <w:rPr>
                <w:iCs/>
                <w:szCs w:val="20"/>
              </w:rPr>
            </w:pPr>
            <w:r w:rsidRPr="0046567B">
              <w:rPr>
                <w:iCs/>
                <w:szCs w:val="20"/>
              </w:rPr>
              <w:t>11</w:t>
            </w:r>
          </w:p>
        </w:tc>
      </w:tr>
      <w:tr w:rsidR="00A55DB4" w:rsidRPr="0046567B" w14:paraId="6F980843" w14:textId="77777777" w:rsidTr="00AB0B0B">
        <w:tc>
          <w:tcPr>
            <w:tcW w:w="8375" w:type="dxa"/>
            <w:gridSpan w:val="2"/>
            <w:shd w:val="clear" w:color="auto" w:fill="auto"/>
          </w:tcPr>
          <w:p w14:paraId="224ADA9C" w14:textId="2223C9B3" w:rsidR="00A55DB4" w:rsidRPr="0046567B" w:rsidRDefault="00A55DB4" w:rsidP="00A55DB4">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lang w:val="fr-FR" w:bidi="fr-FR"/>
              </w:rPr>
            </w:pPr>
            <w:r w:rsidRPr="0046567B">
              <w:rPr>
                <w:lang w:val="fr-FR" w:bidi="fr-FR"/>
              </w:rPr>
              <w:t>Article 4 – Mesures temporaires spéciales</w:t>
            </w:r>
            <w:r w:rsidRPr="0046567B">
              <w:rPr>
                <w:spacing w:val="60"/>
                <w:sz w:val="17"/>
                <w:lang w:val="fr-FR" w:bidi="fr-FR"/>
              </w:rPr>
              <w:tab/>
            </w:r>
          </w:p>
        </w:tc>
        <w:tc>
          <w:tcPr>
            <w:tcW w:w="994" w:type="dxa"/>
            <w:shd w:val="clear" w:color="auto" w:fill="auto"/>
            <w:vAlign w:val="bottom"/>
          </w:tcPr>
          <w:p w14:paraId="2CB15429" w14:textId="7DFB6A9C" w:rsidR="00A55DB4" w:rsidRPr="0046567B" w:rsidRDefault="008454D2" w:rsidP="00AB0B0B">
            <w:pPr>
              <w:spacing w:after="120"/>
              <w:ind w:right="40"/>
              <w:jc w:val="right"/>
              <w:rPr>
                <w:iCs/>
                <w:szCs w:val="20"/>
              </w:rPr>
            </w:pPr>
            <w:r w:rsidRPr="0046567B">
              <w:rPr>
                <w:iCs/>
                <w:szCs w:val="20"/>
              </w:rPr>
              <w:t>28</w:t>
            </w:r>
          </w:p>
        </w:tc>
        <w:tc>
          <w:tcPr>
            <w:tcW w:w="495" w:type="dxa"/>
            <w:shd w:val="clear" w:color="auto" w:fill="auto"/>
            <w:vAlign w:val="bottom"/>
          </w:tcPr>
          <w:p w14:paraId="29F6794B" w14:textId="78A9FB6F" w:rsidR="00A55DB4" w:rsidRPr="0046567B" w:rsidRDefault="008454D2" w:rsidP="00AB0B0B">
            <w:pPr>
              <w:spacing w:after="120"/>
              <w:ind w:right="40"/>
              <w:jc w:val="right"/>
              <w:rPr>
                <w:iCs/>
                <w:szCs w:val="20"/>
              </w:rPr>
            </w:pPr>
            <w:r w:rsidRPr="0046567B">
              <w:rPr>
                <w:iCs/>
                <w:szCs w:val="20"/>
              </w:rPr>
              <w:t>12</w:t>
            </w:r>
          </w:p>
        </w:tc>
      </w:tr>
      <w:tr w:rsidR="00A55DB4" w:rsidRPr="0046567B" w14:paraId="0EE86E85" w14:textId="77777777" w:rsidTr="00AB0B0B">
        <w:tc>
          <w:tcPr>
            <w:tcW w:w="8375" w:type="dxa"/>
            <w:gridSpan w:val="2"/>
            <w:shd w:val="clear" w:color="auto" w:fill="auto"/>
          </w:tcPr>
          <w:p w14:paraId="02382021" w14:textId="62F3FF4C" w:rsidR="00A55DB4" w:rsidRPr="0046567B" w:rsidRDefault="00A55DB4" w:rsidP="00A55DB4">
            <w:pPr>
              <w:tabs>
                <w:tab w:val="left" w:pos="1296"/>
                <w:tab w:val="left" w:pos="1728"/>
                <w:tab w:val="left" w:pos="216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r>
            <w:r w:rsidRPr="0046567B">
              <w:rPr>
                <w:rFonts w:hint="eastAsia"/>
                <w:lang w:val="fr-FR" w:bidi="fr-FR"/>
              </w:rPr>
              <w:t>Réserve</w:t>
            </w:r>
            <w:r w:rsidRPr="0046567B">
              <w:rPr>
                <w:spacing w:val="60"/>
                <w:sz w:val="17"/>
                <w:lang w:val="fr-FR" w:bidi="fr-FR"/>
              </w:rPr>
              <w:tab/>
            </w:r>
          </w:p>
        </w:tc>
        <w:tc>
          <w:tcPr>
            <w:tcW w:w="994" w:type="dxa"/>
            <w:shd w:val="clear" w:color="auto" w:fill="auto"/>
            <w:vAlign w:val="bottom"/>
          </w:tcPr>
          <w:p w14:paraId="3E354E3B" w14:textId="5D0C0A79" w:rsidR="00A55DB4" w:rsidRPr="0046567B" w:rsidRDefault="008454D2" w:rsidP="00AB0B0B">
            <w:pPr>
              <w:spacing w:after="120"/>
              <w:ind w:right="40"/>
              <w:jc w:val="right"/>
              <w:rPr>
                <w:iCs/>
                <w:szCs w:val="20"/>
              </w:rPr>
            </w:pPr>
            <w:r w:rsidRPr="0046567B">
              <w:rPr>
                <w:iCs/>
                <w:szCs w:val="20"/>
              </w:rPr>
              <w:t>28</w:t>
            </w:r>
          </w:p>
        </w:tc>
        <w:tc>
          <w:tcPr>
            <w:tcW w:w="495" w:type="dxa"/>
            <w:shd w:val="clear" w:color="auto" w:fill="auto"/>
            <w:vAlign w:val="bottom"/>
          </w:tcPr>
          <w:p w14:paraId="1E0708C7" w14:textId="79C8E725" w:rsidR="00A55DB4" w:rsidRPr="0046567B" w:rsidRDefault="008454D2" w:rsidP="00AB0B0B">
            <w:pPr>
              <w:spacing w:after="120"/>
              <w:ind w:right="40"/>
              <w:jc w:val="right"/>
              <w:rPr>
                <w:iCs/>
                <w:szCs w:val="20"/>
              </w:rPr>
            </w:pPr>
            <w:r w:rsidRPr="0046567B">
              <w:rPr>
                <w:iCs/>
                <w:szCs w:val="20"/>
              </w:rPr>
              <w:t>12</w:t>
            </w:r>
          </w:p>
        </w:tc>
      </w:tr>
      <w:tr w:rsidR="00A55DB4" w:rsidRPr="0046567B" w14:paraId="526E2A85" w14:textId="77777777" w:rsidTr="00AB0B0B">
        <w:tc>
          <w:tcPr>
            <w:tcW w:w="8375" w:type="dxa"/>
            <w:gridSpan w:val="2"/>
            <w:shd w:val="clear" w:color="auto" w:fill="auto"/>
          </w:tcPr>
          <w:p w14:paraId="2D5C5717" w14:textId="447A3ABE" w:rsidR="00A55DB4" w:rsidRPr="0046567B" w:rsidRDefault="00A55DB4" w:rsidP="00A55DB4">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lang w:val="fr-FR" w:bidi="fr-FR"/>
              </w:rPr>
            </w:pPr>
            <w:r w:rsidRPr="0046567B">
              <w:rPr>
                <w:lang w:val="fr-FR" w:bidi="fr-FR"/>
              </w:rPr>
              <w:t>Article 5 – Stéréotypes et préjugés</w:t>
            </w:r>
            <w:r w:rsidRPr="0046567B">
              <w:rPr>
                <w:spacing w:val="60"/>
                <w:sz w:val="17"/>
                <w:lang w:val="fr-FR" w:bidi="fr-FR"/>
              </w:rPr>
              <w:tab/>
            </w:r>
          </w:p>
        </w:tc>
        <w:tc>
          <w:tcPr>
            <w:tcW w:w="994" w:type="dxa"/>
            <w:shd w:val="clear" w:color="auto" w:fill="auto"/>
            <w:vAlign w:val="bottom"/>
          </w:tcPr>
          <w:p w14:paraId="4A85E4DF" w14:textId="211A5DDC" w:rsidR="00A55DB4" w:rsidRPr="0046567B" w:rsidRDefault="008454D2" w:rsidP="00AB0B0B">
            <w:pPr>
              <w:spacing w:after="120"/>
              <w:ind w:right="40"/>
              <w:jc w:val="right"/>
              <w:rPr>
                <w:iCs/>
                <w:szCs w:val="20"/>
              </w:rPr>
            </w:pPr>
            <w:r w:rsidRPr="0046567B">
              <w:rPr>
                <w:iCs/>
                <w:szCs w:val="20"/>
              </w:rPr>
              <w:t>29-48</w:t>
            </w:r>
          </w:p>
        </w:tc>
        <w:tc>
          <w:tcPr>
            <w:tcW w:w="495" w:type="dxa"/>
            <w:shd w:val="clear" w:color="auto" w:fill="auto"/>
            <w:vAlign w:val="bottom"/>
          </w:tcPr>
          <w:p w14:paraId="0DAA1ED9" w14:textId="65815A1B" w:rsidR="00A55DB4" w:rsidRPr="0046567B" w:rsidRDefault="008454D2" w:rsidP="00AB0B0B">
            <w:pPr>
              <w:spacing w:after="120"/>
              <w:ind w:right="40"/>
              <w:jc w:val="right"/>
              <w:rPr>
                <w:iCs/>
                <w:szCs w:val="20"/>
              </w:rPr>
            </w:pPr>
            <w:r w:rsidRPr="0046567B">
              <w:rPr>
                <w:iCs/>
                <w:szCs w:val="20"/>
              </w:rPr>
              <w:t>12</w:t>
            </w:r>
          </w:p>
        </w:tc>
      </w:tr>
      <w:tr w:rsidR="00A55DB4" w:rsidRPr="0046567B" w14:paraId="11172C6D" w14:textId="77777777" w:rsidTr="00AB0B0B">
        <w:tc>
          <w:tcPr>
            <w:tcW w:w="8375" w:type="dxa"/>
            <w:gridSpan w:val="2"/>
            <w:shd w:val="clear" w:color="auto" w:fill="auto"/>
          </w:tcPr>
          <w:p w14:paraId="308FE4D2" w14:textId="11FDC9E4" w:rsidR="00A55DB4" w:rsidRPr="0046567B" w:rsidRDefault="00A55DB4" w:rsidP="00A55DB4">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Révision des infractions sexuelles</w:t>
            </w:r>
            <w:r w:rsidRPr="0046567B">
              <w:rPr>
                <w:spacing w:val="60"/>
                <w:sz w:val="17"/>
                <w:lang w:val="fr-FR" w:bidi="fr-FR"/>
              </w:rPr>
              <w:tab/>
            </w:r>
          </w:p>
        </w:tc>
        <w:tc>
          <w:tcPr>
            <w:tcW w:w="994" w:type="dxa"/>
            <w:shd w:val="clear" w:color="auto" w:fill="auto"/>
            <w:vAlign w:val="bottom"/>
          </w:tcPr>
          <w:p w14:paraId="1B4A2036" w14:textId="19E9F94C" w:rsidR="00A55DB4" w:rsidRPr="0046567B" w:rsidRDefault="008454D2" w:rsidP="00AB0B0B">
            <w:pPr>
              <w:spacing w:after="120"/>
              <w:ind w:right="40"/>
              <w:jc w:val="right"/>
              <w:rPr>
                <w:iCs/>
                <w:szCs w:val="20"/>
              </w:rPr>
            </w:pPr>
            <w:r w:rsidRPr="0046567B">
              <w:rPr>
                <w:iCs/>
                <w:szCs w:val="20"/>
              </w:rPr>
              <w:t>29</w:t>
            </w:r>
          </w:p>
        </w:tc>
        <w:tc>
          <w:tcPr>
            <w:tcW w:w="495" w:type="dxa"/>
            <w:shd w:val="clear" w:color="auto" w:fill="auto"/>
            <w:vAlign w:val="bottom"/>
          </w:tcPr>
          <w:p w14:paraId="05C27BE1" w14:textId="4EC09981" w:rsidR="00A55DB4" w:rsidRPr="0046567B" w:rsidRDefault="008454D2" w:rsidP="00AB0B0B">
            <w:pPr>
              <w:spacing w:after="120"/>
              <w:ind w:right="40"/>
              <w:jc w:val="right"/>
              <w:rPr>
                <w:iCs/>
                <w:szCs w:val="20"/>
              </w:rPr>
            </w:pPr>
            <w:r w:rsidRPr="0046567B">
              <w:rPr>
                <w:iCs/>
                <w:szCs w:val="20"/>
              </w:rPr>
              <w:t>12</w:t>
            </w:r>
          </w:p>
        </w:tc>
      </w:tr>
      <w:tr w:rsidR="00A55DB4" w:rsidRPr="0046567B" w14:paraId="6CF6163A" w14:textId="77777777" w:rsidTr="00AB0B0B">
        <w:tc>
          <w:tcPr>
            <w:tcW w:w="8375" w:type="dxa"/>
            <w:gridSpan w:val="2"/>
            <w:shd w:val="clear" w:color="auto" w:fill="auto"/>
          </w:tcPr>
          <w:p w14:paraId="672D360A" w14:textId="4DEFB6B0" w:rsidR="00A55DB4" w:rsidRPr="0046567B" w:rsidRDefault="00A55DB4" w:rsidP="00A55DB4">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 xml:space="preserve">Mesures visant à </w:t>
            </w:r>
            <w:r w:rsidRPr="0046567B">
              <w:rPr>
                <w:rFonts w:hint="eastAsia"/>
                <w:lang w:val="fr-FR" w:bidi="fr-FR"/>
              </w:rPr>
              <w:t>éliminer</w:t>
            </w:r>
            <w:r w:rsidRPr="0046567B">
              <w:rPr>
                <w:lang w:val="fr-FR" w:bidi="fr-FR"/>
              </w:rPr>
              <w:t xml:space="preserve"> la discrimination fondée sur l</w:t>
            </w:r>
            <w:r w:rsidR="00FB11B3" w:rsidRPr="0046567B">
              <w:rPr>
                <w:lang w:val="fr-FR" w:bidi="fr-FR"/>
              </w:rPr>
              <w:t>’</w:t>
            </w:r>
            <w:r w:rsidRPr="0046567B">
              <w:rPr>
                <w:lang w:val="fr-FR" w:bidi="fr-FR"/>
              </w:rPr>
              <w:t>orientation sexuelle et l</w:t>
            </w:r>
            <w:r w:rsidR="00FB11B3" w:rsidRPr="0046567B">
              <w:rPr>
                <w:lang w:val="fr-FR" w:bidi="fr-FR"/>
              </w:rPr>
              <w:t>’</w:t>
            </w:r>
            <w:r w:rsidRPr="0046567B">
              <w:rPr>
                <w:lang w:val="fr-FR" w:bidi="fr-FR"/>
              </w:rPr>
              <w:t>identité de genre</w:t>
            </w:r>
            <w:r w:rsidRPr="0046567B">
              <w:rPr>
                <w:spacing w:val="60"/>
                <w:sz w:val="17"/>
                <w:lang w:val="fr-FR" w:bidi="fr-FR"/>
              </w:rPr>
              <w:tab/>
            </w:r>
          </w:p>
        </w:tc>
        <w:tc>
          <w:tcPr>
            <w:tcW w:w="994" w:type="dxa"/>
            <w:shd w:val="clear" w:color="auto" w:fill="auto"/>
            <w:vAlign w:val="bottom"/>
          </w:tcPr>
          <w:p w14:paraId="4C7F064F" w14:textId="3677A6BD" w:rsidR="00A55DB4" w:rsidRPr="0046567B" w:rsidRDefault="00617041" w:rsidP="00AB0B0B">
            <w:pPr>
              <w:spacing w:after="120"/>
              <w:ind w:right="40"/>
              <w:jc w:val="right"/>
              <w:rPr>
                <w:iCs/>
                <w:szCs w:val="20"/>
              </w:rPr>
            </w:pPr>
            <w:r w:rsidRPr="0046567B">
              <w:rPr>
                <w:iCs/>
                <w:szCs w:val="20"/>
              </w:rPr>
              <w:t>30-31</w:t>
            </w:r>
          </w:p>
        </w:tc>
        <w:tc>
          <w:tcPr>
            <w:tcW w:w="495" w:type="dxa"/>
            <w:shd w:val="clear" w:color="auto" w:fill="auto"/>
            <w:vAlign w:val="bottom"/>
          </w:tcPr>
          <w:p w14:paraId="4021D506" w14:textId="0772E551" w:rsidR="00A55DB4" w:rsidRPr="0046567B" w:rsidRDefault="00617041" w:rsidP="00AB0B0B">
            <w:pPr>
              <w:spacing w:after="120"/>
              <w:ind w:right="40"/>
              <w:jc w:val="right"/>
              <w:rPr>
                <w:iCs/>
                <w:szCs w:val="20"/>
              </w:rPr>
            </w:pPr>
            <w:r w:rsidRPr="0046567B">
              <w:rPr>
                <w:iCs/>
                <w:szCs w:val="20"/>
              </w:rPr>
              <w:t>12</w:t>
            </w:r>
          </w:p>
        </w:tc>
      </w:tr>
      <w:tr w:rsidR="00797231" w:rsidRPr="0046567B" w14:paraId="5BCF9FB6" w14:textId="77777777" w:rsidTr="00AB0B0B">
        <w:tc>
          <w:tcPr>
            <w:tcW w:w="8375" w:type="dxa"/>
            <w:gridSpan w:val="2"/>
            <w:shd w:val="clear" w:color="auto" w:fill="auto"/>
          </w:tcPr>
          <w:p w14:paraId="1E64BE32" w14:textId="5AD53DCB" w:rsidR="00797231" w:rsidRPr="0046567B" w:rsidRDefault="00797231" w:rsidP="00797231">
            <w:pPr>
              <w:tabs>
                <w:tab w:val="left" w:pos="1296"/>
                <w:tab w:val="left" w:pos="1728"/>
                <w:tab w:val="left" w:pos="2160"/>
                <w:tab w:val="left" w:pos="2592"/>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Sensibilisation</w:t>
            </w:r>
            <w:r w:rsidRPr="0046567B">
              <w:rPr>
                <w:spacing w:val="60"/>
                <w:sz w:val="17"/>
                <w:lang w:val="fr-FR" w:bidi="fr-FR"/>
              </w:rPr>
              <w:tab/>
            </w:r>
          </w:p>
        </w:tc>
        <w:tc>
          <w:tcPr>
            <w:tcW w:w="994" w:type="dxa"/>
            <w:shd w:val="clear" w:color="auto" w:fill="auto"/>
            <w:vAlign w:val="bottom"/>
          </w:tcPr>
          <w:p w14:paraId="19E148BA" w14:textId="29994218" w:rsidR="00797231" w:rsidRPr="0046567B" w:rsidRDefault="00617041" w:rsidP="00AB0B0B">
            <w:pPr>
              <w:spacing w:after="120"/>
              <w:ind w:right="40"/>
              <w:jc w:val="right"/>
              <w:rPr>
                <w:iCs/>
                <w:szCs w:val="20"/>
              </w:rPr>
            </w:pPr>
            <w:r w:rsidRPr="0046567B">
              <w:rPr>
                <w:iCs/>
                <w:szCs w:val="20"/>
              </w:rPr>
              <w:t>32</w:t>
            </w:r>
          </w:p>
        </w:tc>
        <w:tc>
          <w:tcPr>
            <w:tcW w:w="495" w:type="dxa"/>
            <w:shd w:val="clear" w:color="auto" w:fill="auto"/>
            <w:vAlign w:val="bottom"/>
          </w:tcPr>
          <w:p w14:paraId="72AFC2C3" w14:textId="6998AF59" w:rsidR="00797231" w:rsidRPr="0046567B" w:rsidRDefault="00617041" w:rsidP="00AB0B0B">
            <w:pPr>
              <w:spacing w:after="120"/>
              <w:ind w:right="40"/>
              <w:jc w:val="right"/>
              <w:rPr>
                <w:iCs/>
                <w:szCs w:val="20"/>
              </w:rPr>
            </w:pPr>
            <w:r w:rsidRPr="0046567B">
              <w:rPr>
                <w:iCs/>
                <w:szCs w:val="20"/>
              </w:rPr>
              <w:t>13</w:t>
            </w:r>
          </w:p>
        </w:tc>
      </w:tr>
      <w:tr w:rsidR="00A55DB4" w:rsidRPr="0046567B" w14:paraId="4984F0D5" w14:textId="77777777" w:rsidTr="00AB0B0B">
        <w:tc>
          <w:tcPr>
            <w:tcW w:w="8375" w:type="dxa"/>
            <w:gridSpan w:val="2"/>
            <w:shd w:val="clear" w:color="auto" w:fill="auto"/>
          </w:tcPr>
          <w:p w14:paraId="6B58F6D6" w14:textId="7AEA007A" w:rsidR="00A55DB4" w:rsidRPr="0046567B" w:rsidRDefault="00797231" w:rsidP="00797231">
            <w:pPr>
              <w:tabs>
                <w:tab w:val="left" w:pos="1296"/>
                <w:tab w:val="left" w:pos="1728"/>
                <w:tab w:val="left" w:pos="2160"/>
                <w:tab w:val="left" w:pos="2592"/>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Lutte contre la pornographie et les éléments de discrimination sexuelle dans les médias</w:t>
            </w:r>
            <w:r w:rsidRPr="0046567B">
              <w:rPr>
                <w:spacing w:val="60"/>
                <w:sz w:val="17"/>
                <w:lang w:val="fr-FR" w:bidi="fr-FR"/>
              </w:rPr>
              <w:tab/>
            </w:r>
          </w:p>
        </w:tc>
        <w:tc>
          <w:tcPr>
            <w:tcW w:w="994" w:type="dxa"/>
            <w:shd w:val="clear" w:color="auto" w:fill="auto"/>
            <w:vAlign w:val="bottom"/>
          </w:tcPr>
          <w:p w14:paraId="4F026DEC" w14:textId="02CD0369" w:rsidR="00A55DB4" w:rsidRPr="0046567B" w:rsidRDefault="00617041" w:rsidP="00AB0B0B">
            <w:pPr>
              <w:spacing w:after="120"/>
              <w:ind w:right="40"/>
              <w:jc w:val="right"/>
              <w:rPr>
                <w:iCs/>
                <w:szCs w:val="20"/>
              </w:rPr>
            </w:pPr>
            <w:r w:rsidRPr="0046567B">
              <w:rPr>
                <w:iCs/>
                <w:szCs w:val="20"/>
              </w:rPr>
              <w:t>33-35</w:t>
            </w:r>
          </w:p>
        </w:tc>
        <w:tc>
          <w:tcPr>
            <w:tcW w:w="495" w:type="dxa"/>
            <w:shd w:val="clear" w:color="auto" w:fill="auto"/>
            <w:vAlign w:val="bottom"/>
          </w:tcPr>
          <w:p w14:paraId="2B3FCC14" w14:textId="0F518108" w:rsidR="00A55DB4" w:rsidRPr="0046567B" w:rsidRDefault="00617041" w:rsidP="00AB0B0B">
            <w:pPr>
              <w:spacing w:after="120"/>
              <w:ind w:right="40"/>
              <w:jc w:val="right"/>
              <w:rPr>
                <w:iCs/>
                <w:szCs w:val="20"/>
              </w:rPr>
            </w:pPr>
            <w:r w:rsidRPr="0046567B">
              <w:rPr>
                <w:iCs/>
                <w:szCs w:val="20"/>
              </w:rPr>
              <w:t>13</w:t>
            </w:r>
          </w:p>
        </w:tc>
      </w:tr>
      <w:tr w:rsidR="00797231" w:rsidRPr="0046567B" w14:paraId="554CEB1F" w14:textId="77777777" w:rsidTr="00AB0B0B">
        <w:tc>
          <w:tcPr>
            <w:tcW w:w="8375" w:type="dxa"/>
            <w:gridSpan w:val="2"/>
            <w:shd w:val="clear" w:color="auto" w:fill="auto"/>
          </w:tcPr>
          <w:p w14:paraId="145D6596" w14:textId="52C53BAC"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Protection des femmes contre la violence</w:t>
            </w:r>
            <w:r w:rsidRPr="0046567B">
              <w:rPr>
                <w:spacing w:val="60"/>
                <w:sz w:val="17"/>
                <w:lang w:val="fr-FR" w:bidi="fr-FR"/>
              </w:rPr>
              <w:tab/>
            </w:r>
          </w:p>
        </w:tc>
        <w:tc>
          <w:tcPr>
            <w:tcW w:w="994" w:type="dxa"/>
            <w:shd w:val="clear" w:color="auto" w:fill="auto"/>
            <w:vAlign w:val="bottom"/>
          </w:tcPr>
          <w:p w14:paraId="5E0EDDEB" w14:textId="6BEE5122" w:rsidR="00797231" w:rsidRPr="0046567B" w:rsidRDefault="00617041" w:rsidP="00AB0B0B">
            <w:pPr>
              <w:spacing w:after="120"/>
              <w:ind w:right="40"/>
              <w:jc w:val="right"/>
              <w:rPr>
                <w:iCs/>
                <w:szCs w:val="20"/>
              </w:rPr>
            </w:pPr>
            <w:r w:rsidRPr="0046567B">
              <w:rPr>
                <w:iCs/>
                <w:szCs w:val="20"/>
              </w:rPr>
              <w:t>36-48</w:t>
            </w:r>
          </w:p>
        </w:tc>
        <w:tc>
          <w:tcPr>
            <w:tcW w:w="495" w:type="dxa"/>
            <w:shd w:val="clear" w:color="auto" w:fill="auto"/>
            <w:vAlign w:val="bottom"/>
          </w:tcPr>
          <w:p w14:paraId="7B646393" w14:textId="39211D13" w:rsidR="00797231" w:rsidRPr="0046567B" w:rsidRDefault="00617041" w:rsidP="00AB0B0B">
            <w:pPr>
              <w:spacing w:after="120"/>
              <w:ind w:right="40"/>
              <w:jc w:val="right"/>
              <w:rPr>
                <w:iCs/>
                <w:szCs w:val="20"/>
              </w:rPr>
            </w:pPr>
            <w:r w:rsidRPr="0046567B">
              <w:rPr>
                <w:iCs/>
                <w:szCs w:val="20"/>
              </w:rPr>
              <w:t>13</w:t>
            </w:r>
          </w:p>
        </w:tc>
      </w:tr>
      <w:tr w:rsidR="00797231" w:rsidRPr="0046567B" w14:paraId="4FF7D292" w14:textId="77777777" w:rsidTr="00AB0B0B">
        <w:tc>
          <w:tcPr>
            <w:tcW w:w="8375" w:type="dxa"/>
            <w:gridSpan w:val="2"/>
            <w:shd w:val="clear" w:color="auto" w:fill="auto"/>
          </w:tcPr>
          <w:p w14:paraId="173A5A5D" w14:textId="63DE6EBD" w:rsidR="00797231" w:rsidRPr="0046567B" w:rsidRDefault="00797231" w:rsidP="00797231">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lang w:val="fr-FR" w:bidi="fr-FR"/>
              </w:rPr>
            </w:pPr>
            <w:r w:rsidRPr="0046567B">
              <w:rPr>
                <w:lang w:val="fr-FR" w:bidi="fr-FR"/>
              </w:rPr>
              <w:t xml:space="preserve">Article 6 </w:t>
            </w:r>
            <w:r w:rsidR="00297A31" w:rsidRPr="0046567B">
              <w:rPr>
                <w:lang w:val="fr-FR" w:bidi="fr-FR"/>
              </w:rPr>
              <w:t>–</w:t>
            </w:r>
            <w:r w:rsidRPr="0046567B">
              <w:rPr>
                <w:lang w:val="fr-FR" w:bidi="fr-FR"/>
              </w:rPr>
              <w:t xml:space="preserve"> Exploitation des femmes</w:t>
            </w:r>
            <w:r w:rsidRPr="0046567B">
              <w:rPr>
                <w:spacing w:val="60"/>
                <w:sz w:val="17"/>
                <w:lang w:val="fr-FR" w:bidi="fr-FR"/>
              </w:rPr>
              <w:tab/>
            </w:r>
          </w:p>
        </w:tc>
        <w:tc>
          <w:tcPr>
            <w:tcW w:w="994" w:type="dxa"/>
            <w:shd w:val="clear" w:color="auto" w:fill="auto"/>
            <w:vAlign w:val="bottom"/>
          </w:tcPr>
          <w:p w14:paraId="34A95483" w14:textId="795C800D" w:rsidR="00797231" w:rsidRPr="0046567B" w:rsidRDefault="00617041" w:rsidP="00AB0B0B">
            <w:pPr>
              <w:spacing w:after="120"/>
              <w:ind w:right="40"/>
              <w:jc w:val="right"/>
              <w:rPr>
                <w:iCs/>
                <w:szCs w:val="20"/>
              </w:rPr>
            </w:pPr>
            <w:r w:rsidRPr="0046567B">
              <w:rPr>
                <w:iCs/>
                <w:szCs w:val="20"/>
              </w:rPr>
              <w:t>49-63</w:t>
            </w:r>
          </w:p>
        </w:tc>
        <w:tc>
          <w:tcPr>
            <w:tcW w:w="495" w:type="dxa"/>
            <w:shd w:val="clear" w:color="auto" w:fill="auto"/>
            <w:vAlign w:val="bottom"/>
          </w:tcPr>
          <w:p w14:paraId="5F1BFE4E" w14:textId="31871E2B" w:rsidR="00797231" w:rsidRPr="0046567B" w:rsidRDefault="00617041" w:rsidP="00AB0B0B">
            <w:pPr>
              <w:spacing w:after="120"/>
              <w:ind w:right="40"/>
              <w:jc w:val="right"/>
              <w:rPr>
                <w:iCs/>
                <w:szCs w:val="20"/>
              </w:rPr>
            </w:pPr>
            <w:r w:rsidRPr="0046567B">
              <w:rPr>
                <w:iCs/>
                <w:szCs w:val="20"/>
              </w:rPr>
              <w:t>16</w:t>
            </w:r>
          </w:p>
        </w:tc>
      </w:tr>
      <w:tr w:rsidR="00797231" w:rsidRPr="0046567B" w14:paraId="28C2AB50" w14:textId="77777777" w:rsidTr="00AB0B0B">
        <w:tc>
          <w:tcPr>
            <w:tcW w:w="8375" w:type="dxa"/>
            <w:gridSpan w:val="2"/>
            <w:shd w:val="clear" w:color="auto" w:fill="auto"/>
          </w:tcPr>
          <w:p w14:paraId="5B15317D" w14:textId="4E2511B3" w:rsidR="00797231" w:rsidRPr="0046567B" w:rsidRDefault="00797231" w:rsidP="00797231">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Prostitution et traite des femmes</w:t>
            </w:r>
            <w:r w:rsidRPr="0046567B">
              <w:rPr>
                <w:spacing w:val="60"/>
                <w:sz w:val="17"/>
                <w:lang w:val="fr-FR" w:bidi="fr-FR"/>
              </w:rPr>
              <w:tab/>
            </w:r>
          </w:p>
        </w:tc>
        <w:tc>
          <w:tcPr>
            <w:tcW w:w="994" w:type="dxa"/>
            <w:shd w:val="clear" w:color="auto" w:fill="auto"/>
            <w:vAlign w:val="bottom"/>
          </w:tcPr>
          <w:p w14:paraId="571860C0" w14:textId="0ED963CE" w:rsidR="00797231" w:rsidRPr="0046567B" w:rsidRDefault="00617041" w:rsidP="00AB0B0B">
            <w:pPr>
              <w:spacing w:after="120"/>
              <w:ind w:right="40"/>
              <w:jc w:val="right"/>
              <w:rPr>
                <w:iCs/>
                <w:szCs w:val="20"/>
              </w:rPr>
            </w:pPr>
            <w:r w:rsidRPr="0046567B">
              <w:rPr>
                <w:iCs/>
                <w:szCs w:val="20"/>
              </w:rPr>
              <w:t>49-63</w:t>
            </w:r>
          </w:p>
        </w:tc>
        <w:tc>
          <w:tcPr>
            <w:tcW w:w="495" w:type="dxa"/>
            <w:shd w:val="clear" w:color="auto" w:fill="auto"/>
            <w:vAlign w:val="bottom"/>
          </w:tcPr>
          <w:p w14:paraId="5D448582" w14:textId="505D7D21" w:rsidR="00797231" w:rsidRPr="0046567B" w:rsidRDefault="00617041" w:rsidP="00AB0B0B">
            <w:pPr>
              <w:spacing w:after="120"/>
              <w:ind w:right="40"/>
              <w:jc w:val="right"/>
              <w:rPr>
                <w:iCs/>
                <w:szCs w:val="20"/>
              </w:rPr>
            </w:pPr>
            <w:r w:rsidRPr="0046567B">
              <w:rPr>
                <w:iCs/>
                <w:szCs w:val="20"/>
              </w:rPr>
              <w:t>16</w:t>
            </w:r>
          </w:p>
        </w:tc>
      </w:tr>
      <w:tr w:rsidR="00797231" w:rsidRPr="0046567B" w14:paraId="7195F82E" w14:textId="77777777" w:rsidTr="00AB0B0B">
        <w:tc>
          <w:tcPr>
            <w:tcW w:w="8375" w:type="dxa"/>
            <w:gridSpan w:val="2"/>
            <w:shd w:val="clear" w:color="auto" w:fill="auto"/>
          </w:tcPr>
          <w:p w14:paraId="3F60FE4D" w14:textId="3C610CD4"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left="1728" w:hanging="648"/>
              <w:rPr>
                <w:spacing w:val="60"/>
                <w:sz w:val="17"/>
                <w:lang w:val="fr-FR" w:bidi="fr-FR"/>
              </w:rPr>
            </w:pPr>
            <w:r w:rsidRPr="0046567B">
              <w:rPr>
                <w:lang w:val="fr-FR" w:bidi="fr-FR"/>
              </w:rPr>
              <w:t>Article 7 – Égalité dans la vie politique et publique au niveau national</w:t>
            </w:r>
            <w:r w:rsidRPr="0046567B">
              <w:rPr>
                <w:spacing w:val="60"/>
                <w:sz w:val="17"/>
                <w:lang w:val="fr-FR" w:bidi="fr-FR"/>
              </w:rPr>
              <w:tab/>
            </w:r>
          </w:p>
        </w:tc>
        <w:tc>
          <w:tcPr>
            <w:tcW w:w="994" w:type="dxa"/>
            <w:shd w:val="clear" w:color="auto" w:fill="auto"/>
            <w:vAlign w:val="bottom"/>
          </w:tcPr>
          <w:p w14:paraId="0708A505" w14:textId="761A256C" w:rsidR="00797231" w:rsidRPr="0046567B" w:rsidRDefault="00617041" w:rsidP="00AB0B0B">
            <w:pPr>
              <w:spacing w:after="120"/>
              <w:ind w:right="40"/>
              <w:jc w:val="right"/>
              <w:rPr>
                <w:iCs/>
                <w:szCs w:val="20"/>
              </w:rPr>
            </w:pPr>
            <w:r w:rsidRPr="0046567B">
              <w:rPr>
                <w:iCs/>
                <w:szCs w:val="20"/>
              </w:rPr>
              <w:t>64-70</w:t>
            </w:r>
          </w:p>
        </w:tc>
        <w:tc>
          <w:tcPr>
            <w:tcW w:w="495" w:type="dxa"/>
            <w:shd w:val="clear" w:color="auto" w:fill="auto"/>
            <w:vAlign w:val="bottom"/>
          </w:tcPr>
          <w:p w14:paraId="71AF6A82" w14:textId="1C42A6B3" w:rsidR="00797231" w:rsidRPr="0046567B" w:rsidRDefault="00617041" w:rsidP="00AB0B0B">
            <w:pPr>
              <w:spacing w:after="120"/>
              <w:ind w:right="40"/>
              <w:jc w:val="right"/>
              <w:rPr>
                <w:iCs/>
                <w:szCs w:val="20"/>
              </w:rPr>
            </w:pPr>
            <w:r w:rsidRPr="0046567B">
              <w:rPr>
                <w:iCs/>
                <w:szCs w:val="20"/>
              </w:rPr>
              <w:t>19</w:t>
            </w:r>
          </w:p>
        </w:tc>
      </w:tr>
      <w:tr w:rsidR="00797231" w:rsidRPr="0046567B" w14:paraId="4626A280" w14:textId="77777777" w:rsidTr="00AB0B0B">
        <w:tc>
          <w:tcPr>
            <w:tcW w:w="8375" w:type="dxa"/>
            <w:gridSpan w:val="2"/>
            <w:shd w:val="clear" w:color="auto" w:fill="auto"/>
          </w:tcPr>
          <w:p w14:paraId="6B24E00D" w14:textId="21E8B5B0"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au sein du Conseil législatif et des conseils de district, le Comité électoral et l</w:t>
            </w:r>
            <w:r w:rsidR="00FB11B3" w:rsidRPr="0046567B">
              <w:rPr>
                <w:lang w:val="fr-FR" w:bidi="fr-FR"/>
              </w:rPr>
              <w:t>’</w:t>
            </w:r>
            <w:r w:rsidRPr="0046567B">
              <w:rPr>
                <w:lang w:val="fr-FR" w:bidi="fr-FR"/>
              </w:rPr>
              <w:t>élection au poste de Chef de l</w:t>
            </w:r>
            <w:r w:rsidR="00FB11B3" w:rsidRPr="0046567B">
              <w:rPr>
                <w:lang w:val="fr-FR" w:bidi="fr-FR"/>
              </w:rPr>
              <w:t>’</w:t>
            </w:r>
            <w:r w:rsidRPr="0046567B">
              <w:rPr>
                <w:lang w:val="fr-FR" w:bidi="fr-FR"/>
              </w:rPr>
              <w:t>exécutif de la Région administrative spéciale de Hong Kong</w:t>
            </w:r>
            <w:r w:rsidRPr="0046567B">
              <w:rPr>
                <w:spacing w:val="60"/>
                <w:sz w:val="17"/>
                <w:lang w:val="fr-FR" w:bidi="fr-FR"/>
              </w:rPr>
              <w:tab/>
            </w:r>
          </w:p>
        </w:tc>
        <w:tc>
          <w:tcPr>
            <w:tcW w:w="994" w:type="dxa"/>
            <w:shd w:val="clear" w:color="auto" w:fill="auto"/>
            <w:vAlign w:val="bottom"/>
          </w:tcPr>
          <w:p w14:paraId="00B4370E" w14:textId="77AD48B4" w:rsidR="00797231" w:rsidRPr="0046567B" w:rsidRDefault="00617041" w:rsidP="00AB0B0B">
            <w:pPr>
              <w:spacing w:after="120"/>
              <w:ind w:right="40"/>
              <w:jc w:val="right"/>
              <w:rPr>
                <w:iCs/>
                <w:szCs w:val="20"/>
              </w:rPr>
            </w:pPr>
            <w:r w:rsidRPr="0046567B">
              <w:rPr>
                <w:iCs/>
                <w:szCs w:val="20"/>
              </w:rPr>
              <w:t>64-66</w:t>
            </w:r>
          </w:p>
        </w:tc>
        <w:tc>
          <w:tcPr>
            <w:tcW w:w="495" w:type="dxa"/>
            <w:shd w:val="clear" w:color="auto" w:fill="auto"/>
            <w:vAlign w:val="bottom"/>
          </w:tcPr>
          <w:p w14:paraId="1CB0CFF5" w14:textId="69733DEC" w:rsidR="00797231" w:rsidRPr="0046567B" w:rsidRDefault="00617041" w:rsidP="00AB0B0B">
            <w:pPr>
              <w:spacing w:after="120"/>
              <w:ind w:right="40"/>
              <w:jc w:val="right"/>
              <w:rPr>
                <w:iCs/>
                <w:szCs w:val="20"/>
              </w:rPr>
            </w:pPr>
            <w:r w:rsidRPr="0046567B">
              <w:rPr>
                <w:iCs/>
                <w:szCs w:val="20"/>
              </w:rPr>
              <w:t>19</w:t>
            </w:r>
          </w:p>
        </w:tc>
      </w:tr>
      <w:tr w:rsidR="00797231" w:rsidRPr="0046567B" w14:paraId="0B981131" w14:textId="77777777" w:rsidTr="00AB0B0B">
        <w:tc>
          <w:tcPr>
            <w:tcW w:w="8375" w:type="dxa"/>
            <w:gridSpan w:val="2"/>
            <w:shd w:val="clear" w:color="auto" w:fill="auto"/>
          </w:tcPr>
          <w:p w14:paraId="255CA2A2" w14:textId="6BA4F613"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au sein du Conseil exécutif</w:t>
            </w:r>
            <w:r w:rsidRPr="0046567B">
              <w:rPr>
                <w:spacing w:val="60"/>
                <w:sz w:val="17"/>
                <w:lang w:val="fr-FR" w:bidi="fr-FR"/>
              </w:rPr>
              <w:tab/>
            </w:r>
          </w:p>
        </w:tc>
        <w:tc>
          <w:tcPr>
            <w:tcW w:w="994" w:type="dxa"/>
            <w:shd w:val="clear" w:color="auto" w:fill="auto"/>
            <w:vAlign w:val="bottom"/>
          </w:tcPr>
          <w:p w14:paraId="6DD7F658" w14:textId="054D508A" w:rsidR="00797231" w:rsidRPr="0046567B" w:rsidRDefault="00617041" w:rsidP="00AB0B0B">
            <w:pPr>
              <w:spacing w:after="120"/>
              <w:ind w:right="40"/>
              <w:jc w:val="right"/>
              <w:rPr>
                <w:iCs/>
                <w:szCs w:val="20"/>
              </w:rPr>
            </w:pPr>
            <w:r w:rsidRPr="0046567B">
              <w:rPr>
                <w:iCs/>
                <w:szCs w:val="20"/>
              </w:rPr>
              <w:t>67</w:t>
            </w:r>
          </w:p>
        </w:tc>
        <w:tc>
          <w:tcPr>
            <w:tcW w:w="495" w:type="dxa"/>
            <w:shd w:val="clear" w:color="auto" w:fill="auto"/>
            <w:vAlign w:val="bottom"/>
          </w:tcPr>
          <w:p w14:paraId="1112717A" w14:textId="0C99B928" w:rsidR="00797231" w:rsidRPr="0046567B" w:rsidRDefault="00617041" w:rsidP="00AB0B0B">
            <w:pPr>
              <w:spacing w:after="120"/>
              <w:ind w:right="40"/>
              <w:jc w:val="right"/>
              <w:rPr>
                <w:iCs/>
                <w:szCs w:val="20"/>
              </w:rPr>
            </w:pPr>
            <w:r w:rsidRPr="0046567B">
              <w:rPr>
                <w:iCs/>
                <w:szCs w:val="20"/>
              </w:rPr>
              <w:t>20</w:t>
            </w:r>
          </w:p>
        </w:tc>
      </w:tr>
      <w:tr w:rsidR="00797231" w:rsidRPr="0046567B" w14:paraId="229D8658" w14:textId="77777777" w:rsidTr="00AB0B0B">
        <w:tc>
          <w:tcPr>
            <w:tcW w:w="8375" w:type="dxa"/>
            <w:gridSpan w:val="2"/>
            <w:shd w:val="clear" w:color="auto" w:fill="auto"/>
          </w:tcPr>
          <w:p w14:paraId="0C4BA6A7" w14:textId="4A7C09C4"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dans les élections rurales</w:t>
            </w:r>
            <w:r w:rsidRPr="0046567B">
              <w:rPr>
                <w:spacing w:val="60"/>
                <w:sz w:val="17"/>
                <w:lang w:val="fr-FR" w:bidi="fr-FR"/>
              </w:rPr>
              <w:tab/>
            </w:r>
          </w:p>
        </w:tc>
        <w:tc>
          <w:tcPr>
            <w:tcW w:w="994" w:type="dxa"/>
            <w:shd w:val="clear" w:color="auto" w:fill="auto"/>
            <w:vAlign w:val="bottom"/>
          </w:tcPr>
          <w:p w14:paraId="4D451E79" w14:textId="567735FA" w:rsidR="00797231" w:rsidRPr="0046567B" w:rsidRDefault="00617041" w:rsidP="00AB0B0B">
            <w:pPr>
              <w:spacing w:after="120"/>
              <w:ind w:right="40"/>
              <w:jc w:val="right"/>
              <w:rPr>
                <w:iCs/>
                <w:szCs w:val="20"/>
              </w:rPr>
            </w:pPr>
            <w:r w:rsidRPr="0046567B">
              <w:rPr>
                <w:iCs/>
                <w:szCs w:val="20"/>
              </w:rPr>
              <w:t>68</w:t>
            </w:r>
          </w:p>
        </w:tc>
        <w:tc>
          <w:tcPr>
            <w:tcW w:w="495" w:type="dxa"/>
            <w:shd w:val="clear" w:color="auto" w:fill="auto"/>
            <w:vAlign w:val="bottom"/>
          </w:tcPr>
          <w:p w14:paraId="6FAEDE92" w14:textId="23E682BB" w:rsidR="00797231" w:rsidRPr="0046567B" w:rsidRDefault="00617041" w:rsidP="00AB0B0B">
            <w:pPr>
              <w:spacing w:after="120"/>
              <w:ind w:right="40"/>
              <w:jc w:val="right"/>
              <w:rPr>
                <w:iCs/>
                <w:szCs w:val="20"/>
              </w:rPr>
            </w:pPr>
            <w:r w:rsidRPr="0046567B">
              <w:rPr>
                <w:iCs/>
                <w:szCs w:val="20"/>
              </w:rPr>
              <w:t>20</w:t>
            </w:r>
          </w:p>
        </w:tc>
      </w:tr>
      <w:tr w:rsidR="00797231" w:rsidRPr="0046567B" w14:paraId="296743C1" w14:textId="77777777" w:rsidTr="00AB0B0B">
        <w:tc>
          <w:tcPr>
            <w:tcW w:w="8375" w:type="dxa"/>
            <w:gridSpan w:val="2"/>
            <w:shd w:val="clear" w:color="auto" w:fill="auto"/>
          </w:tcPr>
          <w:p w14:paraId="398449D1" w14:textId="7050BCC5"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dans les organes consultatifs et statutaires</w:t>
            </w:r>
            <w:r w:rsidRPr="0046567B">
              <w:rPr>
                <w:spacing w:val="60"/>
                <w:sz w:val="17"/>
                <w:lang w:val="fr-FR" w:bidi="fr-FR"/>
              </w:rPr>
              <w:tab/>
            </w:r>
          </w:p>
        </w:tc>
        <w:tc>
          <w:tcPr>
            <w:tcW w:w="994" w:type="dxa"/>
            <w:shd w:val="clear" w:color="auto" w:fill="auto"/>
            <w:vAlign w:val="bottom"/>
          </w:tcPr>
          <w:p w14:paraId="2310B9AF" w14:textId="190FF23C" w:rsidR="00797231" w:rsidRPr="0046567B" w:rsidRDefault="00617041" w:rsidP="00AB0B0B">
            <w:pPr>
              <w:spacing w:after="120"/>
              <w:ind w:right="40"/>
              <w:jc w:val="right"/>
              <w:rPr>
                <w:iCs/>
                <w:szCs w:val="20"/>
              </w:rPr>
            </w:pPr>
            <w:r w:rsidRPr="0046567B">
              <w:rPr>
                <w:iCs/>
                <w:szCs w:val="20"/>
              </w:rPr>
              <w:t>69</w:t>
            </w:r>
          </w:p>
        </w:tc>
        <w:tc>
          <w:tcPr>
            <w:tcW w:w="495" w:type="dxa"/>
            <w:shd w:val="clear" w:color="auto" w:fill="auto"/>
            <w:vAlign w:val="bottom"/>
          </w:tcPr>
          <w:p w14:paraId="53B0317C" w14:textId="655309A7" w:rsidR="00797231" w:rsidRPr="0046567B" w:rsidRDefault="00617041" w:rsidP="00AB0B0B">
            <w:pPr>
              <w:spacing w:after="120"/>
              <w:ind w:right="40"/>
              <w:jc w:val="right"/>
              <w:rPr>
                <w:iCs/>
                <w:szCs w:val="20"/>
              </w:rPr>
            </w:pPr>
            <w:r w:rsidRPr="0046567B">
              <w:rPr>
                <w:iCs/>
                <w:szCs w:val="20"/>
              </w:rPr>
              <w:t>20</w:t>
            </w:r>
          </w:p>
        </w:tc>
      </w:tr>
      <w:tr w:rsidR="00797231" w:rsidRPr="0046567B" w14:paraId="2EFA23CE" w14:textId="77777777" w:rsidTr="00AB0B0B">
        <w:tc>
          <w:tcPr>
            <w:tcW w:w="8375" w:type="dxa"/>
            <w:gridSpan w:val="2"/>
            <w:shd w:val="clear" w:color="auto" w:fill="auto"/>
          </w:tcPr>
          <w:p w14:paraId="6226029D" w14:textId="70914CF5"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dans la fonction publique</w:t>
            </w:r>
            <w:r w:rsidRPr="0046567B">
              <w:rPr>
                <w:spacing w:val="60"/>
                <w:sz w:val="17"/>
                <w:lang w:val="fr-FR" w:bidi="fr-FR"/>
              </w:rPr>
              <w:tab/>
            </w:r>
          </w:p>
        </w:tc>
        <w:tc>
          <w:tcPr>
            <w:tcW w:w="994" w:type="dxa"/>
            <w:shd w:val="clear" w:color="auto" w:fill="auto"/>
            <w:vAlign w:val="bottom"/>
          </w:tcPr>
          <w:p w14:paraId="673F267C" w14:textId="2F16B3F1" w:rsidR="00797231" w:rsidRPr="0046567B" w:rsidRDefault="00617041" w:rsidP="00AB0B0B">
            <w:pPr>
              <w:spacing w:after="120"/>
              <w:ind w:right="40"/>
              <w:jc w:val="right"/>
              <w:rPr>
                <w:iCs/>
                <w:szCs w:val="20"/>
              </w:rPr>
            </w:pPr>
            <w:r w:rsidRPr="0046567B">
              <w:rPr>
                <w:iCs/>
                <w:szCs w:val="20"/>
              </w:rPr>
              <w:t>70</w:t>
            </w:r>
          </w:p>
        </w:tc>
        <w:tc>
          <w:tcPr>
            <w:tcW w:w="495" w:type="dxa"/>
            <w:shd w:val="clear" w:color="auto" w:fill="auto"/>
            <w:vAlign w:val="bottom"/>
          </w:tcPr>
          <w:p w14:paraId="7CB460FF" w14:textId="2A52D9E4" w:rsidR="00797231" w:rsidRPr="0046567B" w:rsidRDefault="00617041" w:rsidP="00AB0B0B">
            <w:pPr>
              <w:spacing w:after="120"/>
              <w:ind w:right="40"/>
              <w:jc w:val="right"/>
              <w:rPr>
                <w:iCs/>
                <w:szCs w:val="20"/>
              </w:rPr>
            </w:pPr>
            <w:r w:rsidRPr="0046567B">
              <w:rPr>
                <w:iCs/>
                <w:szCs w:val="20"/>
              </w:rPr>
              <w:t>20</w:t>
            </w:r>
          </w:p>
        </w:tc>
      </w:tr>
      <w:tr w:rsidR="00797231" w:rsidRPr="0046567B" w14:paraId="38A77171" w14:textId="77777777" w:rsidTr="00AB0B0B">
        <w:tc>
          <w:tcPr>
            <w:tcW w:w="8375" w:type="dxa"/>
            <w:gridSpan w:val="2"/>
            <w:shd w:val="clear" w:color="auto" w:fill="auto"/>
          </w:tcPr>
          <w:p w14:paraId="295BA08D" w14:textId="51160DBA" w:rsidR="00797231" w:rsidRPr="0046567B" w:rsidRDefault="00797231" w:rsidP="00797231">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lang w:val="fr-FR" w:bidi="fr-FR"/>
              </w:rPr>
            </w:pPr>
            <w:r w:rsidRPr="0046567B">
              <w:rPr>
                <w:lang w:val="fr-FR" w:bidi="fr-FR"/>
              </w:rPr>
              <w:t>Article 8 – Égalité dans la vie politique et publique au niveau international</w:t>
            </w:r>
            <w:r w:rsidRPr="0046567B">
              <w:rPr>
                <w:spacing w:val="60"/>
                <w:sz w:val="17"/>
                <w:lang w:val="fr-FR" w:bidi="fr-FR"/>
              </w:rPr>
              <w:tab/>
            </w:r>
          </w:p>
        </w:tc>
        <w:tc>
          <w:tcPr>
            <w:tcW w:w="994" w:type="dxa"/>
            <w:shd w:val="clear" w:color="auto" w:fill="auto"/>
            <w:vAlign w:val="bottom"/>
          </w:tcPr>
          <w:p w14:paraId="3B2B088E" w14:textId="085B1613" w:rsidR="00797231" w:rsidRPr="0046567B" w:rsidRDefault="00617041" w:rsidP="00AB0B0B">
            <w:pPr>
              <w:spacing w:after="120"/>
              <w:ind w:right="40"/>
              <w:jc w:val="right"/>
              <w:rPr>
                <w:iCs/>
                <w:szCs w:val="20"/>
              </w:rPr>
            </w:pPr>
            <w:r w:rsidRPr="0046567B">
              <w:rPr>
                <w:iCs/>
                <w:szCs w:val="20"/>
              </w:rPr>
              <w:t>71</w:t>
            </w:r>
          </w:p>
        </w:tc>
        <w:tc>
          <w:tcPr>
            <w:tcW w:w="495" w:type="dxa"/>
            <w:shd w:val="clear" w:color="auto" w:fill="auto"/>
            <w:vAlign w:val="bottom"/>
          </w:tcPr>
          <w:p w14:paraId="7CF4066D" w14:textId="401D3D6D" w:rsidR="00797231" w:rsidRPr="0046567B" w:rsidRDefault="00617041" w:rsidP="00AB0B0B">
            <w:pPr>
              <w:spacing w:after="120"/>
              <w:ind w:right="40"/>
              <w:jc w:val="right"/>
              <w:rPr>
                <w:iCs/>
                <w:szCs w:val="20"/>
              </w:rPr>
            </w:pPr>
            <w:r w:rsidRPr="0046567B">
              <w:rPr>
                <w:iCs/>
                <w:szCs w:val="20"/>
              </w:rPr>
              <w:t>20</w:t>
            </w:r>
          </w:p>
        </w:tc>
      </w:tr>
      <w:tr w:rsidR="00797231" w:rsidRPr="0046567B" w14:paraId="23A9865A" w14:textId="77777777" w:rsidTr="00AB0B0B">
        <w:tc>
          <w:tcPr>
            <w:tcW w:w="8375" w:type="dxa"/>
            <w:gridSpan w:val="2"/>
            <w:shd w:val="clear" w:color="auto" w:fill="auto"/>
          </w:tcPr>
          <w:p w14:paraId="742E6C42" w14:textId="0FA0A9C8"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Fonctionnaires représentant le Gouvernement au niveau international</w:t>
            </w:r>
            <w:r w:rsidRPr="0046567B">
              <w:rPr>
                <w:spacing w:val="60"/>
                <w:sz w:val="17"/>
                <w:lang w:val="fr-FR" w:bidi="fr-FR"/>
              </w:rPr>
              <w:tab/>
            </w:r>
          </w:p>
        </w:tc>
        <w:tc>
          <w:tcPr>
            <w:tcW w:w="994" w:type="dxa"/>
            <w:shd w:val="clear" w:color="auto" w:fill="auto"/>
            <w:vAlign w:val="bottom"/>
          </w:tcPr>
          <w:p w14:paraId="33FC0A9A" w14:textId="759C504E" w:rsidR="00797231" w:rsidRPr="0046567B" w:rsidRDefault="00617041" w:rsidP="00AB0B0B">
            <w:pPr>
              <w:spacing w:after="120"/>
              <w:ind w:right="40"/>
              <w:jc w:val="right"/>
              <w:rPr>
                <w:iCs/>
                <w:szCs w:val="20"/>
              </w:rPr>
            </w:pPr>
            <w:r w:rsidRPr="0046567B">
              <w:rPr>
                <w:iCs/>
                <w:szCs w:val="20"/>
              </w:rPr>
              <w:t>71</w:t>
            </w:r>
          </w:p>
        </w:tc>
        <w:tc>
          <w:tcPr>
            <w:tcW w:w="495" w:type="dxa"/>
            <w:shd w:val="clear" w:color="auto" w:fill="auto"/>
            <w:vAlign w:val="bottom"/>
          </w:tcPr>
          <w:p w14:paraId="672F7BB4" w14:textId="38764075" w:rsidR="00797231" w:rsidRPr="0046567B" w:rsidRDefault="00617041" w:rsidP="00AB0B0B">
            <w:pPr>
              <w:spacing w:after="120"/>
              <w:ind w:right="40"/>
              <w:jc w:val="right"/>
              <w:rPr>
                <w:iCs/>
                <w:szCs w:val="20"/>
              </w:rPr>
            </w:pPr>
            <w:r w:rsidRPr="0046567B">
              <w:rPr>
                <w:iCs/>
                <w:szCs w:val="20"/>
              </w:rPr>
              <w:t>20</w:t>
            </w:r>
          </w:p>
        </w:tc>
      </w:tr>
      <w:tr w:rsidR="00797231" w:rsidRPr="0046567B" w14:paraId="551D2676" w14:textId="77777777" w:rsidTr="00AB0B0B">
        <w:tc>
          <w:tcPr>
            <w:tcW w:w="8375" w:type="dxa"/>
            <w:gridSpan w:val="2"/>
            <w:shd w:val="clear" w:color="auto" w:fill="auto"/>
          </w:tcPr>
          <w:p w14:paraId="08E145C9" w14:textId="683952F0"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1728" w:hanging="648"/>
              <w:rPr>
                <w:spacing w:val="60"/>
                <w:sz w:val="17"/>
                <w:lang w:val="fr-FR" w:bidi="fr-FR"/>
              </w:rPr>
            </w:pPr>
            <w:r w:rsidRPr="0046567B">
              <w:rPr>
                <w:lang w:val="fr-FR" w:bidi="fr-FR"/>
              </w:rPr>
              <w:t>Article 9 – Égalité face à la législation relative à la nationalité</w:t>
            </w:r>
            <w:r w:rsidRPr="0046567B">
              <w:rPr>
                <w:spacing w:val="60"/>
                <w:sz w:val="17"/>
                <w:lang w:val="fr-FR" w:bidi="fr-FR"/>
              </w:rPr>
              <w:tab/>
            </w:r>
          </w:p>
        </w:tc>
        <w:tc>
          <w:tcPr>
            <w:tcW w:w="994" w:type="dxa"/>
            <w:shd w:val="clear" w:color="auto" w:fill="auto"/>
            <w:vAlign w:val="bottom"/>
          </w:tcPr>
          <w:p w14:paraId="453EDE1A" w14:textId="763797E3" w:rsidR="00797231" w:rsidRPr="0046567B" w:rsidRDefault="00617041" w:rsidP="00AB0B0B">
            <w:pPr>
              <w:spacing w:after="120"/>
              <w:ind w:right="40"/>
              <w:jc w:val="right"/>
              <w:rPr>
                <w:iCs/>
                <w:szCs w:val="20"/>
              </w:rPr>
            </w:pPr>
            <w:r w:rsidRPr="0046567B">
              <w:rPr>
                <w:iCs/>
                <w:szCs w:val="20"/>
              </w:rPr>
              <w:t>72</w:t>
            </w:r>
          </w:p>
        </w:tc>
        <w:tc>
          <w:tcPr>
            <w:tcW w:w="495" w:type="dxa"/>
            <w:shd w:val="clear" w:color="auto" w:fill="auto"/>
            <w:vAlign w:val="bottom"/>
          </w:tcPr>
          <w:p w14:paraId="17DB5A1F" w14:textId="580A4FAF" w:rsidR="00797231" w:rsidRPr="0046567B" w:rsidRDefault="00617041" w:rsidP="00AB0B0B">
            <w:pPr>
              <w:spacing w:after="120"/>
              <w:ind w:right="40"/>
              <w:jc w:val="right"/>
              <w:rPr>
                <w:iCs/>
                <w:szCs w:val="20"/>
              </w:rPr>
            </w:pPr>
            <w:r w:rsidRPr="0046567B">
              <w:rPr>
                <w:iCs/>
                <w:szCs w:val="20"/>
              </w:rPr>
              <w:t>21</w:t>
            </w:r>
          </w:p>
        </w:tc>
      </w:tr>
      <w:tr w:rsidR="00797231" w:rsidRPr="0046567B" w14:paraId="27EF2C0D" w14:textId="77777777" w:rsidTr="00AB0B0B">
        <w:tc>
          <w:tcPr>
            <w:tcW w:w="8375" w:type="dxa"/>
            <w:gridSpan w:val="2"/>
            <w:shd w:val="clear" w:color="auto" w:fill="auto"/>
          </w:tcPr>
          <w:p w14:paraId="71D6F14C" w14:textId="3EBC8991" w:rsidR="00797231" w:rsidRPr="0046567B" w:rsidRDefault="00797231" w:rsidP="00797231">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u w:val="single"/>
                <w:lang w:val="fr-FR" w:bidi="fr-FR"/>
              </w:rPr>
            </w:pPr>
            <w:r w:rsidRPr="0046567B">
              <w:rPr>
                <w:lang w:val="fr-FR" w:bidi="fr-FR"/>
              </w:rPr>
              <w:t>Article 10 – Égalité dans l</w:t>
            </w:r>
            <w:r w:rsidR="00FB11B3" w:rsidRPr="0046567B">
              <w:rPr>
                <w:lang w:val="fr-FR" w:bidi="fr-FR"/>
              </w:rPr>
              <w:t>’</w:t>
            </w:r>
            <w:r w:rsidRPr="0046567B">
              <w:rPr>
                <w:lang w:val="fr-FR" w:bidi="fr-FR"/>
              </w:rPr>
              <w:t>éducation</w:t>
            </w:r>
            <w:r w:rsidRPr="0046567B">
              <w:rPr>
                <w:spacing w:val="60"/>
                <w:sz w:val="17"/>
                <w:lang w:val="fr-FR" w:bidi="fr-FR"/>
              </w:rPr>
              <w:tab/>
            </w:r>
          </w:p>
        </w:tc>
        <w:tc>
          <w:tcPr>
            <w:tcW w:w="994" w:type="dxa"/>
            <w:shd w:val="clear" w:color="auto" w:fill="auto"/>
            <w:vAlign w:val="bottom"/>
          </w:tcPr>
          <w:p w14:paraId="5DF3DDA1" w14:textId="3F3CBAD9" w:rsidR="00797231" w:rsidRPr="0046567B" w:rsidRDefault="00617041" w:rsidP="00AB0B0B">
            <w:pPr>
              <w:spacing w:after="120"/>
              <w:ind w:right="40"/>
              <w:jc w:val="right"/>
              <w:rPr>
                <w:iCs/>
                <w:szCs w:val="20"/>
              </w:rPr>
            </w:pPr>
            <w:r w:rsidRPr="0046567B">
              <w:rPr>
                <w:iCs/>
                <w:szCs w:val="20"/>
              </w:rPr>
              <w:t>73-80</w:t>
            </w:r>
          </w:p>
        </w:tc>
        <w:tc>
          <w:tcPr>
            <w:tcW w:w="495" w:type="dxa"/>
            <w:shd w:val="clear" w:color="auto" w:fill="auto"/>
            <w:vAlign w:val="bottom"/>
          </w:tcPr>
          <w:p w14:paraId="6F8A4E6A" w14:textId="760C2562" w:rsidR="00797231" w:rsidRPr="0046567B" w:rsidRDefault="00617041" w:rsidP="00AB0B0B">
            <w:pPr>
              <w:spacing w:after="120"/>
              <w:ind w:right="40"/>
              <w:jc w:val="right"/>
              <w:rPr>
                <w:iCs/>
                <w:szCs w:val="20"/>
              </w:rPr>
            </w:pPr>
            <w:r w:rsidRPr="0046567B">
              <w:rPr>
                <w:iCs/>
                <w:szCs w:val="20"/>
              </w:rPr>
              <w:t>21</w:t>
            </w:r>
          </w:p>
        </w:tc>
      </w:tr>
      <w:tr w:rsidR="00797231" w:rsidRPr="0046567B" w14:paraId="5FC96356" w14:textId="77777777" w:rsidTr="00AB0B0B">
        <w:tc>
          <w:tcPr>
            <w:tcW w:w="8375" w:type="dxa"/>
            <w:gridSpan w:val="2"/>
            <w:shd w:val="clear" w:color="auto" w:fill="auto"/>
          </w:tcPr>
          <w:p w14:paraId="356B5477" w14:textId="1364FF69" w:rsidR="00797231" w:rsidRPr="0046567B" w:rsidRDefault="00797231" w:rsidP="00797231">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Aperçu de la situation actuelle</w:t>
            </w:r>
            <w:r w:rsidRPr="0046567B">
              <w:rPr>
                <w:spacing w:val="60"/>
                <w:sz w:val="17"/>
                <w:lang w:val="fr-FR" w:bidi="fr-FR"/>
              </w:rPr>
              <w:tab/>
            </w:r>
          </w:p>
        </w:tc>
        <w:tc>
          <w:tcPr>
            <w:tcW w:w="994" w:type="dxa"/>
            <w:shd w:val="clear" w:color="auto" w:fill="auto"/>
            <w:vAlign w:val="bottom"/>
          </w:tcPr>
          <w:p w14:paraId="719421C2" w14:textId="06D86D47" w:rsidR="00797231" w:rsidRPr="0046567B" w:rsidRDefault="00617041" w:rsidP="00AB0B0B">
            <w:pPr>
              <w:spacing w:after="120"/>
              <w:ind w:right="40"/>
              <w:jc w:val="right"/>
              <w:rPr>
                <w:iCs/>
                <w:szCs w:val="20"/>
              </w:rPr>
            </w:pPr>
            <w:r w:rsidRPr="0046567B">
              <w:rPr>
                <w:iCs/>
                <w:szCs w:val="20"/>
              </w:rPr>
              <w:t>73</w:t>
            </w:r>
          </w:p>
        </w:tc>
        <w:tc>
          <w:tcPr>
            <w:tcW w:w="495" w:type="dxa"/>
            <w:shd w:val="clear" w:color="auto" w:fill="auto"/>
            <w:vAlign w:val="bottom"/>
          </w:tcPr>
          <w:p w14:paraId="5AE00915" w14:textId="4DD58135" w:rsidR="00797231" w:rsidRPr="0046567B" w:rsidRDefault="00617041" w:rsidP="00AB0B0B">
            <w:pPr>
              <w:spacing w:after="120"/>
              <w:ind w:right="40"/>
              <w:jc w:val="right"/>
              <w:rPr>
                <w:iCs/>
                <w:szCs w:val="20"/>
              </w:rPr>
            </w:pPr>
            <w:r w:rsidRPr="0046567B">
              <w:rPr>
                <w:iCs/>
                <w:szCs w:val="20"/>
              </w:rPr>
              <w:t>21</w:t>
            </w:r>
          </w:p>
        </w:tc>
      </w:tr>
      <w:tr w:rsidR="00797231" w:rsidRPr="0046567B" w14:paraId="750E4160" w14:textId="77777777" w:rsidTr="00AB0B0B">
        <w:tc>
          <w:tcPr>
            <w:tcW w:w="8375" w:type="dxa"/>
            <w:gridSpan w:val="2"/>
            <w:shd w:val="clear" w:color="auto" w:fill="auto"/>
          </w:tcPr>
          <w:p w14:paraId="045A99B5" w14:textId="09E52FF3" w:rsidR="00797231" w:rsidRPr="0046567B" w:rsidRDefault="00797231" w:rsidP="00797231">
            <w:pPr>
              <w:tabs>
                <w:tab w:val="left" w:pos="1296"/>
                <w:tab w:val="left" w:pos="1728"/>
                <w:tab w:val="left" w:pos="2160"/>
                <w:tab w:val="left" w:pos="2592"/>
                <w:tab w:val="left" w:pos="302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Formation continue</w:t>
            </w:r>
            <w:r w:rsidRPr="0046567B">
              <w:rPr>
                <w:spacing w:val="60"/>
                <w:sz w:val="17"/>
                <w:lang w:val="fr-FR" w:bidi="fr-FR"/>
              </w:rPr>
              <w:tab/>
            </w:r>
          </w:p>
        </w:tc>
        <w:tc>
          <w:tcPr>
            <w:tcW w:w="994" w:type="dxa"/>
            <w:shd w:val="clear" w:color="auto" w:fill="auto"/>
            <w:vAlign w:val="bottom"/>
          </w:tcPr>
          <w:p w14:paraId="22C75859" w14:textId="65CB2E43" w:rsidR="00797231" w:rsidRPr="0046567B" w:rsidRDefault="00617041" w:rsidP="00AB0B0B">
            <w:pPr>
              <w:spacing w:after="120"/>
              <w:ind w:right="40"/>
              <w:jc w:val="right"/>
              <w:rPr>
                <w:iCs/>
                <w:szCs w:val="20"/>
              </w:rPr>
            </w:pPr>
            <w:r w:rsidRPr="0046567B">
              <w:rPr>
                <w:iCs/>
                <w:szCs w:val="20"/>
              </w:rPr>
              <w:t>74</w:t>
            </w:r>
          </w:p>
        </w:tc>
        <w:tc>
          <w:tcPr>
            <w:tcW w:w="495" w:type="dxa"/>
            <w:shd w:val="clear" w:color="auto" w:fill="auto"/>
            <w:vAlign w:val="bottom"/>
          </w:tcPr>
          <w:p w14:paraId="54950C86" w14:textId="32C32E1C" w:rsidR="00797231" w:rsidRPr="0046567B" w:rsidRDefault="00617041" w:rsidP="00AB0B0B">
            <w:pPr>
              <w:spacing w:after="120"/>
              <w:ind w:right="40"/>
              <w:jc w:val="right"/>
              <w:rPr>
                <w:iCs/>
                <w:szCs w:val="20"/>
              </w:rPr>
            </w:pPr>
            <w:r w:rsidRPr="0046567B">
              <w:rPr>
                <w:iCs/>
                <w:szCs w:val="20"/>
              </w:rPr>
              <w:t>21</w:t>
            </w:r>
          </w:p>
        </w:tc>
      </w:tr>
      <w:tr w:rsidR="00797231" w:rsidRPr="0046567B" w14:paraId="5B4405D0" w14:textId="77777777" w:rsidTr="00AB0B0B">
        <w:tc>
          <w:tcPr>
            <w:tcW w:w="8375" w:type="dxa"/>
            <w:gridSpan w:val="2"/>
            <w:shd w:val="clear" w:color="auto" w:fill="auto"/>
          </w:tcPr>
          <w:p w14:paraId="5731A0B6" w14:textId="681814F5"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Enseignement adapté aux femmes handicapées</w:t>
            </w:r>
            <w:r w:rsidRPr="0046567B">
              <w:rPr>
                <w:spacing w:val="60"/>
                <w:sz w:val="17"/>
                <w:lang w:val="fr-FR" w:bidi="fr-FR"/>
              </w:rPr>
              <w:tab/>
            </w:r>
          </w:p>
        </w:tc>
        <w:tc>
          <w:tcPr>
            <w:tcW w:w="994" w:type="dxa"/>
            <w:shd w:val="clear" w:color="auto" w:fill="auto"/>
            <w:vAlign w:val="bottom"/>
          </w:tcPr>
          <w:p w14:paraId="25EF40EF" w14:textId="65D05B7E" w:rsidR="00797231" w:rsidRPr="0046567B" w:rsidRDefault="00617041" w:rsidP="00AB0B0B">
            <w:pPr>
              <w:spacing w:after="120"/>
              <w:ind w:right="40"/>
              <w:jc w:val="right"/>
              <w:rPr>
                <w:iCs/>
                <w:szCs w:val="20"/>
              </w:rPr>
            </w:pPr>
            <w:r w:rsidRPr="0046567B">
              <w:rPr>
                <w:iCs/>
                <w:szCs w:val="20"/>
              </w:rPr>
              <w:t>75-78</w:t>
            </w:r>
          </w:p>
        </w:tc>
        <w:tc>
          <w:tcPr>
            <w:tcW w:w="495" w:type="dxa"/>
            <w:shd w:val="clear" w:color="auto" w:fill="auto"/>
            <w:vAlign w:val="bottom"/>
          </w:tcPr>
          <w:p w14:paraId="669AC9FE" w14:textId="3CF9CD3F" w:rsidR="00797231" w:rsidRPr="0046567B" w:rsidRDefault="00617041" w:rsidP="00AB0B0B">
            <w:pPr>
              <w:spacing w:after="120"/>
              <w:ind w:right="40"/>
              <w:jc w:val="right"/>
              <w:rPr>
                <w:iCs/>
                <w:szCs w:val="20"/>
              </w:rPr>
            </w:pPr>
            <w:r w:rsidRPr="0046567B">
              <w:rPr>
                <w:iCs/>
                <w:szCs w:val="20"/>
              </w:rPr>
              <w:t>21</w:t>
            </w:r>
          </w:p>
        </w:tc>
      </w:tr>
      <w:tr w:rsidR="00797231" w:rsidRPr="0046567B" w14:paraId="09431870" w14:textId="77777777" w:rsidTr="00AB0B0B">
        <w:tc>
          <w:tcPr>
            <w:tcW w:w="8375" w:type="dxa"/>
            <w:gridSpan w:val="2"/>
            <w:shd w:val="clear" w:color="auto" w:fill="auto"/>
          </w:tcPr>
          <w:p w14:paraId="6E2AFC84" w14:textId="54DE083A"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Enseignement dispensé à certains groupes</w:t>
            </w:r>
            <w:r w:rsidRPr="0046567B">
              <w:rPr>
                <w:spacing w:val="60"/>
                <w:sz w:val="17"/>
                <w:lang w:val="fr-FR" w:bidi="fr-FR"/>
              </w:rPr>
              <w:tab/>
            </w:r>
          </w:p>
        </w:tc>
        <w:tc>
          <w:tcPr>
            <w:tcW w:w="994" w:type="dxa"/>
            <w:shd w:val="clear" w:color="auto" w:fill="auto"/>
            <w:vAlign w:val="bottom"/>
          </w:tcPr>
          <w:p w14:paraId="022656B5" w14:textId="58278D2F" w:rsidR="00797231" w:rsidRPr="0046567B" w:rsidRDefault="00617041" w:rsidP="00AB0B0B">
            <w:pPr>
              <w:spacing w:after="120"/>
              <w:ind w:right="40"/>
              <w:jc w:val="right"/>
              <w:rPr>
                <w:iCs/>
                <w:szCs w:val="20"/>
              </w:rPr>
            </w:pPr>
            <w:r w:rsidRPr="0046567B">
              <w:rPr>
                <w:iCs/>
                <w:szCs w:val="20"/>
              </w:rPr>
              <w:t>79</w:t>
            </w:r>
          </w:p>
        </w:tc>
        <w:tc>
          <w:tcPr>
            <w:tcW w:w="495" w:type="dxa"/>
            <w:shd w:val="clear" w:color="auto" w:fill="auto"/>
            <w:vAlign w:val="bottom"/>
          </w:tcPr>
          <w:p w14:paraId="13D90FE2" w14:textId="00D546F4" w:rsidR="00797231" w:rsidRPr="0046567B" w:rsidRDefault="00617041" w:rsidP="00AB0B0B">
            <w:pPr>
              <w:spacing w:after="120"/>
              <w:ind w:right="40"/>
              <w:jc w:val="right"/>
              <w:rPr>
                <w:iCs/>
                <w:szCs w:val="20"/>
              </w:rPr>
            </w:pPr>
            <w:r w:rsidRPr="0046567B">
              <w:rPr>
                <w:iCs/>
                <w:szCs w:val="20"/>
              </w:rPr>
              <w:t>22</w:t>
            </w:r>
          </w:p>
        </w:tc>
      </w:tr>
      <w:tr w:rsidR="00797231" w:rsidRPr="0046567B" w14:paraId="449C21B9" w14:textId="77777777" w:rsidTr="00AB0B0B">
        <w:tc>
          <w:tcPr>
            <w:tcW w:w="8375" w:type="dxa"/>
            <w:gridSpan w:val="2"/>
            <w:shd w:val="clear" w:color="auto" w:fill="auto"/>
          </w:tcPr>
          <w:p w14:paraId="7917F294" w14:textId="2A65A077" w:rsidR="00797231" w:rsidRPr="0046567B" w:rsidRDefault="00797231" w:rsidP="00797231">
            <w:pPr>
              <w:tabs>
                <w:tab w:val="left" w:pos="1296"/>
                <w:tab w:val="left" w:pos="1728"/>
                <w:tab w:val="left" w:pos="2160"/>
                <w:tab w:val="left" w:pos="2592"/>
                <w:tab w:val="left" w:pos="302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Éducation sexuelle</w:t>
            </w:r>
            <w:r w:rsidRPr="0046567B">
              <w:rPr>
                <w:spacing w:val="60"/>
                <w:sz w:val="17"/>
                <w:lang w:val="fr-FR" w:bidi="fr-FR"/>
              </w:rPr>
              <w:tab/>
            </w:r>
          </w:p>
        </w:tc>
        <w:tc>
          <w:tcPr>
            <w:tcW w:w="994" w:type="dxa"/>
            <w:shd w:val="clear" w:color="auto" w:fill="auto"/>
            <w:vAlign w:val="bottom"/>
          </w:tcPr>
          <w:p w14:paraId="26C20144" w14:textId="036B200B" w:rsidR="00797231" w:rsidRPr="0046567B" w:rsidRDefault="00617041" w:rsidP="00AB0B0B">
            <w:pPr>
              <w:spacing w:after="120"/>
              <w:ind w:right="40"/>
              <w:jc w:val="right"/>
              <w:rPr>
                <w:iCs/>
                <w:szCs w:val="20"/>
              </w:rPr>
            </w:pPr>
            <w:r w:rsidRPr="0046567B">
              <w:rPr>
                <w:iCs/>
                <w:szCs w:val="20"/>
              </w:rPr>
              <w:t>80</w:t>
            </w:r>
          </w:p>
        </w:tc>
        <w:tc>
          <w:tcPr>
            <w:tcW w:w="495" w:type="dxa"/>
            <w:shd w:val="clear" w:color="auto" w:fill="auto"/>
            <w:vAlign w:val="bottom"/>
          </w:tcPr>
          <w:p w14:paraId="7BB75DF3" w14:textId="21B28044" w:rsidR="00797231" w:rsidRPr="0046567B" w:rsidRDefault="00617041" w:rsidP="00AB0B0B">
            <w:pPr>
              <w:spacing w:after="120"/>
              <w:ind w:right="40"/>
              <w:jc w:val="right"/>
              <w:rPr>
                <w:iCs/>
                <w:szCs w:val="20"/>
              </w:rPr>
            </w:pPr>
            <w:r w:rsidRPr="0046567B">
              <w:rPr>
                <w:iCs/>
                <w:szCs w:val="20"/>
              </w:rPr>
              <w:t>23</w:t>
            </w:r>
          </w:p>
        </w:tc>
      </w:tr>
      <w:tr w:rsidR="00797231" w:rsidRPr="0046567B" w14:paraId="311D2EB5" w14:textId="77777777" w:rsidTr="00AB0B0B">
        <w:tc>
          <w:tcPr>
            <w:tcW w:w="8375" w:type="dxa"/>
            <w:gridSpan w:val="2"/>
            <w:shd w:val="clear" w:color="auto" w:fill="auto"/>
          </w:tcPr>
          <w:p w14:paraId="267E1EB9" w14:textId="41FA7874"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1728" w:hanging="648"/>
              <w:rPr>
                <w:spacing w:val="60"/>
                <w:sz w:val="17"/>
                <w:lang w:val="fr-FR" w:bidi="fr-FR"/>
              </w:rPr>
            </w:pPr>
            <w:r w:rsidRPr="0046567B">
              <w:rPr>
                <w:lang w:val="fr-FR" w:bidi="fr-FR"/>
              </w:rPr>
              <w:t>Article 11 – Égalité en matière d</w:t>
            </w:r>
            <w:r w:rsidR="00FB11B3" w:rsidRPr="0046567B">
              <w:rPr>
                <w:lang w:val="fr-FR" w:bidi="fr-FR"/>
              </w:rPr>
              <w:t>’</w:t>
            </w:r>
            <w:r w:rsidRPr="0046567B">
              <w:rPr>
                <w:lang w:val="fr-FR" w:bidi="fr-FR"/>
              </w:rPr>
              <w:t>emploi et de droits du travail</w:t>
            </w:r>
            <w:r w:rsidRPr="0046567B">
              <w:rPr>
                <w:spacing w:val="60"/>
                <w:sz w:val="17"/>
                <w:lang w:val="fr-FR" w:bidi="fr-FR"/>
              </w:rPr>
              <w:tab/>
            </w:r>
          </w:p>
        </w:tc>
        <w:tc>
          <w:tcPr>
            <w:tcW w:w="994" w:type="dxa"/>
            <w:shd w:val="clear" w:color="auto" w:fill="auto"/>
            <w:vAlign w:val="bottom"/>
          </w:tcPr>
          <w:p w14:paraId="4F6D64E4" w14:textId="362D2929" w:rsidR="00797231" w:rsidRPr="0046567B" w:rsidRDefault="00617041" w:rsidP="00AB0B0B">
            <w:pPr>
              <w:spacing w:after="120"/>
              <w:ind w:right="40"/>
              <w:jc w:val="right"/>
              <w:rPr>
                <w:iCs/>
                <w:szCs w:val="20"/>
              </w:rPr>
            </w:pPr>
            <w:r w:rsidRPr="0046567B">
              <w:rPr>
                <w:iCs/>
                <w:szCs w:val="20"/>
              </w:rPr>
              <w:t>81-122</w:t>
            </w:r>
          </w:p>
        </w:tc>
        <w:tc>
          <w:tcPr>
            <w:tcW w:w="495" w:type="dxa"/>
            <w:shd w:val="clear" w:color="auto" w:fill="auto"/>
            <w:vAlign w:val="bottom"/>
          </w:tcPr>
          <w:p w14:paraId="32C455D2" w14:textId="378C56DA" w:rsidR="00797231" w:rsidRPr="0046567B" w:rsidRDefault="00617041" w:rsidP="00AB0B0B">
            <w:pPr>
              <w:spacing w:after="120"/>
              <w:ind w:right="40"/>
              <w:jc w:val="right"/>
              <w:rPr>
                <w:iCs/>
                <w:szCs w:val="20"/>
              </w:rPr>
            </w:pPr>
            <w:r w:rsidRPr="0046567B">
              <w:rPr>
                <w:iCs/>
                <w:szCs w:val="20"/>
              </w:rPr>
              <w:t>23</w:t>
            </w:r>
          </w:p>
        </w:tc>
      </w:tr>
      <w:tr w:rsidR="00797231" w:rsidRPr="0046567B" w14:paraId="4435EFD7" w14:textId="77777777" w:rsidTr="00AB0B0B">
        <w:tc>
          <w:tcPr>
            <w:tcW w:w="8375" w:type="dxa"/>
            <w:gridSpan w:val="2"/>
            <w:shd w:val="clear" w:color="auto" w:fill="auto"/>
          </w:tcPr>
          <w:p w14:paraId="65FEB806" w14:textId="2E372133" w:rsidR="00797231" w:rsidRPr="0046567B" w:rsidRDefault="00797231" w:rsidP="00797231">
            <w:pPr>
              <w:tabs>
                <w:tab w:val="left" w:pos="1296"/>
                <w:tab w:val="left" w:pos="1728"/>
                <w:tab w:val="left" w:pos="216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Réserves</w:t>
            </w:r>
            <w:r w:rsidRPr="0046567B">
              <w:rPr>
                <w:spacing w:val="60"/>
                <w:sz w:val="17"/>
                <w:lang w:val="fr-FR" w:bidi="fr-FR"/>
              </w:rPr>
              <w:tab/>
            </w:r>
          </w:p>
        </w:tc>
        <w:tc>
          <w:tcPr>
            <w:tcW w:w="994" w:type="dxa"/>
            <w:shd w:val="clear" w:color="auto" w:fill="auto"/>
            <w:vAlign w:val="bottom"/>
          </w:tcPr>
          <w:p w14:paraId="77E6AC8C" w14:textId="51715D23" w:rsidR="00797231" w:rsidRPr="0046567B" w:rsidRDefault="00617041" w:rsidP="00AB0B0B">
            <w:pPr>
              <w:spacing w:after="120"/>
              <w:ind w:right="40"/>
              <w:jc w:val="right"/>
              <w:rPr>
                <w:iCs/>
                <w:szCs w:val="20"/>
              </w:rPr>
            </w:pPr>
            <w:r w:rsidRPr="0046567B">
              <w:rPr>
                <w:iCs/>
                <w:szCs w:val="20"/>
              </w:rPr>
              <w:t>81-82</w:t>
            </w:r>
          </w:p>
        </w:tc>
        <w:tc>
          <w:tcPr>
            <w:tcW w:w="495" w:type="dxa"/>
            <w:shd w:val="clear" w:color="auto" w:fill="auto"/>
            <w:vAlign w:val="bottom"/>
          </w:tcPr>
          <w:p w14:paraId="6776660D" w14:textId="430D2ADA" w:rsidR="00797231" w:rsidRPr="0046567B" w:rsidRDefault="00617041" w:rsidP="00AB0B0B">
            <w:pPr>
              <w:spacing w:after="120"/>
              <w:ind w:right="40"/>
              <w:jc w:val="right"/>
              <w:rPr>
                <w:iCs/>
                <w:szCs w:val="20"/>
              </w:rPr>
            </w:pPr>
            <w:r w:rsidRPr="0046567B">
              <w:rPr>
                <w:iCs/>
                <w:szCs w:val="20"/>
              </w:rPr>
              <w:t>23</w:t>
            </w:r>
          </w:p>
        </w:tc>
      </w:tr>
      <w:tr w:rsidR="00797231" w:rsidRPr="0046567B" w14:paraId="0D5C1231" w14:textId="77777777" w:rsidTr="00AB0B0B">
        <w:tc>
          <w:tcPr>
            <w:tcW w:w="8375" w:type="dxa"/>
            <w:gridSpan w:val="2"/>
            <w:shd w:val="clear" w:color="auto" w:fill="auto"/>
          </w:tcPr>
          <w:p w14:paraId="7579FDA6" w14:textId="33104BC5"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Participation et place des femmes dans l</w:t>
            </w:r>
            <w:r w:rsidR="00FB11B3" w:rsidRPr="0046567B">
              <w:rPr>
                <w:lang w:val="fr-FR" w:bidi="fr-FR"/>
              </w:rPr>
              <w:t>’</w:t>
            </w:r>
            <w:r w:rsidRPr="0046567B">
              <w:rPr>
                <w:lang w:val="fr-FR" w:bidi="fr-FR"/>
              </w:rPr>
              <w:t>économie</w:t>
            </w:r>
            <w:r w:rsidRPr="0046567B">
              <w:rPr>
                <w:spacing w:val="60"/>
                <w:sz w:val="17"/>
                <w:lang w:val="fr-FR" w:bidi="fr-FR"/>
              </w:rPr>
              <w:tab/>
            </w:r>
          </w:p>
        </w:tc>
        <w:tc>
          <w:tcPr>
            <w:tcW w:w="994" w:type="dxa"/>
            <w:shd w:val="clear" w:color="auto" w:fill="auto"/>
            <w:vAlign w:val="bottom"/>
          </w:tcPr>
          <w:p w14:paraId="6404C682" w14:textId="14AD0FC5" w:rsidR="00797231" w:rsidRPr="0046567B" w:rsidRDefault="00617041" w:rsidP="00AB0B0B">
            <w:pPr>
              <w:spacing w:after="120"/>
              <w:ind w:right="40"/>
              <w:jc w:val="right"/>
              <w:rPr>
                <w:iCs/>
                <w:szCs w:val="20"/>
              </w:rPr>
            </w:pPr>
            <w:r w:rsidRPr="0046567B">
              <w:rPr>
                <w:iCs/>
                <w:szCs w:val="20"/>
              </w:rPr>
              <w:t>83-84</w:t>
            </w:r>
          </w:p>
        </w:tc>
        <w:tc>
          <w:tcPr>
            <w:tcW w:w="495" w:type="dxa"/>
            <w:shd w:val="clear" w:color="auto" w:fill="auto"/>
            <w:vAlign w:val="bottom"/>
          </w:tcPr>
          <w:p w14:paraId="26405726" w14:textId="6D603073" w:rsidR="00797231" w:rsidRPr="0046567B" w:rsidRDefault="00617041" w:rsidP="00AB0B0B">
            <w:pPr>
              <w:spacing w:after="120"/>
              <w:ind w:right="40"/>
              <w:jc w:val="right"/>
              <w:rPr>
                <w:iCs/>
                <w:szCs w:val="20"/>
              </w:rPr>
            </w:pPr>
            <w:r w:rsidRPr="0046567B">
              <w:rPr>
                <w:iCs/>
                <w:szCs w:val="20"/>
              </w:rPr>
              <w:t>23</w:t>
            </w:r>
          </w:p>
        </w:tc>
      </w:tr>
      <w:tr w:rsidR="00797231" w:rsidRPr="0046567B" w14:paraId="1A06E796" w14:textId="77777777" w:rsidTr="00AB0B0B">
        <w:tc>
          <w:tcPr>
            <w:tcW w:w="8375" w:type="dxa"/>
            <w:gridSpan w:val="2"/>
            <w:shd w:val="clear" w:color="auto" w:fill="auto"/>
          </w:tcPr>
          <w:p w14:paraId="543021F9" w14:textId="5585E751"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Législation contre la discrimination dans l</w:t>
            </w:r>
            <w:r w:rsidR="00FB11B3" w:rsidRPr="0046567B">
              <w:rPr>
                <w:lang w:val="fr-FR" w:bidi="fr-FR"/>
              </w:rPr>
              <w:t>’</w:t>
            </w:r>
            <w:r w:rsidRPr="0046567B">
              <w:rPr>
                <w:lang w:val="fr-FR" w:bidi="fr-FR"/>
              </w:rPr>
              <w:t>emploi</w:t>
            </w:r>
            <w:r w:rsidRPr="0046567B">
              <w:rPr>
                <w:spacing w:val="60"/>
                <w:sz w:val="17"/>
                <w:lang w:val="fr-FR" w:bidi="fr-FR"/>
              </w:rPr>
              <w:tab/>
            </w:r>
          </w:p>
        </w:tc>
        <w:tc>
          <w:tcPr>
            <w:tcW w:w="994" w:type="dxa"/>
            <w:shd w:val="clear" w:color="auto" w:fill="auto"/>
            <w:vAlign w:val="bottom"/>
          </w:tcPr>
          <w:p w14:paraId="5594323C" w14:textId="707DF02C" w:rsidR="00797231" w:rsidRPr="0046567B" w:rsidRDefault="00617041" w:rsidP="00AB0B0B">
            <w:pPr>
              <w:spacing w:after="120"/>
              <w:ind w:right="40"/>
              <w:jc w:val="right"/>
              <w:rPr>
                <w:iCs/>
                <w:szCs w:val="20"/>
              </w:rPr>
            </w:pPr>
            <w:r w:rsidRPr="0046567B">
              <w:rPr>
                <w:iCs/>
                <w:szCs w:val="20"/>
              </w:rPr>
              <w:t>85-98</w:t>
            </w:r>
          </w:p>
        </w:tc>
        <w:tc>
          <w:tcPr>
            <w:tcW w:w="495" w:type="dxa"/>
            <w:shd w:val="clear" w:color="auto" w:fill="auto"/>
            <w:vAlign w:val="bottom"/>
          </w:tcPr>
          <w:p w14:paraId="31580D67" w14:textId="25F6CD28" w:rsidR="00797231" w:rsidRPr="0046567B" w:rsidRDefault="00617041" w:rsidP="00AB0B0B">
            <w:pPr>
              <w:spacing w:after="120"/>
              <w:ind w:right="40"/>
              <w:jc w:val="right"/>
              <w:rPr>
                <w:iCs/>
                <w:szCs w:val="20"/>
              </w:rPr>
            </w:pPr>
            <w:r w:rsidRPr="0046567B">
              <w:rPr>
                <w:iCs/>
                <w:szCs w:val="20"/>
              </w:rPr>
              <w:t>23</w:t>
            </w:r>
          </w:p>
        </w:tc>
      </w:tr>
      <w:tr w:rsidR="00797231" w:rsidRPr="0046567B" w14:paraId="238423CB" w14:textId="77777777" w:rsidTr="00AB0B0B">
        <w:tc>
          <w:tcPr>
            <w:tcW w:w="8375" w:type="dxa"/>
            <w:gridSpan w:val="2"/>
            <w:shd w:val="clear" w:color="auto" w:fill="auto"/>
          </w:tcPr>
          <w:p w14:paraId="02976A64" w14:textId="061DEB15" w:rsidR="00797231" w:rsidRPr="0046567B" w:rsidRDefault="00797231" w:rsidP="00797231">
            <w:pPr>
              <w:tabs>
                <w:tab w:val="left" w:pos="1296"/>
                <w:tab w:val="left" w:pos="1728"/>
                <w:tab w:val="left" w:pos="216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Mesures administratives pour lutter contre la discrimination en matière d</w:t>
            </w:r>
            <w:r w:rsidR="00FB11B3" w:rsidRPr="0046567B">
              <w:rPr>
                <w:lang w:val="fr-FR" w:bidi="fr-FR"/>
              </w:rPr>
              <w:t>’</w:t>
            </w:r>
            <w:r w:rsidRPr="0046567B">
              <w:rPr>
                <w:lang w:val="fr-FR" w:bidi="fr-FR"/>
              </w:rPr>
              <w:t>emploi</w:t>
            </w:r>
            <w:r w:rsidRPr="0046567B">
              <w:rPr>
                <w:spacing w:val="60"/>
                <w:sz w:val="17"/>
                <w:lang w:val="fr-FR" w:bidi="fr-FR"/>
              </w:rPr>
              <w:tab/>
            </w:r>
          </w:p>
        </w:tc>
        <w:tc>
          <w:tcPr>
            <w:tcW w:w="994" w:type="dxa"/>
            <w:shd w:val="clear" w:color="auto" w:fill="auto"/>
            <w:vAlign w:val="bottom"/>
          </w:tcPr>
          <w:p w14:paraId="05D921EC" w14:textId="37BC97B6" w:rsidR="00797231" w:rsidRPr="0046567B" w:rsidRDefault="00617041" w:rsidP="00AB0B0B">
            <w:pPr>
              <w:spacing w:after="120"/>
              <w:ind w:right="40"/>
              <w:jc w:val="right"/>
              <w:rPr>
                <w:iCs/>
                <w:szCs w:val="20"/>
              </w:rPr>
            </w:pPr>
            <w:r w:rsidRPr="0046567B">
              <w:rPr>
                <w:iCs/>
                <w:szCs w:val="20"/>
              </w:rPr>
              <w:t>99</w:t>
            </w:r>
          </w:p>
        </w:tc>
        <w:tc>
          <w:tcPr>
            <w:tcW w:w="495" w:type="dxa"/>
            <w:shd w:val="clear" w:color="auto" w:fill="auto"/>
            <w:vAlign w:val="bottom"/>
          </w:tcPr>
          <w:p w14:paraId="75F718ED" w14:textId="3168FA9C" w:rsidR="00797231" w:rsidRPr="0046567B" w:rsidRDefault="00617041" w:rsidP="00AB0B0B">
            <w:pPr>
              <w:spacing w:after="120"/>
              <w:ind w:right="40"/>
              <w:jc w:val="right"/>
              <w:rPr>
                <w:iCs/>
                <w:szCs w:val="20"/>
              </w:rPr>
            </w:pPr>
            <w:r w:rsidRPr="0046567B">
              <w:rPr>
                <w:iCs/>
                <w:szCs w:val="20"/>
              </w:rPr>
              <w:t>26</w:t>
            </w:r>
          </w:p>
        </w:tc>
      </w:tr>
      <w:tr w:rsidR="00797231" w:rsidRPr="0046567B" w14:paraId="7B52FF5A" w14:textId="77777777" w:rsidTr="00AB0B0B">
        <w:tc>
          <w:tcPr>
            <w:tcW w:w="8375" w:type="dxa"/>
            <w:gridSpan w:val="2"/>
            <w:shd w:val="clear" w:color="auto" w:fill="auto"/>
          </w:tcPr>
          <w:p w14:paraId="2EC529F9" w14:textId="2119788D" w:rsidR="00797231" w:rsidRPr="0046567B" w:rsidRDefault="00797231" w:rsidP="00797231">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u w:val="single"/>
                <w:lang w:val="fr-FR" w:bidi="fr-FR"/>
              </w:rPr>
            </w:pPr>
            <w:r w:rsidRPr="0046567B">
              <w:rPr>
                <w:lang w:val="fr-FR" w:bidi="fr-FR"/>
              </w:rPr>
              <w:tab/>
            </w:r>
            <w:r w:rsidRPr="0046567B">
              <w:rPr>
                <w:lang w:val="fr-FR" w:bidi="fr-FR"/>
              </w:rPr>
              <w:tab/>
              <w:t>Protection des retraites</w:t>
            </w:r>
            <w:r w:rsidRPr="0046567B">
              <w:rPr>
                <w:spacing w:val="60"/>
                <w:sz w:val="17"/>
                <w:lang w:val="fr-FR" w:bidi="fr-FR"/>
              </w:rPr>
              <w:tab/>
            </w:r>
          </w:p>
        </w:tc>
        <w:tc>
          <w:tcPr>
            <w:tcW w:w="994" w:type="dxa"/>
            <w:shd w:val="clear" w:color="auto" w:fill="auto"/>
            <w:vAlign w:val="bottom"/>
          </w:tcPr>
          <w:p w14:paraId="5CE80734" w14:textId="3EB4EC8D" w:rsidR="00797231" w:rsidRPr="0046567B" w:rsidRDefault="00617041" w:rsidP="00AB0B0B">
            <w:pPr>
              <w:spacing w:after="120"/>
              <w:ind w:right="40"/>
              <w:jc w:val="right"/>
              <w:rPr>
                <w:iCs/>
                <w:szCs w:val="20"/>
              </w:rPr>
            </w:pPr>
            <w:r w:rsidRPr="0046567B">
              <w:rPr>
                <w:iCs/>
                <w:szCs w:val="20"/>
              </w:rPr>
              <w:t>100-102</w:t>
            </w:r>
          </w:p>
        </w:tc>
        <w:tc>
          <w:tcPr>
            <w:tcW w:w="495" w:type="dxa"/>
            <w:shd w:val="clear" w:color="auto" w:fill="auto"/>
            <w:vAlign w:val="bottom"/>
          </w:tcPr>
          <w:p w14:paraId="4C69363F" w14:textId="77DE8BB0" w:rsidR="00797231" w:rsidRPr="0046567B" w:rsidRDefault="00617041" w:rsidP="00AB0B0B">
            <w:pPr>
              <w:spacing w:after="120"/>
              <w:ind w:right="40"/>
              <w:jc w:val="right"/>
              <w:rPr>
                <w:iCs/>
                <w:szCs w:val="20"/>
              </w:rPr>
            </w:pPr>
            <w:r w:rsidRPr="0046567B">
              <w:rPr>
                <w:iCs/>
                <w:szCs w:val="20"/>
              </w:rPr>
              <w:t>26</w:t>
            </w:r>
          </w:p>
        </w:tc>
      </w:tr>
      <w:tr w:rsidR="00797231" w:rsidRPr="0046567B" w14:paraId="1D7B6453" w14:textId="77777777" w:rsidTr="00AB0B0B">
        <w:tc>
          <w:tcPr>
            <w:tcW w:w="8375" w:type="dxa"/>
            <w:gridSpan w:val="2"/>
            <w:shd w:val="clear" w:color="auto" w:fill="auto"/>
          </w:tcPr>
          <w:p w14:paraId="44114950" w14:textId="03174671" w:rsidR="00797231" w:rsidRPr="0046567B" w:rsidRDefault="00797231" w:rsidP="00797231">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et la pauvreté</w:t>
            </w:r>
            <w:r w:rsidRPr="0046567B">
              <w:rPr>
                <w:spacing w:val="60"/>
                <w:sz w:val="17"/>
                <w:lang w:val="fr-FR" w:bidi="fr-FR"/>
              </w:rPr>
              <w:tab/>
            </w:r>
          </w:p>
        </w:tc>
        <w:tc>
          <w:tcPr>
            <w:tcW w:w="994" w:type="dxa"/>
            <w:shd w:val="clear" w:color="auto" w:fill="auto"/>
            <w:vAlign w:val="bottom"/>
          </w:tcPr>
          <w:p w14:paraId="66365A7A" w14:textId="5E489449" w:rsidR="00797231" w:rsidRPr="0046567B" w:rsidRDefault="00617041" w:rsidP="00AB0B0B">
            <w:pPr>
              <w:spacing w:after="120"/>
              <w:ind w:right="40"/>
              <w:jc w:val="right"/>
              <w:rPr>
                <w:iCs/>
                <w:szCs w:val="20"/>
              </w:rPr>
            </w:pPr>
            <w:r w:rsidRPr="0046567B">
              <w:rPr>
                <w:iCs/>
                <w:szCs w:val="20"/>
              </w:rPr>
              <w:t>103-106</w:t>
            </w:r>
          </w:p>
        </w:tc>
        <w:tc>
          <w:tcPr>
            <w:tcW w:w="495" w:type="dxa"/>
            <w:shd w:val="clear" w:color="auto" w:fill="auto"/>
            <w:vAlign w:val="bottom"/>
          </w:tcPr>
          <w:p w14:paraId="4E39E10C" w14:textId="6C0F0708" w:rsidR="00797231" w:rsidRPr="0046567B" w:rsidRDefault="00617041" w:rsidP="00AB0B0B">
            <w:pPr>
              <w:spacing w:after="120"/>
              <w:ind w:right="40"/>
              <w:jc w:val="right"/>
              <w:rPr>
                <w:iCs/>
                <w:szCs w:val="20"/>
              </w:rPr>
            </w:pPr>
            <w:r w:rsidRPr="0046567B">
              <w:rPr>
                <w:iCs/>
                <w:szCs w:val="20"/>
              </w:rPr>
              <w:t>27</w:t>
            </w:r>
          </w:p>
        </w:tc>
      </w:tr>
      <w:tr w:rsidR="00797231" w:rsidRPr="0046567B" w14:paraId="25B4390F" w14:textId="77777777" w:rsidTr="00AB0B0B">
        <w:tc>
          <w:tcPr>
            <w:tcW w:w="8375" w:type="dxa"/>
            <w:gridSpan w:val="2"/>
            <w:shd w:val="clear" w:color="auto" w:fill="auto"/>
          </w:tcPr>
          <w:p w14:paraId="6740050F" w14:textId="02F9B600" w:rsidR="00797231" w:rsidRPr="0046567B" w:rsidRDefault="00797231" w:rsidP="00797231">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Services de l</w:t>
            </w:r>
            <w:r w:rsidR="00FB11B3" w:rsidRPr="0046567B">
              <w:rPr>
                <w:lang w:val="fr-FR" w:bidi="fr-FR"/>
              </w:rPr>
              <w:t>’</w:t>
            </w:r>
            <w:r w:rsidRPr="0046567B">
              <w:rPr>
                <w:lang w:val="fr-FR" w:bidi="fr-FR"/>
              </w:rPr>
              <w:t xml:space="preserve">emploi pour les femmes </w:t>
            </w:r>
            <w:r w:rsidRPr="0046567B">
              <w:rPr>
                <w:rFonts w:hint="eastAsia"/>
                <w:lang w:val="fr-FR" w:bidi="fr-FR"/>
              </w:rPr>
              <w:t>et les jeunes et programmes de reconversion professionnelle</w:t>
            </w:r>
            <w:r w:rsidRPr="0046567B">
              <w:rPr>
                <w:spacing w:val="60"/>
                <w:sz w:val="17"/>
                <w:lang w:val="fr-FR" w:bidi="fr-FR"/>
              </w:rPr>
              <w:tab/>
            </w:r>
          </w:p>
        </w:tc>
        <w:tc>
          <w:tcPr>
            <w:tcW w:w="994" w:type="dxa"/>
            <w:shd w:val="clear" w:color="auto" w:fill="auto"/>
            <w:vAlign w:val="bottom"/>
          </w:tcPr>
          <w:p w14:paraId="1E0EF275" w14:textId="479CB360" w:rsidR="00797231" w:rsidRPr="0046567B" w:rsidRDefault="00617041" w:rsidP="00AB0B0B">
            <w:pPr>
              <w:spacing w:after="120"/>
              <w:ind w:right="40"/>
              <w:jc w:val="right"/>
              <w:rPr>
                <w:iCs/>
                <w:szCs w:val="20"/>
              </w:rPr>
            </w:pPr>
            <w:r w:rsidRPr="0046567B">
              <w:rPr>
                <w:iCs/>
                <w:szCs w:val="20"/>
              </w:rPr>
              <w:t>107</w:t>
            </w:r>
          </w:p>
        </w:tc>
        <w:tc>
          <w:tcPr>
            <w:tcW w:w="495" w:type="dxa"/>
            <w:shd w:val="clear" w:color="auto" w:fill="auto"/>
            <w:vAlign w:val="bottom"/>
          </w:tcPr>
          <w:p w14:paraId="3E783C75" w14:textId="32DA3478" w:rsidR="00797231" w:rsidRPr="0046567B" w:rsidRDefault="00617041" w:rsidP="00AB0B0B">
            <w:pPr>
              <w:spacing w:after="120"/>
              <w:ind w:right="40"/>
              <w:jc w:val="right"/>
              <w:rPr>
                <w:iCs/>
                <w:szCs w:val="20"/>
              </w:rPr>
            </w:pPr>
            <w:r w:rsidRPr="0046567B">
              <w:rPr>
                <w:iCs/>
                <w:szCs w:val="20"/>
              </w:rPr>
              <w:t>27</w:t>
            </w:r>
          </w:p>
        </w:tc>
      </w:tr>
      <w:tr w:rsidR="00797231" w:rsidRPr="0046567B" w14:paraId="4702B2C3" w14:textId="77777777" w:rsidTr="00AB0B0B">
        <w:tc>
          <w:tcPr>
            <w:tcW w:w="8375" w:type="dxa"/>
            <w:gridSpan w:val="2"/>
            <w:shd w:val="clear" w:color="auto" w:fill="auto"/>
          </w:tcPr>
          <w:p w14:paraId="1467CCA0" w14:textId="4F232B51"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Main d</w:t>
            </w:r>
            <w:r w:rsidR="00FB11B3" w:rsidRPr="0046567B">
              <w:rPr>
                <w:lang w:val="fr-FR" w:bidi="fr-FR"/>
              </w:rPr>
              <w:t>’</w:t>
            </w:r>
            <w:r w:rsidRPr="0046567B">
              <w:rPr>
                <w:lang w:val="fr-FR" w:bidi="fr-FR"/>
              </w:rPr>
              <w:t>œuvre importée et personnel domestique étranger</w:t>
            </w:r>
            <w:r w:rsidRPr="0046567B">
              <w:rPr>
                <w:spacing w:val="60"/>
                <w:sz w:val="17"/>
                <w:lang w:val="fr-FR" w:bidi="fr-FR"/>
              </w:rPr>
              <w:tab/>
            </w:r>
          </w:p>
        </w:tc>
        <w:tc>
          <w:tcPr>
            <w:tcW w:w="994" w:type="dxa"/>
            <w:shd w:val="clear" w:color="auto" w:fill="auto"/>
            <w:vAlign w:val="bottom"/>
          </w:tcPr>
          <w:p w14:paraId="6D21DE47" w14:textId="7D91B27D" w:rsidR="00797231" w:rsidRPr="0046567B" w:rsidRDefault="00617041" w:rsidP="00AB0B0B">
            <w:pPr>
              <w:spacing w:after="120"/>
              <w:ind w:right="40"/>
              <w:jc w:val="right"/>
              <w:rPr>
                <w:iCs/>
                <w:szCs w:val="20"/>
              </w:rPr>
            </w:pPr>
            <w:r w:rsidRPr="0046567B">
              <w:rPr>
                <w:iCs/>
                <w:szCs w:val="20"/>
              </w:rPr>
              <w:t>108-118</w:t>
            </w:r>
          </w:p>
        </w:tc>
        <w:tc>
          <w:tcPr>
            <w:tcW w:w="495" w:type="dxa"/>
            <w:shd w:val="clear" w:color="auto" w:fill="auto"/>
            <w:vAlign w:val="bottom"/>
          </w:tcPr>
          <w:p w14:paraId="475946EC" w14:textId="39AE6FA0" w:rsidR="00797231" w:rsidRPr="0046567B" w:rsidRDefault="00617041" w:rsidP="00AB0B0B">
            <w:pPr>
              <w:spacing w:after="120"/>
              <w:ind w:right="40"/>
              <w:jc w:val="right"/>
              <w:rPr>
                <w:iCs/>
                <w:szCs w:val="20"/>
              </w:rPr>
            </w:pPr>
            <w:r w:rsidRPr="0046567B">
              <w:rPr>
                <w:iCs/>
                <w:szCs w:val="20"/>
              </w:rPr>
              <w:t>28</w:t>
            </w:r>
          </w:p>
        </w:tc>
      </w:tr>
      <w:tr w:rsidR="00797231" w:rsidRPr="0046567B" w14:paraId="7CE0B7AF" w14:textId="77777777" w:rsidTr="00AB0B0B">
        <w:tc>
          <w:tcPr>
            <w:tcW w:w="8375" w:type="dxa"/>
            <w:gridSpan w:val="2"/>
            <w:shd w:val="clear" w:color="auto" w:fill="auto"/>
          </w:tcPr>
          <w:p w14:paraId="6B473323" w14:textId="5A8726AC"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Services et infrastructures pour la garde d</w:t>
            </w:r>
            <w:r w:rsidR="00FB11B3" w:rsidRPr="0046567B">
              <w:rPr>
                <w:lang w:val="fr-FR" w:bidi="fr-FR"/>
              </w:rPr>
              <w:t>’</w:t>
            </w:r>
            <w:r w:rsidRPr="0046567B">
              <w:rPr>
                <w:lang w:val="fr-FR" w:bidi="fr-FR"/>
              </w:rPr>
              <w:t>enfants</w:t>
            </w:r>
            <w:r w:rsidRPr="0046567B">
              <w:rPr>
                <w:spacing w:val="60"/>
                <w:sz w:val="17"/>
                <w:lang w:val="fr-FR" w:bidi="fr-FR"/>
              </w:rPr>
              <w:tab/>
            </w:r>
          </w:p>
        </w:tc>
        <w:tc>
          <w:tcPr>
            <w:tcW w:w="994" w:type="dxa"/>
            <w:shd w:val="clear" w:color="auto" w:fill="auto"/>
            <w:vAlign w:val="bottom"/>
          </w:tcPr>
          <w:p w14:paraId="2581BC07" w14:textId="09E14810" w:rsidR="00797231" w:rsidRPr="0046567B" w:rsidRDefault="00617041" w:rsidP="00AB0B0B">
            <w:pPr>
              <w:spacing w:after="120"/>
              <w:ind w:right="40"/>
              <w:jc w:val="right"/>
              <w:rPr>
                <w:iCs/>
                <w:szCs w:val="20"/>
              </w:rPr>
            </w:pPr>
            <w:r w:rsidRPr="0046567B">
              <w:rPr>
                <w:iCs/>
                <w:szCs w:val="20"/>
              </w:rPr>
              <w:t>119-120</w:t>
            </w:r>
          </w:p>
        </w:tc>
        <w:tc>
          <w:tcPr>
            <w:tcW w:w="495" w:type="dxa"/>
            <w:shd w:val="clear" w:color="auto" w:fill="auto"/>
            <w:vAlign w:val="bottom"/>
          </w:tcPr>
          <w:p w14:paraId="7D172B2F" w14:textId="516807EE" w:rsidR="00797231" w:rsidRPr="0046567B" w:rsidRDefault="00617041" w:rsidP="00AB0B0B">
            <w:pPr>
              <w:spacing w:after="120"/>
              <w:ind w:right="40"/>
              <w:jc w:val="right"/>
              <w:rPr>
                <w:iCs/>
                <w:szCs w:val="20"/>
              </w:rPr>
            </w:pPr>
            <w:r w:rsidRPr="0046567B">
              <w:rPr>
                <w:iCs/>
                <w:szCs w:val="20"/>
              </w:rPr>
              <w:t>30</w:t>
            </w:r>
          </w:p>
        </w:tc>
      </w:tr>
      <w:tr w:rsidR="00797231" w:rsidRPr="0046567B" w14:paraId="376B0F8F" w14:textId="77777777" w:rsidTr="00AB0B0B">
        <w:tc>
          <w:tcPr>
            <w:tcW w:w="8375" w:type="dxa"/>
            <w:gridSpan w:val="2"/>
            <w:shd w:val="clear" w:color="auto" w:fill="auto"/>
          </w:tcPr>
          <w:p w14:paraId="70B212F5" w14:textId="691A972D"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Promotion des pratiques d</w:t>
            </w:r>
            <w:r w:rsidR="00FB11B3" w:rsidRPr="0046567B">
              <w:rPr>
                <w:lang w:val="fr-FR" w:bidi="fr-FR"/>
              </w:rPr>
              <w:t>’</w:t>
            </w:r>
            <w:r w:rsidRPr="0046567B">
              <w:rPr>
                <w:lang w:val="fr-FR" w:bidi="fr-FR"/>
              </w:rPr>
              <w:t>emploi favorables à la famille</w:t>
            </w:r>
            <w:r w:rsidRPr="0046567B">
              <w:rPr>
                <w:spacing w:val="60"/>
                <w:sz w:val="17"/>
                <w:lang w:val="fr-FR" w:bidi="fr-FR"/>
              </w:rPr>
              <w:tab/>
            </w:r>
          </w:p>
        </w:tc>
        <w:tc>
          <w:tcPr>
            <w:tcW w:w="994" w:type="dxa"/>
            <w:shd w:val="clear" w:color="auto" w:fill="auto"/>
            <w:vAlign w:val="bottom"/>
          </w:tcPr>
          <w:p w14:paraId="7A8E41CD" w14:textId="1E173D9E" w:rsidR="00797231" w:rsidRPr="0046567B" w:rsidRDefault="00617041" w:rsidP="00AB0B0B">
            <w:pPr>
              <w:spacing w:after="120"/>
              <w:ind w:right="40"/>
              <w:jc w:val="right"/>
              <w:rPr>
                <w:iCs/>
                <w:szCs w:val="20"/>
              </w:rPr>
            </w:pPr>
            <w:r w:rsidRPr="0046567B">
              <w:rPr>
                <w:iCs/>
                <w:szCs w:val="20"/>
              </w:rPr>
              <w:t>121</w:t>
            </w:r>
          </w:p>
        </w:tc>
        <w:tc>
          <w:tcPr>
            <w:tcW w:w="495" w:type="dxa"/>
            <w:shd w:val="clear" w:color="auto" w:fill="auto"/>
            <w:vAlign w:val="bottom"/>
          </w:tcPr>
          <w:p w14:paraId="3E7F5EF7" w14:textId="1EB8DF33" w:rsidR="00797231" w:rsidRPr="0046567B" w:rsidRDefault="00617041" w:rsidP="00AB0B0B">
            <w:pPr>
              <w:spacing w:after="120"/>
              <w:ind w:right="40"/>
              <w:jc w:val="right"/>
              <w:rPr>
                <w:iCs/>
                <w:szCs w:val="20"/>
              </w:rPr>
            </w:pPr>
            <w:r w:rsidRPr="0046567B">
              <w:rPr>
                <w:iCs/>
                <w:szCs w:val="20"/>
              </w:rPr>
              <w:t>30</w:t>
            </w:r>
          </w:p>
        </w:tc>
      </w:tr>
      <w:tr w:rsidR="00797231" w:rsidRPr="0046567B" w14:paraId="2F175269" w14:textId="77777777" w:rsidTr="00AB0B0B">
        <w:tc>
          <w:tcPr>
            <w:tcW w:w="8375" w:type="dxa"/>
            <w:gridSpan w:val="2"/>
            <w:shd w:val="clear" w:color="auto" w:fill="auto"/>
          </w:tcPr>
          <w:p w14:paraId="0CA89CC9" w14:textId="28227AB2" w:rsidR="00797231" w:rsidRPr="0046567B" w:rsidRDefault="00797231" w:rsidP="00797231">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À travail égal, salaire égal</w:t>
            </w:r>
            <w:r w:rsidRPr="0046567B">
              <w:rPr>
                <w:spacing w:val="60"/>
                <w:sz w:val="17"/>
                <w:lang w:val="fr-FR" w:bidi="fr-FR"/>
              </w:rPr>
              <w:tab/>
            </w:r>
          </w:p>
        </w:tc>
        <w:tc>
          <w:tcPr>
            <w:tcW w:w="994" w:type="dxa"/>
            <w:shd w:val="clear" w:color="auto" w:fill="auto"/>
            <w:vAlign w:val="bottom"/>
          </w:tcPr>
          <w:p w14:paraId="3B938E61" w14:textId="0343A6DA" w:rsidR="00797231" w:rsidRPr="0046567B" w:rsidRDefault="00617041" w:rsidP="00AB0B0B">
            <w:pPr>
              <w:spacing w:after="120"/>
              <w:ind w:right="40"/>
              <w:jc w:val="right"/>
              <w:rPr>
                <w:iCs/>
                <w:szCs w:val="20"/>
              </w:rPr>
            </w:pPr>
            <w:r w:rsidRPr="0046567B">
              <w:rPr>
                <w:iCs/>
                <w:szCs w:val="20"/>
              </w:rPr>
              <w:t>122</w:t>
            </w:r>
          </w:p>
        </w:tc>
        <w:tc>
          <w:tcPr>
            <w:tcW w:w="495" w:type="dxa"/>
            <w:shd w:val="clear" w:color="auto" w:fill="auto"/>
            <w:vAlign w:val="bottom"/>
          </w:tcPr>
          <w:p w14:paraId="26CA0465" w14:textId="77899626" w:rsidR="00797231" w:rsidRPr="0046567B" w:rsidRDefault="00617041" w:rsidP="00AB0B0B">
            <w:pPr>
              <w:spacing w:after="120"/>
              <w:ind w:right="40"/>
              <w:jc w:val="right"/>
              <w:rPr>
                <w:iCs/>
                <w:szCs w:val="20"/>
              </w:rPr>
            </w:pPr>
            <w:r w:rsidRPr="0046567B">
              <w:rPr>
                <w:iCs/>
                <w:szCs w:val="20"/>
              </w:rPr>
              <w:t>30</w:t>
            </w:r>
          </w:p>
        </w:tc>
      </w:tr>
      <w:tr w:rsidR="00797231" w:rsidRPr="0046567B" w14:paraId="4ED34275" w14:textId="77777777" w:rsidTr="00AB0B0B">
        <w:tc>
          <w:tcPr>
            <w:tcW w:w="8375" w:type="dxa"/>
            <w:gridSpan w:val="2"/>
            <w:shd w:val="clear" w:color="auto" w:fill="auto"/>
          </w:tcPr>
          <w:p w14:paraId="2BE7D17A" w14:textId="2CB5CC3D"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728" w:hanging="648"/>
              <w:rPr>
                <w:spacing w:val="60"/>
                <w:sz w:val="17"/>
                <w:lang w:val="fr-FR" w:bidi="fr-FR"/>
              </w:rPr>
            </w:pPr>
            <w:r w:rsidRPr="0046567B">
              <w:rPr>
                <w:lang w:val="fr-FR" w:bidi="fr-FR"/>
              </w:rPr>
              <w:t>Article 12 – Égalité d</w:t>
            </w:r>
            <w:r w:rsidR="00FB11B3" w:rsidRPr="0046567B">
              <w:rPr>
                <w:lang w:val="fr-FR" w:bidi="fr-FR"/>
              </w:rPr>
              <w:t>’</w:t>
            </w:r>
            <w:r w:rsidRPr="0046567B">
              <w:rPr>
                <w:lang w:val="fr-FR" w:bidi="fr-FR"/>
              </w:rPr>
              <w:t>accès aux services de santé</w:t>
            </w:r>
            <w:r w:rsidRPr="0046567B">
              <w:rPr>
                <w:spacing w:val="60"/>
                <w:sz w:val="17"/>
                <w:lang w:val="fr-FR" w:bidi="fr-FR"/>
              </w:rPr>
              <w:tab/>
            </w:r>
          </w:p>
        </w:tc>
        <w:tc>
          <w:tcPr>
            <w:tcW w:w="994" w:type="dxa"/>
            <w:shd w:val="clear" w:color="auto" w:fill="auto"/>
            <w:vAlign w:val="bottom"/>
          </w:tcPr>
          <w:p w14:paraId="775BF588" w14:textId="6F578211" w:rsidR="00797231" w:rsidRPr="0046567B" w:rsidRDefault="00617041" w:rsidP="00AB0B0B">
            <w:pPr>
              <w:spacing w:after="120"/>
              <w:ind w:right="40"/>
              <w:jc w:val="right"/>
              <w:rPr>
                <w:iCs/>
                <w:szCs w:val="20"/>
              </w:rPr>
            </w:pPr>
            <w:r w:rsidRPr="0046567B">
              <w:rPr>
                <w:iCs/>
                <w:szCs w:val="20"/>
              </w:rPr>
              <w:t>123-134</w:t>
            </w:r>
          </w:p>
        </w:tc>
        <w:tc>
          <w:tcPr>
            <w:tcW w:w="495" w:type="dxa"/>
            <w:shd w:val="clear" w:color="auto" w:fill="auto"/>
            <w:vAlign w:val="bottom"/>
          </w:tcPr>
          <w:p w14:paraId="1DE755CC" w14:textId="0C7C3758" w:rsidR="00797231" w:rsidRPr="0046567B" w:rsidRDefault="00617041" w:rsidP="00AB0B0B">
            <w:pPr>
              <w:spacing w:after="120"/>
              <w:ind w:right="40"/>
              <w:jc w:val="right"/>
              <w:rPr>
                <w:iCs/>
                <w:szCs w:val="20"/>
              </w:rPr>
            </w:pPr>
            <w:r w:rsidRPr="0046567B">
              <w:rPr>
                <w:iCs/>
                <w:szCs w:val="20"/>
              </w:rPr>
              <w:t>31</w:t>
            </w:r>
          </w:p>
        </w:tc>
      </w:tr>
      <w:tr w:rsidR="00797231" w:rsidRPr="0046567B" w14:paraId="2BC6D94E" w14:textId="77777777" w:rsidTr="00AB0B0B">
        <w:tc>
          <w:tcPr>
            <w:tcW w:w="8375" w:type="dxa"/>
            <w:gridSpan w:val="2"/>
            <w:shd w:val="clear" w:color="auto" w:fill="auto"/>
          </w:tcPr>
          <w:p w14:paraId="078AB9F6" w14:textId="68C5037C" w:rsidR="00797231" w:rsidRPr="0046567B" w:rsidRDefault="00797231" w:rsidP="00797231">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Présentation des nouveautés</w:t>
            </w:r>
            <w:r w:rsidRPr="0046567B">
              <w:rPr>
                <w:spacing w:val="60"/>
                <w:sz w:val="17"/>
                <w:lang w:val="fr-FR" w:bidi="fr-FR"/>
              </w:rPr>
              <w:tab/>
            </w:r>
          </w:p>
        </w:tc>
        <w:tc>
          <w:tcPr>
            <w:tcW w:w="994" w:type="dxa"/>
            <w:shd w:val="clear" w:color="auto" w:fill="auto"/>
            <w:vAlign w:val="bottom"/>
          </w:tcPr>
          <w:p w14:paraId="700CC1F2" w14:textId="5DF1B5FD" w:rsidR="00797231" w:rsidRPr="0046567B" w:rsidRDefault="00617041" w:rsidP="00AB0B0B">
            <w:pPr>
              <w:spacing w:after="120"/>
              <w:ind w:right="40"/>
              <w:jc w:val="right"/>
              <w:rPr>
                <w:iCs/>
                <w:szCs w:val="20"/>
              </w:rPr>
            </w:pPr>
            <w:r w:rsidRPr="0046567B">
              <w:rPr>
                <w:iCs/>
                <w:szCs w:val="20"/>
              </w:rPr>
              <w:t>123-133</w:t>
            </w:r>
          </w:p>
        </w:tc>
        <w:tc>
          <w:tcPr>
            <w:tcW w:w="495" w:type="dxa"/>
            <w:shd w:val="clear" w:color="auto" w:fill="auto"/>
            <w:vAlign w:val="bottom"/>
          </w:tcPr>
          <w:p w14:paraId="347947DE" w14:textId="57060553" w:rsidR="00797231" w:rsidRPr="0046567B" w:rsidRDefault="00617041" w:rsidP="00AB0B0B">
            <w:pPr>
              <w:spacing w:after="120"/>
              <w:ind w:right="40"/>
              <w:jc w:val="right"/>
              <w:rPr>
                <w:iCs/>
                <w:szCs w:val="20"/>
              </w:rPr>
            </w:pPr>
            <w:r w:rsidRPr="0046567B">
              <w:rPr>
                <w:iCs/>
                <w:szCs w:val="20"/>
              </w:rPr>
              <w:t>31</w:t>
            </w:r>
          </w:p>
        </w:tc>
      </w:tr>
      <w:tr w:rsidR="00797231" w:rsidRPr="0046567B" w14:paraId="269E6BA1" w14:textId="77777777" w:rsidTr="00AB0B0B">
        <w:tc>
          <w:tcPr>
            <w:tcW w:w="8375" w:type="dxa"/>
            <w:gridSpan w:val="2"/>
            <w:shd w:val="clear" w:color="auto" w:fill="auto"/>
          </w:tcPr>
          <w:p w14:paraId="182AF92B" w14:textId="5B073E02"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Présentation des services destinés aux femmes ayant des besoins particuliers</w:t>
            </w:r>
            <w:r w:rsidRPr="0046567B">
              <w:rPr>
                <w:spacing w:val="60"/>
                <w:sz w:val="17"/>
                <w:lang w:val="fr-FR" w:bidi="fr-FR"/>
              </w:rPr>
              <w:tab/>
            </w:r>
          </w:p>
        </w:tc>
        <w:tc>
          <w:tcPr>
            <w:tcW w:w="994" w:type="dxa"/>
            <w:shd w:val="clear" w:color="auto" w:fill="auto"/>
            <w:vAlign w:val="bottom"/>
          </w:tcPr>
          <w:p w14:paraId="43A5B6CB" w14:textId="78B75EDC" w:rsidR="00797231" w:rsidRPr="0046567B" w:rsidRDefault="00617041" w:rsidP="00AB0B0B">
            <w:pPr>
              <w:spacing w:after="120"/>
              <w:ind w:right="40"/>
              <w:jc w:val="right"/>
              <w:rPr>
                <w:iCs/>
                <w:szCs w:val="20"/>
              </w:rPr>
            </w:pPr>
            <w:r w:rsidRPr="0046567B">
              <w:rPr>
                <w:iCs/>
                <w:szCs w:val="20"/>
              </w:rPr>
              <w:t>134</w:t>
            </w:r>
          </w:p>
        </w:tc>
        <w:tc>
          <w:tcPr>
            <w:tcW w:w="495" w:type="dxa"/>
            <w:shd w:val="clear" w:color="auto" w:fill="auto"/>
            <w:vAlign w:val="bottom"/>
          </w:tcPr>
          <w:p w14:paraId="47627139" w14:textId="1D0770BC" w:rsidR="00797231" w:rsidRPr="0046567B" w:rsidRDefault="00617041" w:rsidP="00AB0B0B">
            <w:pPr>
              <w:spacing w:after="120"/>
              <w:ind w:right="40"/>
              <w:jc w:val="right"/>
              <w:rPr>
                <w:iCs/>
                <w:szCs w:val="20"/>
              </w:rPr>
            </w:pPr>
            <w:r w:rsidRPr="0046567B">
              <w:rPr>
                <w:iCs/>
                <w:szCs w:val="20"/>
              </w:rPr>
              <w:t>32</w:t>
            </w:r>
          </w:p>
        </w:tc>
      </w:tr>
      <w:tr w:rsidR="00797231" w:rsidRPr="0046567B" w14:paraId="06B87CD1" w14:textId="77777777" w:rsidTr="00AB0B0B">
        <w:tc>
          <w:tcPr>
            <w:tcW w:w="8375" w:type="dxa"/>
            <w:gridSpan w:val="2"/>
            <w:shd w:val="clear" w:color="auto" w:fill="auto"/>
          </w:tcPr>
          <w:p w14:paraId="369AFACE" w14:textId="13126C4F" w:rsidR="00797231" w:rsidRPr="0046567B" w:rsidRDefault="00797231" w:rsidP="0079723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728" w:hanging="648"/>
              <w:rPr>
                <w:spacing w:val="60"/>
                <w:sz w:val="17"/>
                <w:lang w:val="fr-FR" w:bidi="fr-FR"/>
              </w:rPr>
            </w:pPr>
            <w:r w:rsidRPr="0046567B">
              <w:rPr>
                <w:lang w:val="fr-FR" w:bidi="fr-FR"/>
              </w:rPr>
              <w:t>Article 13 – Place des femmes dans la vie économique, sociale et culturelle</w:t>
            </w:r>
            <w:r w:rsidRPr="0046567B">
              <w:rPr>
                <w:spacing w:val="60"/>
                <w:sz w:val="17"/>
                <w:lang w:val="fr-FR" w:bidi="fr-FR"/>
              </w:rPr>
              <w:tab/>
            </w:r>
          </w:p>
        </w:tc>
        <w:tc>
          <w:tcPr>
            <w:tcW w:w="994" w:type="dxa"/>
            <w:shd w:val="clear" w:color="auto" w:fill="auto"/>
            <w:vAlign w:val="bottom"/>
          </w:tcPr>
          <w:p w14:paraId="72946FEC" w14:textId="4A07DB9E" w:rsidR="00797231" w:rsidRPr="0046567B" w:rsidRDefault="00617041" w:rsidP="00AB0B0B">
            <w:pPr>
              <w:spacing w:after="120"/>
              <w:ind w:right="40"/>
              <w:jc w:val="right"/>
              <w:rPr>
                <w:iCs/>
                <w:szCs w:val="20"/>
              </w:rPr>
            </w:pPr>
            <w:r w:rsidRPr="0046567B">
              <w:rPr>
                <w:iCs/>
                <w:szCs w:val="20"/>
              </w:rPr>
              <w:t>135-150</w:t>
            </w:r>
          </w:p>
        </w:tc>
        <w:tc>
          <w:tcPr>
            <w:tcW w:w="495" w:type="dxa"/>
            <w:shd w:val="clear" w:color="auto" w:fill="auto"/>
            <w:vAlign w:val="bottom"/>
          </w:tcPr>
          <w:p w14:paraId="4396AEB0" w14:textId="661F8882" w:rsidR="00797231" w:rsidRPr="0046567B" w:rsidRDefault="00617041" w:rsidP="00AB0B0B">
            <w:pPr>
              <w:spacing w:after="120"/>
              <w:ind w:right="40"/>
              <w:jc w:val="right"/>
              <w:rPr>
                <w:iCs/>
                <w:szCs w:val="20"/>
              </w:rPr>
            </w:pPr>
            <w:r w:rsidRPr="0046567B">
              <w:rPr>
                <w:iCs/>
                <w:szCs w:val="20"/>
              </w:rPr>
              <w:t>33</w:t>
            </w:r>
          </w:p>
        </w:tc>
      </w:tr>
      <w:tr w:rsidR="00797231" w:rsidRPr="0046567B" w14:paraId="729BB422" w14:textId="77777777" w:rsidTr="00AB0B0B">
        <w:tc>
          <w:tcPr>
            <w:tcW w:w="8375" w:type="dxa"/>
            <w:gridSpan w:val="2"/>
            <w:shd w:val="clear" w:color="auto" w:fill="auto"/>
          </w:tcPr>
          <w:p w14:paraId="328018AD" w14:textId="5FB07B27" w:rsidR="00797231" w:rsidRPr="0046567B" w:rsidRDefault="00797231" w:rsidP="00797231">
            <w:pPr>
              <w:tabs>
                <w:tab w:val="left" w:pos="1296"/>
                <w:tab w:val="left" w:pos="1728"/>
                <w:tab w:val="left" w:pos="2160"/>
                <w:tab w:val="left" w:pos="2592"/>
                <w:tab w:val="left" w:pos="302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Sécurité sociale</w:t>
            </w:r>
            <w:r w:rsidRPr="0046567B">
              <w:rPr>
                <w:spacing w:val="60"/>
                <w:sz w:val="17"/>
                <w:lang w:val="fr-FR" w:bidi="fr-FR"/>
              </w:rPr>
              <w:tab/>
            </w:r>
          </w:p>
        </w:tc>
        <w:tc>
          <w:tcPr>
            <w:tcW w:w="994" w:type="dxa"/>
            <w:shd w:val="clear" w:color="auto" w:fill="auto"/>
            <w:vAlign w:val="bottom"/>
          </w:tcPr>
          <w:p w14:paraId="773F6402" w14:textId="7B463336" w:rsidR="00797231" w:rsidRPr="0046567B" w:rsidRDefault="00617041" w:rsidP="00AB0B0B">
            <w:pPr>
              <w:spacing w:after="120"/>
              <w:ind w:right="40"/>
              <w:jc w:val="right"/>
              <w:rPr>
                <w:iCs/>
                <w:szCs w:val="20"/>
              </w:rPr>
            </w:pPr>
            <w:r w:rsidRPr="0046567B">
              <w:rPr>
                <w:iCs/>
                <w:szCs w:val="20"/>
              </w:rPr>
              <w:t>135-136</w:t>
            </w:r>
          </w:p>
        </w:tc>
        <w:tc>
          <w:tcPr>
            <w:tcW w:w="495" w:type="dxa"/>
            <w:shd w:val="clear" w:color="auto" w:fill="auto"/>
            <w:vAlign w:val="bottom"/>
          </w:tcPr>
          <w:p w14:paraId="55ECA5A6" w14:textId="3489D953" w:rsidR="00797231" w:rsidRPr="0046567B" w:rsidRDefault="00617041" w:rsidP="00AB0B0B">
            <w:pPr>
              <w:spacing w:after="120"/>
              <w:ind w:right="40"/>
              <w:jc w:val="right"/>
              <w:rPr>
                <w:iCs/>
                <w:szCs w:val="20"/>
              </w:rPr>
            </w:pPr>
            <w:r w:rsidRPr="0046567B">
              <w:rPr>
                <w:iCs/>
                <w:szCs w:val="20"/>
              </w:rPr>
              <w:t>33</w:t>
            </w:r>
          </w:p>
        </w:tc>
      </w:tr>
      <w:tr w:rsidR="008373EE" w:rsidRPr="0046567B" w14:paraId="0A8AC993" w14:textId="77777777" w:rsidTr="00AB0B0B">
        <w:tc>
          <w:tcPr>
            <w:tcW w:w="8375" w:type="dxa"/>
            <w:gridSpan w:val="2"/>
            <w:shd w:val="clear" w:color="auto" w:fill="auto"/>
          </w:tcPr>
          <w:p w14:paraId="20230783" w14:textId="118E3F1C"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nouvellement arrivées sur le territoire</w:t>
            </w:r>
            <w:r w:rsidRPr="0046567B">
              <w:rPr>
                <w:rFonts w:hint="eastAsia"/>
                <w:lang w:val="fr-FR" w:bidi="fr-FR"/>
              </w:rPr>
              <w:t xml:space="preserve"> et les parents </w:t>
            </w:r>
            <w:r w:rsidRPr="0046567B">
              <w:rPr>
                <w:lang w:val="fr-FR" w:bidi="fr-FR"/>
              </w:rPr>
              <w:t>seuls</w:t>
            </w:r>
            <w:r w:rsidRPr="0046567B">
              <w:rPr>
                <w:spacing w:val="60"/>
                <w:sz w:val="17"/>
                <w:lang w:val="fr-FR" w:bidi="fr-FR"/>
              </w:rPr>
              <w:tab/>
            </w:r>
          </w:p>
        </w:tc>
        <w:tc>
          <w:tcPr>
            <w:tcW w:w="994" w:type="dxa"/>
            <w:shd w:val="clear" w:color="auto" w:fill="auto"/>
            <w:vAlign w:val="bottom"/>
          </w:tcPr>
          <w:p w14:paraId="7AE3F052" w14:textId="66BCE455" w:rsidR="008373EE" w:rsidRPr="0046567B" w:rsidRDefault="00617041" w:rsidP="00AB0B0B">
            <w:pPr>
              <w:spacing w:after="120"/>
              <w:ind w:right="40"/>
              <w:jc w:val="right"/>
              <w:rPr>
                <w:iCs/>
                <w:szCs w:val="20"/>
              </w:rPr>
            </w:pPr>
            <w:r w:rsidRPr="0046567B">
              <w:rPr>
                <w:iCs/>
                <w:szCs w:val="20"/>
              </w:rPr>
              <w:t>137</w:t>
            </w:r>
          </w:p>
        </w:tc>
        <w:tc>
          <w:tcPr>
            <w:tcW w:w="495" w:type="dxa"/>
            <w:shd w:val="clear" w:color="auto" w:fill="auto"/>
            <w:vAlign w:val="bottom"/>
          </w:tcPr>
          <w:p w14:paraId="158781C9" w14:textId="21AB7C4F" w:rsidR="008373EE" w:rsidRPr="0046567B" w:rsidRDefault="00617041" w:rsidP="00AB0B0B">
            <w:pPr>
              <w:spacing w:after="120"/>
              <w:ind w:right="40"/>
              <w:jc w:val="right"/>
              <w:rPr>
                <w:iCs/>
                <w:szCs w:val="20"/>
              </w:rPr>
            </w:pPr>
            <w:r w:rsidRPr="0046567B">
              <w:rPr>
                <w:iCs/>
                <w:szCs w:val="20"/>
              </w:rPr>
              <w:t>33</w:t>
            </w:r>
          </w:p>
        </w:tc>
      </w:tr>
      <w:tr w:rsidR="008373EE" w:rsidRPr="0046567B" w14:paraId="7CB0A834" w14:textId="77777777" w:rsidTr="00AB0B0B">
        <w:tc>
          <w:tcPr>
            <w:tcW w:w="8375" w:type="dxa"/>
            <w:gridSpan w:val="2"/>
            <w:shd w:val="clear" w:color="auto" w:fill="auto"/>
          </w:tcPr>
          <w:p w14:paraId="0B6AA703" w14:textId="02CCA19C"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Amélioration des services de conseil et autres services aux familles pour les femmes en situation de séparation ou de divorce</w:t>
            </w:r>
            <w:r w:rsidRPr="0046567B">
              <w:rPr>
                <w:spacing w:val="60"/>
                <w:sz w:val="17"/>
                <w:lang w:val="fr-FR" w:bidi="fr-FR"/>
              </w:rPr>
              <w:tab/>
            </w:r>
          </w:p>
        </w:tc>
        <w:tc>
          <w:tcPr>
            <w:tcW w:w="994" w:type="dxa"/>
            <w:shd w:val="clear" w:color="auto" w:fill="auto"/>
            <w:vAlign w:val="bottom"/>
          </w:tcPr>
          <w:p w14:paraId="1595D34B" w14:textId="4EE64B60" w:rsidR="008373EE" w:rsidRPr="0046567B" w:rsidRDefault="00617041" w:rsidP="00AB0B0B">
            <w:pPr>
              <w:spacing w:after="120"/>
              <w:ind w:right="40"/>
              <w:jc w:val="right"/>
              <w:rPr>
                <w:iCs/>
                <w:szCs w:val="20"/>
              </w:rPr>
            </w:pPr>
            <w:r w:rsidRPr="0046567B">
              <w:rPr>
                <w:iCs/>
                <w:szCs w:val="20"/>
              </w:rPr>
              <w:t>138</w:t>
            </w:r>
          </w:p>
        </w:tc>
        <w:tc>
          <w:tcPr>
            <w:tcW w:w="495" w:type="dxa"/>
            <w:shd w:val="clear" w:color="auto" w:fill="auto"/>
            <w:vAlign w:val="bottom"/>
          </w:tcPr>
          <w:p w14:paraId="2FD79660" w14:textId="278178D0" w:rsidR="008373EE" w:rsidRPr="0046567B" w:rsidRDefault="00617041" w:rsidP="00AB0B0B">
            <w:pPr>
              <w:spacing w:after="120"/>
              <w:ind w:right="40"/>
              <w:jc w:val="right"/>
              <w:rPr>
                <w:iCs/>
                <w:szCs w:val="20"/>
              </w:rPr>
            </w:pPr>
            <w:r w:rsidRPr="0046567B">
              <w:rPr>
                <w:iCs/>
                <w:szCs w:val="20"/>
              </w:rPr>
              <w:t>33</w:t>
            </w:r>
          </w:p>
        </w:tc>
      </w:tr>
      <w:tr w:rsidR="008373EE" w:rsidRPr="0046567B" w14:paraId="26BC0FA8" w14:textId="77777777" w:rsidTr="00AB0B0B">
        <w:tc>
          <w:tcPr>
            <w:tcW w:w="8375" w:type="dxa"/>
            <w:gridSpan w:val="2"/>
            <w:shd w:val="clear" w:color="auto" w:fill="auto"/>
          </w:tcPr>
          <w:p w14:paraId="3ADEBA6F" w14:textId="068FEA9E" w:rsidR="008373EE" w:rsidRPr="0046567B" w:rsidRDefault="008373EE" w:rsidP="008373EE">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handicapées</w:t>
            </w:r>
            <w:r w:rsidRPr="0046567B">
              <w:rPr>
                <w:spacing w:val="60"/>
                <w:sz w:val="17"/>
                <w:lang w:val="fr-FR" w:bidi="fr-FR"/>
              </w:rPr>
              <w:tab/>
            </w:r>
          </w:p>
        </w:tc>
        <w:tc>
          <w:tcPr>
            <w:tcW w:w="994" w:type="dxa"/>
            <w:shd w:val="clear" w:color="auto" w:fill="auto"/>
            <w:vAlign w:val="bottom"/>
          </w:tcPr>
          <w:p w14:paraId="0DA2FC7C" w14:textId="4EA4C103" w:rsidR="008373EE" w:rsidRPr="0046567B" w:rsidRDefault="00617041" w:rsidP="00AB0B0B">
            <w:pPr>
              <w:spacing w:after="120"/>
              <w:ind w:right="40"/>
              <w:jc w:val="right"/>
              <w:rPr>
                <w:iCs/>
                <w:szCs w:val="20"/>
              </w:rPr>
            </w:pPr>
            <w:r w:rsidRPr="0046567B">
              <w:rPr>
                <w:iCs/>
                <w:szCs w:val="20"/>
              </w:rPr>
              <w:t>139-141</w:t>
            </w:r>
          </w:p>
        </w:tc>
        <w:tc>
          <w:tcPr>
            <w:tcW w:w="495" w:type="dxa"/>
            <w:shd w:val="clear" w:color="auto" w:fill="auto"/>
            <w:vAlign w:val="bottom"/>
          </w:tcPr>
          <w:p w14:paraId="40BCD173" w14:textId="2179B3BC" w:rsidR="008373EE" w:rsidRPr="0046567B" w:rsidRDefault="00617041" w:rsidP="00AB0B0B">
            <w:pPr>
              <w:spacing w:after="120"/>
              <w:ind w:right="40"/>
              <w:jc w:val="right"/>
              <w:rPr>
                <w:iCs/>
                <w:szCs w:val="20"/>
              </w:rPr>
            </w:pPr>
            <w:r w:rsidRPr="0046567B">
              <w:rPr>
                <w:iCs/>
                <w:szCs w:val="20"/>
              </w:rPr>
              <w:t>34</w:t>
            </w:r>
          </w:p>
        </w:tc>
      </w:tr>
      <w:tr w:rsidR="008373EE" w:rsidRPr="0046567B" w14:paraId="377377B1" w14:textId="77777777" w:rsidTr="00AB0B0B">
        <w:tc>
          <w:tcPr>
            <w:tcW w:w="8375" w:type="dxa"/>
            <w:gridSpan w:val="2"/>
            <w:shd w:val="clear" w:color="auto" w:fill="auto"/>
          </w:tcPr>
          <w:p w14:paraId="467183E9" w14:textId="6843DC0A"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issues de minorités ethniques</w:t>
            </w:r>
            <w:r w:rsidRPr="0046567B">
              <w:rPr>
                <w:spacing w:val="60"/>
                <w:sz w:val="17"/>
                <w:lang w:val="fr-FR" w:bidi="fr-FR"/>
              </w:rPr>
              <w:tab/>
            </w:r>
          </w:p>
        </w:tc>
        <w:tc>
          <w:tcPr>
            <w:tcW w:w="994" w:type="dxa"/>
            <w:shd w:val="clear" w:color="auto" w:fill="auto"/>
            <w:vAlign w:val="bottom"/>
          </w:tcPr>
          <w:p w14:paraId="0BDE60A8" w14:textId="3779C44D" w:rsidR="008373EE" w:rsidRPr="0046567B" w:rsidRDefault="00617041" w:rsidP="00AB0B0B">
            <w:pPr>
              <w:spacing w:after="120"/>
              <w:ind w:right="40"/>
              <w:jc w:val="right"/>
              <w:rPr>
                <w:iCs/>
                <w:szCs w:val="20"/>
              </w:rPr>
            </w:pPr>
            <w:r w:rsidRPr="0046567B">
              <w:rPr>
                <w:iCs/>
                <w:szCs w:val="20"/>
              </w:rPr>
              <w:t>142-148</w:t>
            </w:r>
          </w:p>
        </w:tc>
        <w:tc>
          <w:tcPr>
            <w:tcW w:w="495" w:type="dxa"/>
            <w:shd w:val="clear" w:color="auto" w:fill="auto"/>
            <w:vAlign w:val="bottom"/>
          </w:tcPr>
          <w:p w14:paraId="6D2ECCCB" w14:textId="3C24E552" w:rsidR="008373EE" w:rsidRPr="0046567B" w:rsidRDefault="00617041" w:rsidP="00AB0B0B">
            <w:pPr>
              <w:spacing w:after="120"/>
              <w:ind w:right="40"/>
              <w:jc w:val="right"/>
              <w:rPr>
                <w:iCs/>
                <w:szCs w:val="20"/>
              </w:rPr>
            </w:pPr>
            <w:r w:rsidRPr="0046567B">
              <w:rPr>
                <w:iCs/>
                <w:szCs w:val="20"/>
              </w:rPr>
              <w:t>34</w:t>
            </w:r>
          </w:p>
        </w:tc>
      </w:tr>
      <w:tr w:rsidR="008373EE" w:rsidRPr="0046567B" w14:paraId="78CE046E" w14:textId="77777777" w:rsidTr="00AB0B0B">
        <w:tc>
          <w:tcPr>
            <w:tcW w:w="8375" w:type="dxa"/>
            <w:gridSpan w:val="2"/>
            <w:shd w:val="clear" w:color="auto" w:fill="auto"/>
          </w:tcPr>
          <w:p w14:paraId="5E44DD65" w14:textId="35FA7AB2" w:rsidR="008373EE" w:rsidRPr="0046567B" w:rsidRDefault="008373EE" w:rsidP="008373EE">
            <w:pPr>
              <w:tabs>
                <w:tab w:val="left" w:pos="1296"/>
                <w:tab w:val="left" w:pos="1728"/>
                <w:tab w:val="left" w:pos="2160"/>
                <w:tab w:val="left" w:pos="2592"/>
                <w:tab w:val="left" w:pos="302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âgées</w:t>
            </w:r>
            <w:r w:rsidRPr="0046567B">
              <w:rPr>
                <w:spacing w:val="60"/>
                <w:sz w:val="17"/>
                <w:lang w:val="fr-FR" w:bidi="fr-FR"/>
              </w:rPr>
              <w:tab/>
            </w:r>
          </w:p>
        </w:tc>
        <w:tc>
          <w:tcPr>
            <w:tcW w:w="994" w:type="dxa"/>
            <w:shd w:val="clear" w:color="auto" w:fill="auto"/>
            <w:vAlign w:val="bottom"/>
          </w:tcPr>
          <w:p w14:paraId="12EE5CFC" w14:textId="3A12D436" w:rsidR="008373EE" w:rsidRPr="0046567B" w:rsidRDefault="00617041" w:rsidP="00AB0B0B">
            <w:pPr>
              <w:spacing w:after="120"/>
              <w:ind w:right="40"/>
              <w:jc w:val="right"/>
              <w:rPr>
                <w:iCs/>
                <w:szCs w:val="20"/>
              </w:rPr>
            </w:pPr>
            <w:r w:rsidRPr="0046567B">
              <w:rPr>
                <w:iCs/>
                <w:szCs w:val="20"/>
              </w:rPr>
              <w:t>149-150</w:t>
            </w:r>
          </w:p>
        </w:tc>
        <w:tc>
          <w:tcPr>
            <w:tcW w:w="495" w:type="dxa"/>
            <w:shd w:val="clear" w:color="auto" w:fill="auto"/>
            <w:vAlign w:val="bottom"/>
          </w:tcPr>
          <w:p w14:paraId="5D71FB99" w14:textId="40AC5E9E" w:rsidR="008373EE" w:rsidRPr="0046567B" w:rsidRDefault="00617041" w:rsidP="00AB0B0B">
            <w:pPr>
              <w:spacing w:after="120"/>
              <w:ind w:right="40"/>
              <w:jc w:val="right"/>
              <w:rPr>
                <w:iCs/>
                <w:szCs w:val="20"/>
              </w:rPr>
            </w:pPr>
            <w:r w:rsidRPr="0046567B">
              <w:rPr>
                <w:iCs/>
                <w:szCs w:val="20"/>
              </w:rPr>
              <w:t>35</w:t>
            </w:r>
          </w:p>
        </w:tc>
      </w:tr>
      <w:tr w:rsidR="008373EE" w:rsidRPr="0046567B" w14:paraId="2E670505" w14:textId="77777777" w:rsidTr="00AB0B0B">
        <w:tc>
          <w:tcPr>
            <w:tcW w:w="8375" w:type="dxa"/>
            <w:gridSpan w:val="2"/>
            <w:shd w:val="clear" w:color="auto" w:fill="auto"/>
          </w:tcPr>
          <w:p w14:paraId="03502AA8" w14:textId="127DCCC3" w:rsidR="008373EE" w:rsidRPr="0046567B" w:rsidRDefault="008373EE" w:rsidP="008373EE">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u w:val="single"/>
                <w:lang w:val="fr-FR" w:bidi="fr-FR"/>
              </w:rPr>
            </w:pPr>
            <w:r w:rsidRPr="0046567B">
              <w:rPr>
                <w:lang w:val="fr-FR" w:bidi="fr-FR"/>
              </w:rPr>
              <w:t>Article 14 – Les femmes rurales</w:t>
            </w:r>
            <w:r w:rsidRPr="0046567B">
              <w:rPr>
                <w:spacing w:val="60"/>
                <w:sz w:val="17"/>
                <w:lang w:val="fr-FR" w:bidi="fr-FR"/>
              </w:rPr>
              <w:tab/>
            </w:r>
          </w:p>
        </w:tc>
        <w:tc>
          <w:tcPr>
            <w:tcW w:w="994" w:type="dxa"/>
            <w:shd w:val="clear" w:color="auto" w:fill="auto"/>
            <w:vAlign w:val="bottom"/>
          </w:tcPr>
          <w:p w14:paraId="35813397" w14:textId="3F2D8A47" w:rsidR="008373EE" w:rsidRPr="0046567B" w:rsidRDefault="00617041" w:rsidP="00AB0B0B">
            <w:pPr>
              <w:spacing w:after="120"/>
              <w:ind w:right="40"/>
              <w:jc w:val="right"/>
              <w:rPr>
                <w:iCs/>
                <w:szCs w:val="20"/>
              </w:rPr>
            </w:pPr>
            <w:r w:rsidRPr="0046567B">
              <w:rPr>
                <w:iCs/>
                <w:szCs w:val="20"/>
              </w:rPr>
              <w:t>151-154</w:t>
            </w:r>
          </w:p>
        </w:tc>
        <w:tc>
          <w:tcPr>
            <w:tcW w:w="495" w:type="dxa"/>
            <w:shd w:val="clear" w:color="auto" w:fill="auto"/>
            <w:vAlign w:val="bottom"/>
          </w:tcPr>
          <w:p w14:paraId="38A5096A" w14:textId="726B4E7F" w:rsidR="008373EE" w:rsidRPr="0046567B" w:rsidRDefault="005E7956" w:rsidP="00AB0B0B">
            <w:pPr>
              <w:spacing w:after="120"/>
              <w:ind w:right="40"/>
              <w:jc w:val="right"/>
              <w:rPr>
                <w:iCs/>
                <w:szCs w:val="20"/>
              </w:rPr>
            </w:pPr>
            <w:r w:rsidRPr="0046567B">
              <w:rPr>
                <w:iCs/>
                <w:szCs w:val="20"/>
              </w:rPr>
              <w:t>36</w:t>
            </w:r>
          </w:p>
        </w:tc>
      </w:tr>
      <w:tr w:rsidR="008373EE" w:rsidRPr="0046567B" w14:paraId="4472E63E" w14:textId="77777777" w:rsidTr="00AB0B0B">
        <w:tc>
          <w:tcPr>
            <w:tcW w:w="8375" w:type="dxa"/>
            <w:gridSpan w:val="2"/>
            <w:shd w:val="clear" w:color="auto" w:fill="auto"/>
          </w:tcPr>
          <w:p w14:paraId="4FFE7A61" w14:textId="04014E4D" w:rsidR="008373EE" w:rsidRPr="0046567B" w:rsidRDefault="008373EE" w:rsidP="008373EE">
            <w:pPr>
              <w:tabs>
                <w:tab w:val="left" w:pos="1296"/>
                <w:tab w:val="left" w:pos="1728"/>
                <w:tab w:val="left" w:pos="216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Réserve</w:t>
            </w:r>
            <w:r w:rsidRPr="0046567B">
              <w:rPr>
                <w:spacing w:val="60"/>
                <w:sz w:val="17"/>
                <w:lang w:val="fr-FR" w:bidi="fr-FR"/>
              </w:rPr>
              <w:tab/>
            </w:r>
          </w:p>
        </w:tc>
        <w:tc>
          <w:tcPr>
            <w:tcW w:w="994" w:type="dxa"/>
            <w:shd w:val="clear" w:color="auto" w:fill="auto"/>
            <w:vAlign w:val="bottom"/>
          </w:tcPr>
          <w:p w14:paraId="70A9C7CF" w14:textId="3A86ADB8" w:rsidR="008373EE" w:rsidRPr="0046567B" w:rsidRDefault="005E7956" w:rsidP="00AB0B0B">
            <w:pPr>
              <w:spacing w:after="120"/>
              <w:ind w:right="40"/>
              <w:jc w:val="right"/>
              <w:rPr>
                <w:iCs/>
                <w:szCs w:val="20"/>
              </w:rPr>
            </w:pPr>
            <w:r w:rsidRPr="0046567B">
              <w:rPr>
                <w:iCs/>
                <w:szCs w:val="20"/>
              </w:rPr>
              <w:t>151</w:t>
            </w:r>
          </w:p>
        </w:tc>
        <w:tc>
          <w:tcPr>
            <w:tcW w:w="495" w:type="dxa"/>
            <w:shd w:val="clear" w:color="auto" w:fill="auto"/>
            <w:vAlign w:val="bottom"/>
          </w:tcPr>
          <w:p w14:paraId="3C63319B" w14:textId="5FEC08CD" w:rsidR="008373EE" w:rsidRPr="0046567B" w:rsidRDefault="005E7956" w:rsidP="00AB0B0B">
            <w:pPr>
              <w:spacing w:after="120"/>
              <w:ind w:right="40"/>
              <w:jc w:val="right"/>
              <w:rPr>
                <w:iCs/>
                <w:szCs w:val="20"/>
              </w:rPr>
            </w:pPr>
            <w:r w:rsidRPr="0046567B">
              <w:rPr>
                <w:iCs/>
                <w:szCs w:val="20"/>
              </w:rPr>
              <w:t>36</w:t>
            </w:r>
          </w:p>
        </w:tc>
      </w:tr>
      <w:tr w:rsidR="008373EE" w:rsidRPr="0046567B" w14:paraId="221B0643" w14:textId="77777777" w:rsidTr="00AB0B0B">
        <w:tc>
          <w:tcPr>
            <w:tcW w:w="8375" w:type="dxa"/>
            <w:gridSpan w:val="2"/>
            <w:shd w:val="clear" w:color="auto" w:fill="auto"/>
          </w:tcPr>
          <w:p w14:paraId="4EA3CD6C" w14:textId="14C5D3BB" w:rsidR="008373EE" w:rsidRPr="0046567B" w:rsidRDefault="008373EE" w:rsidP="008373EE">
            <w:pPr>
              <w:tabs>
                <w:tab w:val="left" w:pos="1296"/>
                <w:tab w:val="left" w:pos="1728"/>
                <w:tab w:val="left" w:pos="2160"/>
                <w:tab w:val="left" w:pos="2592"/>
                <w:tab w:val="left" w:pos="302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Élections rurales</w:t>
            </w:r>
            <w:r w:rsidRPr="0046567B">
              <w:rPr>
                <w:spacing w:val="60"/>
                <w:sz w:val="17"/>
                <w:lang w:val="fr-FR" w:bidi="fr-FR"/>
              </w:rPr>
              <w:tab/>
            </w:r>
          </w:p>
        </w:tc>
        <w:tc>
          <w:tcPr>
            <w:tcW w:w="994" w:type="dxa"/>
            <w:shd w:val="clear" w:color="auto" w:fill="auto"/>
            <w:vAlign w:val="bottom"/>
          </w:tcPr>
          <w:p w14:paraId="7D0C7E53" w14:textId="446E5411" w:rsidR="008373EE" w:rsidRPr="0046567B" w:rsidRDefault="005E7956" w:rsidP="00AB0B0B">
            <w:pPr>
              <w:spacing w:after="120"/>
              <w:ind w:right="40"/>
              <w:jc w:val="right"/>
              <w:rPr>
                <w:iCs/>
                <w:szCs w:val="20"/>
              </w:rPr>
            </w:pPr>
            <w:r w:rsidRPr="0046567B">
              <w:rPr>
                <w:iCs/>
                <w:szCs w:val="20"/>
              </w:rPr>
              <w:t>152-154</w:t>
            </w:r>
          </w:p>
        </w:tc>
        <w:tc>
          <w:tcPr>
            <w:tcW w:w="495" w:type="dxa"/>
            <w:shd w:val="clear" w:color="auto" w:fill="auto"/>
            <w:vAlign w:val="bottom"/>
          </w:tcPr>
          <w:p w14:paraId="63572B0A" w14:textId="7D73F971" w:rsidR="008373EE" w:rsidRPr="0046567B" w:rsidRDefault="005E7956" w:rsidP="00AB0B0B">
            <w:pPr>
              <w:spacing w:after="120"/>
              <w:ind w:right="40"/>
              <w:jc w:val="right"/>
              <w:rPr>
                <w:iCs/>
                <w:szCs w:val="20"/>
              </w:rPr>
            </w:pPr>
            <w:r w:rsidRPr="0046567B">
              <w:rPr>
                <w:iCs/>
                <w:szCs w:val="20"/>
              </w:rPr>
              <w:t>36</w:t>
            </w:r>
          </w:p>
        </w:tc>
      </w:tr>
      <w:tr w:rsidR="008373EE" w:rsidRPr="0046567B" w14:paraId="02A4BBB5" w14:textId="77777777" w:rsidTr="00AB0B0B">
        <w:tc>
          <w:tcPr>
            <w:tcW w:w="8375" w:type="dxa"/>
            <w:gridSpan w:val="2"/>
            <w:shd w:val="clear" w:color="auto" w:fill="auto"/>
          </w:tcPr>
          <w:p w14:paraId="76A786E7" w14:textId="5C88677B"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lang w:val="fr-FR" w:bidi="fr-FR"/>
              </w:rPr>
            </w:pPr>
            <w:r w:rsidRPr="0046567B">
              <w:rPr>
                <w:lang w:val="fr-FR" w:bidi="fr-FR"/>
              </w:rPr>
              <w:t>Article 15 – Égalité des droits en matière civile</w:t>
            </w:r>
            <w:r w:rsidRPr="0046567B">
              <w:rPr>
                <w:spacing w:val="60"/>
                <w:sz w:val="17"/>
                <w:lang w:val="fr-FR" w:bidi="fr-FR"/>
              </w:rPr>
              <w:tab/>
            </w:r>
          </w:p>
        </w:tc>
        <w:tc>
          <w:tcPr>
            <w:tcW w:w="994" w:type="dxa"/>
            <w:shd w:val="clear" w:color="auto" w:fill="auto"/>
            <w:vAlign w:val="bottom"/>
          </w:tcPr>
          <w:p w14:paraId="13EF3BF0" w14:textId="05212BE8" w:rsidR="008373EE" w:rsidRPr="0046567B" w:rsidRDefault="005E7956" w:rsidP="00AB0B0B">
            <w:pPr>
              <w:spacing w:after="120"/>
              <w:ind w:right="40"/>
              <w:jc w:val="right"/>
              <w:rPr>
                <w:iCs/>
                <w:szCs w:val="20"/>
              </w:rPr>
            </w:pPr>
            <w:r w:rsidRPr="0046567B">
              <w:rPr>
                <w:iCs/>
                <w:szCs w:val="20"/>
              </w:rPr>
              <w:t>155-162</w:t>
            </w:r>
          </w:p>
        </w:tc>
        <w:tc>
          <w:tcPr>
            <w:tcW w:w="495" w:type="dxa"/>
            <w:shd w:val="clear" w:color="auto" w:fill="auto"/>
            <w:vAlign w:val="bottom"/>
          </w:tcPr>
          <w:p w14:paraId="5BDB2EF1" w14:textId="4D7ED5E9" w:rsidR="008373EE" w:rsidRPr="0046567B" w:rsidRDefault="005E7956" w:rsidP="00AB0B0B">
            <w:pPr>
              <w:spacing w:after="120"/>
              <w:ind w:right="40"/>
              <w:jc w:val="right"/>
              <w:rPr>
                <w:iCs/>
                <w:szCs w:val="20"/>
              </w:rPr>
            </w:pPr>
            <w:r w:rsidRPr="0046567B">
              <w:rPr>
                <w:iCs/>
                <w:szCs w:val="20"/>
              </w:rPr>
              <w:t>36</w:t>
            </w:r>
          </w:p>
        </w:tc>
      </w:tr>
      <w:tr w:rsidR="008373EE" w:rsidRPr="0046567B" w14:paraId="789C02A5" w14:textId="77777777" w:rsidTr="00AB0B0B">
        <w:tc>
          <w:tcPr>
            <w:tcW w:w="8375" w:type="dxa"/>
            <w:gridSpan w:val="2"/>
            <w:shd w:val="clear" w:color="auto" w:fill="auto"/>
          </w:tcPr>
          <w:p w14:paraId="78DEB1D2" w14:textId="7F983F80" w:rsidR="008373EE" w:rsidRPr="0046567B" w:rsidRDefault="008373EE" w:rsidP="008373EE">
            <w:pPr>
              <w:tabs>
                <w:tab w:val="left" w:pos="1296"/>
                <w:tab w:val="left" w:pos="1728"/>
                <w:tab w:val="left" w:pos="2160"/>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Réserves</w:t>
            </w:r>
            <w:r w:rsidRPr="0046567B">
              <w:rPr>
                <w:spacing w:val="60"/>
                <w:sz w:val="17"/>
                <w:lang w:val="fr-FR" w:bidi="fr-FR"/>
              </w:rPr>
              <w:tab/>
            </w:r>
          </w:p>
        </w:tc>
        <w:tc>
          <w:tcPr>
            <w:tcW w:w="994" w:type="dxa"/>
            <w:shd w:val="clear" w:color="auto" w:fill="auto"/>
            <w:vAlign w:val="bottom"/>
          </w:tcPr>
          <w:p w14:paraId="1258CDBD" w14:textId="68540170" w:rsidR="008373EE" w:rsidRPr="0046567B" w:rsidRDefault="005E7956" w:rsidP="00AB0B0B">
            <w:pPr>
              <w:spacing w:after="120"/>
              <w:ind w:right="40"/>
              <w:jc w:val="right"/>
              <w:rPr>
                <w:iCs/>
                <w:szCs w:val="20"/>
              </w:rPr>
            </w:pPr>
            <w:r w:rsidRPr="0046567B">
              <w:rPr>
                <w:iCs/>
                <w:szCs w:val="20"/>
              </w:rPr>
              <w:t>155</w:t>
            </w:r>
          </w:p>
        </w:tc>
        <w:tc>
          <w:tcPr>
            <w:tcW w:w="495" w:type="dxa"/>
            <w:shd w:val="clear" w:color="auto" w:fill="auto"/>
            <w:vAlign w:val="bottom"/>
          </w:tcPr>
          <w:p w14:paraId="73D9764B" w14:textId="7964F7D8" w:rsidR="008373EE" w:rsidRPr="0046567B" w:rsidRDefault="005E7956" w:rsidP="00AB0B0B">
            <w:pPr>
              <w:spacing w:after="120"/>
              <w:ind w:right="40"/>
              <w:jc w:val="right"/>
              <w:rPr>
                <w:iCs/>
                <w:szCs w:val="20"/>
              </w:rPr>
            </w:pPr>
            <w:r w:rsidRPr="0046567B">
              <w:rPr>
                <w:iCs/>
                <w:szCs w:val="20"/>
              </w:rPr>
              <w:t>36</w:t>
            </w:r>
          </w:p>
        </w:tc>
      </w:tr>
      <w:tr w:rsidR="008373EE" w:rsidRPr="0046567B" w14:paraId="37B4DE2A" w14:textId="77777777" w:rsidTr="00AB0B0B">
        <w:tc>
          <w:tcPr>
            <w:tcW w:w="8375" w:type="dxa"/>
            <w:gridSpan w:val="2"/>
            <w:shd w:val="clear" w:color="auto" w:fill="auto"/>
          </w:tcPr>
          <w:p w14:paraId="050EA802" w14:textId="178C20C7"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Statut juridique et droits civils des femmes</w:t>
            </w:r>
            <w:r w:rsidRPr="0046567B">
              <w:rPr>
                <w:spacing w:val="60"/>
                <w:sz w:val="17"/>
                <w:lang w:val="fr-FR" w:bidi="fr-FR"/>
              </w:rPr>
              <w:tab/>
            </w:r>
          </w:p>
        </w:tc>
        <w:tc>
          <w:tcPr>
            <w:tcW w:w="994" w:type="dxa"/>
            <w:shd w:val="clear" w:color="auto" w:fill="auto"/>
            <w:vAlign w:val="bottom"/>
          </w:tcPr>
          <w:p w14:paraId="1E5016F7" w14:textId="362A5994" w:rsidR="008373EE" w:rsidRPr="0046567B" w:rsidRDefault="005E7956" w:rsidP="00AB0B0B">
            <w:pPr>
              <w:spacing w:after="120"/>
              <w:ind w:right="40"/>
              <w:jc w:val="right"/>
              <w:rPr>
                <w:iCs/>
                <w:szCs w:val="20"/>
              </w:rPr>
            </w:pPr>
            <w:r w:rsidRPr="0046567B">
              <w:rPr>
                <w:iCs/>
                <w:szCs w:val="20"/>
              </w:rPr>
              <w:t>156-160</w:t>
            </w:r>
          </w:p>
        </w:tc>
        <w:tc>
          <w:tcPr>
            <w:tcW w:w="495" w:type="dxa"/>
            <w:shd w:val="clear" w:color="auto" w:fill="auto"/>
            <w:vAlign w:val="bottom"/>
          </w:tcPr>
          <w:p w14:paraId="018DCB17" w14:textId="5AC386D1" w:rsidR="008373EE" w:rsidRPr="0046567B" w:rsidRDefault="005E7956" w:rsidP="00AB0B0B">
            <w:pPr>
              <w:spacing w:after="120"/>
              <w:ind w:right="40"/>
              <w:jc w:val="right"/>
              <w:rPr>
                <w:iCs/>
                <w:szCs w:val="20"/>
              </w:rPr>
            </w:pPr>
            <w:r w:rsidRPr="0046567B">
              <w:rPr>
                <w:iCs/>
                <w:szCs w:val="20"/>
              </w:rPr>
              <w:t>37</w:t>
            </w:r>
          </w:p>
        </w:tc>
      </w:tr>
      <w:tr w:rsidR="008373EE" w:rsidRPr="0046567B" w14:paraId="703B6697" w14:textId="77777777" w:rsidTr="00AB0B0B">
        <w:tc>
          <w:tcPr>
            <w:tcW w:w="8375" w:type="dxa"/>
            <w:gridSpan w:val="2"/>
            <w:shd w:val="clear" w:color="auto" w:fill="auto"/>
          </w:tcPr>
          <w:p w14:paraId="03207506" w14:textId="59D709C3"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Nomination des femmes dans le système judiciaire</w:t>
            </w:r>
            <w:r w:rsidRPr="0046567B">
              <w:rPr>
                <w:spacing w:val="60"/>
                <w:sz w:val="17"/>
                <w:lang w:val="fr-FR" w:bidi="fr-FR"/>
              </w:rPr>
              <w:tab/>
            </w:r>
          </w:p>
        </w:tc>
        <w:tc>
          <w:tcPr>
            <w:tcW w:w="994" w:type="dxa"/>
            <w:shd w:val="clear" w:color="auto" w:fill="auto"/>
            <w:vAlign w:val="bottom"/>
          </w:tcPr>
          <w:p w14:paraId="0F36175D" w14:textId="1EAA8D8D" w:rsidR="008373EE" w:rsidRPr="0046567B" w:rsidRDefault="005E7956" w:rsidP="00AB0B0B">
            <w:pPr>
              <w:spacing w:after="120"/>
              <w:ind w:right="40"/>
              <w:jc w:val="right"/>
              <w:rPr>
                <w:iCs/>
                <w:szCs w:val="20"/>
              </w:rPr>
            </w:pPr>
            <w:r w:rsidRPr="0046567B">
              <w:rPr>
                <w:iCs/>
                <w:szCs w:val="20"/>
              </w:rPr>
              <w:t>161</w:t>
            </w:r>
          </w:p>
        </w:tc>
        <w:tc>
          <w:tcPr>
            <w:tcW w:w="495" w:type="dxa"/>
            <w:shd w:val="clear" w:color="auto" w:fill="auto"/>
            <w:vAlign w:val="bottom"/>
          </w:tcPr>
          <w:p w14:paraId="292AF666" w14:textId="243475E6" w:rsidR="008373EE" w:rsidRPr="0046567B" w:rsidRDefault="005E7956" w:rsidP="00AB0B0B">
            <w:pPr>
              <w:spacing w:after="120"/>
              <w:ind w:right="40"/>
              <w:jc w:val="right"/>
              <w:rPr>
                <w:iCs/>
                <w:szCs w:val="20"/>
              </w:rPr>
            </w:pPr>
            <w:r w:rsidRPr="0046567B">
              <w:rPr>
                <w:iCs/>
                <w:szCs w:val="20"/>
              </w:rPr>
              <w:t>37</w:t>
            </w:r>
          </w:p>
        </w:tc>
      </w:tr>
      <w:tr w:rsidR="008373EE" w:rsidRPr="0046567B" w14:paraId="72539595" w14:textId="77777777" w:rsidTr="00AB0B0B">
        <w:tc>
          <w:tcPr>
            <w:tcW w:w="8375" w:type="dxa"/>
            <w:gridSpan w:val="2"/>
            <w:shd w:val="clear" w:color="auto" w:fill="auto"/>
          </w:tcPr>
          <w:p w14:paraId="39D26886" w14:textId="0BF7F94D" w:rsidR="008373EE" w:rsidRPr="0046567B" w:rsidRDefault="008373EE" w:rsidP="008373EE">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Les femmes en détention</w:t>
            </w:r>
            <w:r w:rsidRPr="0046567B">
              <w:rPr>
                <w:spacing w:val="60"/>
                <w:sz w:val="17"/>
                <w:lang w:val="fr-FR" w:bidi="fr-FR"/>
              </w:rPr>
              <w:tab/>
            </w:r>
          </w:p>
        </w:tc>
        <w:tc>
          <w:tcPr>
            <w:tcW w:w="994" w:type="dxa"/>
            <w:shd w:val="clear" w:color="auto" w:fill="auto"/>
            <w:vAlign w:val="bottom"/>
          </w:tcPr>
          <w:p w14:paraId="5800BDDC" w14:textId="5113D594" w:rsidR="008373EE" w:rsidRPr="0046567B" w:rsidRDefault="005E7956" w:rsidP="00AB0B0B">
            <w:pPr>
              <w:spacing w:after="120"/>
              <w:ind w:right="40"/>
              <w:jc w:val="right"/>
              <w:rPr>
                <w:iCs/>
                <w:szCs w:val="20"/>
              </w:rPr>
            </w:pPr>
            <w:r w:rsidRPr="0046567B">
              <w:rPr>
                <w:iCs/>
                <w:szCs w:val="20"/>
              </w:rPr>
              <w:t>162</w:t>
            </w:r>
          </w:p>
        </w:tc>
        <w:tc>
          <w:tcPr>
            <w:tcW w:w="495" w:type="dxa"/>
            <w:shd w:val="clear" w:color="auto" w:fill="auto"/>
            <w:vAlign w:val="bottom"/>
          </w:tcPr>
          <w:p w14:paraId="2F809151" w14:textId="6EE9D7A7" w:rsidR="008373EE" w:rsidRPr="0046567B" w:rsidRDefault="005E7956" w:rsidP="00AB0B0B">
            <w:pPr>
              <w:spacing w:after="120"/>
              <w:ind w:right="40"/>
              <w:jc w:val="right"/>
              <w:rPr>
                <w:iCs/>
                <w:szCs w:val="20"/>
              </w:rPr>
            </w:pPr>
            <w:r w:rsidRPr="0046567B">
              <w:rPr>
                <w:iCs/>
                <w:szCs w:val="20"/>
              </w:rPr>
              <w:t>37</w:t>
            </w:r>
          </w:p>
        </w:tc>
      </w:tr>
      <w:tr w:rsidR="008373EE" w:rsidRPr="0046567B" w14:paraId="7D18BE57" w14:textId="77777777" w:rsidTr="00AB0B0B">
        <w:tc>
          <w:tcPr>
            <w:tcW w:w="8375" w:type="dxa"/>
            <w:gridSpan w:val="2"/>
            <w:shd w:val="clear" w:color="auto" w:fill="auto"/>
          </w:tcPr>
          <w:p w14:paraId="1511007F" w14:textId="6F81CA44"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728" w:hanging="648"/>
              <w:rPr>
                <w:spacing w:val="60"/>
                <w:sz w:val="17"/>
                <w:lang w:val="fr-FR" w:bidi="fr-FR"/>
              </w:rPr>
            </w:pPr>
            <w:r w:rsidRPr="0046567B">
              <w:rPr>
                <w:lang w:val="fr-FR" w:bidi="fr-FR"/>
              </w:rPr>
              <w:t>Article 16 – Égalité des droits en matière familiale</w:t>
            </w:r>
            <w:r w:rsidRPr="0046567B">
              <w:rPr>
                <w:spacing w:val="60"/>
                <w:sz w:val="17"/>
                <w:lang w:val="fr-FR" w:bidi="fr-FR"/>
              </w:rPr>
              <w:tab/>
            </w:r>
          </w:p>
        </w:tc>
        <w:tc>
          <w:tcPr>
            <w:tcW w:w="994" w:type="dxa"/>
            <w:shd w:val="clear" w:color="auto" w:fill="auto"/>
            <w:vAlign w:val="bottom"/>
          </w:tcPr>
          <w:p w14:paraId="484CB5FE" w14:textId="7CB72B51" w:rsidR="008373EE" w:rsidRPr="0046567B" w:rsidRDefault="005E7956" w:rsidP="00AB0B0B">
            <w:pPr>
              <w:spacing w:after="120"/>
              <w:ind w:right="40"/>
              <w:jc w:val="right"/>
              <w:rPr>
                <w:iCs/>
                <w:szCs w:val="20"/>
              </w:rPr>
            </w:pPr>
            <w:r w:rsidRPr="0046567B">
              <w:rPr>
                <w:iCs/>
                <w:szCs w:val="20"/>
              </w:rPr>
              <w:t>163-171</w:t>
            </w:r>
          </w:p>
        </w:tc>
        <w:tc>
          <w:tcPr>
            <w:tcW w:w="495" w:type="dxa"/>
            <w:shd w:val="clear" w:color="auto" w:fill="auto"/>
            <w:vAlign w:val="bottom"/>
          </w:tcPr>
          <w:p w14:paraId="41EEB168" w14:textId="03B560DF" w:rsidR="008373EE" w:rsidRPr="0046567B" w:rsidRDefault="005E7956" w:rsidP="00AB0B0B">
            <w:pPr>
              <w:spacing w:after="120"/>
              <w:ind w:right="40"/>
              <w:jc w:val="right"/>
              <w:rPr>
                <w:iCs/>
                <w:szCs w:val="20"/>
              </w:rPr>
            </w:pPr>
            <w:r w:rsidRPr="0046567B">
              <w:rPr>
                <w:iCs/>
                <w:szCs w:val="20"/>
              </w:rPr>
              <w:t>38</w:t>
            </w:r>
          </w:p>
        </w:tc>
      </w:tr>
      <w:tr w:rsidR="008373EE" w:rsidRPr="0046567B" w14:paraId="36102B2A" w14:textId="77777777" w:rsidTr="00AB0B0B">
        <w:tc>
          <w:tcPr>
            <w:tcW w:w="8375" w:type="dxa"/>
            <w:gridSpan w:val="2"/>
            <w:shd w:val="clear" w:color="auto" w:fill="auto"/>
          </w:tcPr>
          <w:p w14:paraId="33E2795D" w14:textId="37575A61"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Révision de l</w:t>
            </w:r>
            <w:r w:rsidR="00FB11B3" w:rsidRPr="0046567B">
              <w:rPr>
                <w:lang w:val="fr-FR" w:bidi="fr-FR"/>
              </w:rPr>
              <w:t>’</w:t>
            </w:r>
            <w:r w:rsidRPr="0046567B">
              <w:rPr>
                <w:lang w:val="fr-FR" w:bidi="fr-FR"/>
              </w:rPr>
              <w:t>âge minimum requis pour se marier</w:t>
            </w:r>
            <w:r w:rsidRPr="0046567B">
              <w:rPr>
                <w:spacing w:val="60"/>
                <w:sz w:val="17"/>
                <w:lang w:val="fr-FR" w:bidi="fr-FR"/>
              </w:rPr>
              <w:tab/>
            </w:r>
          </w:p>
        </w:tc>
        <w:tc>
          <w:tcPr>
            <w:tcW w:w="994" w:type="dxa"/>
            <w:shd w:val="clear" w:color="auto" w:fill="auto"/>
            <w:vAlign w:val="bottom"/>
          </w:tcPr>
          <w:p w14:paraId="1256B077" w14:textId="629072A5" w:rsidR="008373EE" w:rsidRPr="0046567B" w:rsidRDefault="005E7956" w:rsidP="00AB0B0B">
            <w:pPr>
              <w:spacing w:after="120"/>
              <w:ind w:right="40"/>
              <w:jc w:val="right"/>
              <w:rPr>
                <w:iCs/>
                <w:szCs w:val="20"/>
              </w:rPr>
            </w:pPr>
            <w:r w:rsidRPr="0046567B">
              <w:rPr>
                <w:iCs/>
                <w:szCs w:val="20"/>
              </w:rPr>
              <w:t>163</w:t>
            </w:r>
          </w:p>
        </w:tc>
        <w:tc>
          <w:tcPr>
            <w:tcW w:w="495" w:type="dxa"/>
            <w:shd w:val="clear" w:color="auto" w:fill="auto"/>
            <w:vAlign w:val="bottom"/>
          </w:tcPr>
          <w:p w14:paraId="22BC8A3E" w14:textId="447774C3" w:rsidR="008373EE" w:rsidRPr="0046567B" w:rsidRDefault="005E7956" w:rsidP="00AB0B0B">
            <w:pPr>
              <w:spacing w:after="120"/>
              <w:ind w:right="40"/>
              <w:jc w:val="right"/>
              <w:rPr>
                <w:iCs/>
                <w:szCs w:val="20"/>
              </w:rPr>
            </w:pPr>
            <w:r w:rsidRPr="0046567B">
              <w:rPr>
                <w:iCs/>
                <w:szCs w:val="20"/>
              </w:rPr>
              <w:t>38</w:t>
            </w:r>
          </w:p>
        </w:tc>
      </w:tr>
      <w:tr w:rsidR="008373EE" w:rsidRPr="0046567B" w14:paraId="06EEDB13" w14:textId="77777777" w:rsidTr="00AB0B0B">
        <w:tc>
          <w:tcPr>
            <w:tcW w:w="8375" w:type="dxa"/>
            <w:gridSpan w:val="2"/>
            <w:shd w:val="clear" w:color="auto" w:fill="auto"/>
          </w:tcPr>
          <w:p w14:paraId="5D58FB1F" w14:textId="6D7414F8" w:rsidR="008373EE" w:rsidRPr="0046567B" w:rsidRDefault="008373EE" w:rsidP="008373EE">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Contentieux matrimonial</w:t>
            </w:r>
            <w:r w:rsidRPr="0046567B">
              <w:rPr>
                <w:spacing w:val="60"/>
                <w:sz w:val="17"/>
                <w:lang w:val="fr-FR" w:bidi="fr-FR"/>
              </w:rPr>
              <w:tab/>
            </w:r>
          </w:p>
        </w:tc>
        <w:tc>
          <w:tcPr>
            <w:tcW w:w="994" w:type="dxa"/>
            <w:shd w:val="clear" w:color="auto" w:fill="auto"/>
            <w:vAlign w:val="bottom"/>
          </w:tcPr>
          <w:p w14:paraId="39A6CF25" w14:textId="3532F099" w:rsidR="008373EE" w:rsidRPr="0046567B" w:rsidRDefault="005E7956" w:rsidP="00AB0B0B">
            <w:pPr>
              <w:spacing w:after="120"/>
              <w:ind w:right="40"/>
              <w:jc w:val="right"/>
              <w:rPr>
                <w:iCs/>
                <w:szCs w:val="20"/>
              </w:rPr>
            </w:pPr>
            <w:r w:rsidRPr="0046567B">
              <w:rPr>
                <w:iCs/>
                <w:szCs w:val="20"/>
              </w:rPr>
              <w:t>164-168</w:t>
            </w:r>
          </w:p>
        </w:tc>
        <w:tc>
          <w:tcPr>
            <w:tcW w:w="495" w:type="dxa"/>
            <w:shd w:val="clear" w:color="auto" w:fill="auto"/>
            <w:vAlign w:val="bottom"/>
          </w:tcPr>
          <w:p w14:paraId="4F659415" w14:textId="38BFC968" w:rsidR="008373EE" w:rsidRPr="0046567B" w:rsidRDefault="005E7956" w:rsidP="00AB0B0B">
            <w:pPr>
              <w:spacing w:after="120"/>
              <w:ind w:right="40"/>
              <w:jc w:val="right"/>
              <w:rPr>
                <w:iCs/>
                <w:szCs w:val="20"/>
              </w:rPr>
            </w:pPr>
            <w:r w:rsidRPr="0046567B">
              <w:rPr>
                <w:iCs/>
                <w:szCs w:val="20"/>
              </w:rPr>
              <w:t>38</w:t>
            </w:r>
          </w:p>
        </w:tc>
      </w:tr>
      <w:tr w:rsidR="008373EE" w:rsidRPr="0046567B" w14:paraId="35DD9DE3" w14:textId="77777777" w:rsidTr="00AB0B0B">
        <w:tc>
          <w:tcPr>
            <w:tcW w:w="8375" w:type="dxa"/>
            <w:gridSpan w:val="2"/>
            <w:shd w:val="clear" w:color="auto" w:fill="auto"/>
          </w:tcPr>
          <w:p w14:paraId="147BE743" w14:textId="29C87995" w:rsidR="008373EE" w:rsidRPr="0046567B" w:rsidRDefault="008373EE" w:rsidP="008373EE">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728" w:hanging="648"/>
              <w:rPr>
                <w:spacing w:val="60"/>
                <w:sz w:val="17"/>
                <w:lang w:val="fr-FR" w:bidi="fr-FR"/>
              </w:rPr>
            </w:pPr>
            <w:r w:rsidRPr="0046567B">
              <w:rPr>
                <w:lang w:val="fr-FR" w:bidi="fr-FR"/>
              </w:rPr>
              <w:tab/>
            </w:r>
            <w:r w:rsidRPr="0046567B">
              <w:rPr>
                <w:lang w:val="fr-FR" w:bidi="fr-FR"/>
              </w:rPr>
              <w:tab/>
              <w:t>Législation en matière de tutelle, de curatelle et d</w:t>
            </w:r>
            <w:r w:rsidR="00FB11B3" w:rsidRPr="0046567B">
              <w:rPr>
                <w:lang w:val="fr-FR" w:bidi="fr-FR"/>
              </w:rPr>
              <w:t>’</w:t>
            </w:r>
            <w:r w:rsidRPr="0046567B">
              <w:rPr>
                <w:lang w:val="fr-FR" w:bidi="fr-FR"/>
              </w:rPr>
              <w:t>adoption d</w:t>
            </w:r>
            <w:r w:rsidR="00FB11B3" w:rsidRPr="0046567B">
              <w:rPr>
                <w:lang w:val="fr-FR" w:bidi="fr-FR"/>
              </w:rPr>
              <w:t>’</w:t>
            </w:r>
            <w:r w:rsidRPr="0046567B">
              <w:rPr>
                <w:lang w:val="fr-FR" w:bidi="fr-FR"/>
              </w:rPr>
              <w:t>enfants</w:t>
            </w:r>
            <w:r w:rsidRPr="0046567B">
              <w:rPr>
                <w:spacing w:val="60"/>
                <w:sz w:val="17"/>
                <w:lang w:val="fr-FR" w:bidi="fr-FR"/>
              </w:rPr>
              <w:tab/>
            </w:r>
          </w:p>
        </w:tc>
        <w:tc>
          <w:tcPr>
            <w:tcW w:w="994" w:type="dxa"/>
            <w:shd w:val="clear" w:color="auto" w:fill="auto"/>
            <w:vAlign w:val="bottom"/>
          </w:tcPr>
          <w:p w14:paraId="7063C463" w14:textId="73B6D2A3" w:rsidR="008373EE" w:rsidRPr="0046567B" w:rsidRDefault="005E7956" w:rsidP="00AB0B0B">
            <w:pPr>
              <w:spacing w:after="120"/>
              <w:ind w:right="40"/>
              <w:jc w:val="right"/>
              <w:rPr>
                <w:iCs/>
                <w:szCs w:val="20"/>
              </w:rPr>
            </w:pPr>
            <w:r w:rsidRPr="0046567B">
              <w:rPr>
                <w:iCs/>
                <w:szCs w:val="20"/>
              </w:rPr>
              <w:t>169-171</w:t>
            </w:r>
          </w:p>
        </w:tc>
        <w:tc>
          <w:tcPr>
            <w:tcW w:w="495" w:type="dxa"/>
            <w:shd w:val="clear" w:color="auto" w:fill="auto"/>
            <w:vAlign w:val="bottom"/>
          </w:tcPr>
          <w:p w14:paraId="3E71FC02" w14:textId="48ECF4F1" w:rsidR="008373EE" w:rsidRPr="0046567B" w:rsidRDefault="005E7956" w:rsidP="00AB0B0B">
            <w:pPr>
              <w:spacing w:after="120"/>
              <w:ind w:right="40"/>
              <w:jc w:val="right"/>
              <w:rPr>
                <w:iCs/>
                <w:szCs w:val="20"/>
              </w:rPr>
            </w:pPr>
            <w:r w:rsidRPr="0046567B">
              <w:rPr>
                <w:iCs/>
                <w:szCs w:val="20"/>
              </w:rPr>
              <w:t>39</w:t>
            </w:r>
          </w:p>
        </w:tc>
      </w:tr>
    </w:tbl>
    <w:p w14:paraId="414D174B" w14:textId="45837528" w:rsidR="00FC36AA" w:rsidRPr="0046567B" w:rsidRDefault="00FC36AA">
      <w:pPr>
        <w:spacing w:after="200" w:line="276" w:lineRule="auto"/>
      </w:pPr>
      <w:r w:rsidRPr="0046567B">
        <w:br w:type="page"/>
      </w:r>
    </w:p>
    <w:p w14:paraId="7A3A7E57" w14:textId="461BD2BA" w:rsidR="00FC36AA" w:rsidRPr="0046567B" w:rsidRDefault="00FC36AA" w:rsidP="002A20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Annexes</w:t>
      </w:r>
    </w:p>
    <w:p w14:paraId="34700535" w14:textId="7BB9FEB7" w:rsidR="00FC36AA" w:rsidRPr="0046567B" w:rsidRDefault="00FC36AA" w:rsidP="00FC36AA">
      <w:pPr>
        <w:pStyle w:val="SingleTxt"/>
        <w:spacing w:after="0" w:line="120" w:lineRule="exact"/>
        <w:rPr>
          <w:sz w:val="10"/>
          <w:lang w:val="fr-FR" w:bidi="fr-FR"/>
        </w:rPr>
      </w:pPr>
    </w:p>
    <w:p w14:paraId="296DB109" w14:textId="702D782A" w:rsidR="00FC36AA" w:rsidRPr="0046567B" w:rsidRDefault="00FC36AA" w:rsidP="00FC36AA">
      <w:pPr>
        <w:pStyle w:val="SingleTxt"/>
        <w:spacing w:after="0" w:line="120" w:lineRule="exact"/>
        <w:rPr>
          <w:sz w:val="10"/>
          <w:lang w:val="fr-FR" w:bidi="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0"/>
        <w:gridCol w:w="6150"/>
      </w:tblGrid>
      <w:tr w:rsidR="00FC36AA" w:rsidRPr="0046567B" w14:paraId="56BD7702" w14:textId="77777777" w:rsidTr="002A20B0">
        <w:tc>
          <w:tcPr>
            <w:tcW w:w="1170" w:type="dxa"/>
            <w:shd w:val="clear" w:color="auto" w:fill="auto"/>
            <w:noWrap/>
          </w:tcPr>
          <w:p w14:paraId="7060FE06"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2A</w:t>
            </w:r>
          </w:p>
        </w:tc>
        <w:tc>
          <w:tcPr>
            <w:tcW w:w="6150" w:type="dxa"/>
            <w:shd w:val="clear" w:color="auto" w:fill="auto"/>
            <w:noWrap/>
          </w:tcPr>
          <w:p w14:paraId="53FE1D78" w14:textId="43B174CE" w:rsidR="00FC36AA" w:rsidRPr="0046567B" w:rsidRDefault="00FC36AA" w:rsidP="00FC36AA">
            <w:pPr>
              <w:tabs>
                <w:tab w:val="left" w:pos="288"/>
                <w:tab w:val="left" w:pos="576"/>
                <w:tab w:val="left" w:pos="864"/>
                <w:tab w:val="left" w:pos="1152"/>
              </w:tabs>
              <w:suppressAutoHyphens/>
              <w:spacing w:before="40" w:after="80"/>
              <w:ind w:left="144" w:right="43"/>
            </w:pPr>
            <w:r w:rsidRPr="0046567B">
              <w:t>Décisions judiciaires importantes rendues en vertu de l</w:t>
            </w:r>
            <w:r w:rsidR="00FB11B3" w:rsidRPr="0046567B">
              <w:t>’</w:t>
            </w:r>
            <w:r w:rsidRPr="0046567B">
              <w:t>ordonnance sur la discrimination sexuelle</w:t>
            </w:r>
          </w:p>
        </w:tc>
      </w:tr>
      <w:tr w:rsidR="00FC36AA" w:rsidRPr="0046567B" w14:paraId="3CEA8E47" w14:textId="77777777" w:rsidTr="002A20B0">
        <w:tc>
          <w:tcPr>
            <w:tcW w:w="1170" w:type="dxa"/>
            <w:shd w:val="clear" w:color="auto" w:fill="auto"/>
            <w:noWrap/>
          </w:tcPr>
          <w:p w14:paraId="3D8B6F94"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2B</w:t>
            </w:r>
          </w:p>
        </w:tc>
        <w:tc>
          <w:tcPr>
            <w:tcW w:w="6150" w:type="dxa"/>
            <w:shd w:val="clear" w:color="auto" w:fill="auto"/>
            <w:noWrap/>
          </w:tcPr>
          <w:p w14:paraId="2944512A"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Points forts des travaux de la Commission de la femme</w:t>
            </w:r>
          </w:p>
        </w:tc>
      </w:tr>
      <w:tr w:rsidR="00FC36AA" w:rsidRPr="0046567B" w14:paraId="374CA3C0" w14:textId="77777777" w:rsidTr="002A20B0">
        <w:tc>
          <w:tcPr>
            <w:tcW w:w="1170" w:type="dxa"/>
            <w:shd w:val="clear" w:color="auto" w:fill="auto"/>
            <w:noWrap/>
          </w:tcPr>
          <w:p w14:paraId="0D61015A"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3A</w:t>
            </w:r>
          </w:p>
        </w:tc>
        <w:tc>
          <w:tcPr>
            <w:tcW w:w="6150" w:type="dxa"/>
            <w:shd w:val="clear" w:color="auto" w:fill="auto"/>
            <w:noWrap/>
          </w:tcPr>
          <w:p w14:paraId="5D7D9F14" w14:textId="32E3D75A" w:rsidR="00FC36AA" w:rsidRPr="0046567B" w:rsidRDefault="00FC36AA" w:rsidP="00FC36AA">
            <w:pPr>
              <w:tabs>
                <w:tab w:val="left" w:pos="288"/>
                <w:tab w:val="left" w:pos="576"/>
                <w:tab w:val="left" w:pos="864"/>
                <w:tab w:val="left" w:pos="1152"/>
              </w:tabs>
              <w:suppressAutoHyphens/>
              <w:spacing w:before="40" w:after="80"/>
              <w:ind w:left="144" w:right="43"/>
            </w:pPr>
            <w:r w:rsidRPr="0046567B">
              <w:t>Enquêtes statistiques et systèmes de collecte de données statistiques ventilées par sexe</w:t>
            </w:r>
          </w:p>
        </w:tc>
      </w:tr>
      <w:tr w:rsidR="00FC36AA" w:rsidRPr="0046567B" w14:paraId="796FDDA3" w14:textId="77777777" w:rsidTr="002A20B0">
        <w:tc>
          <w:tcPr>
            <w:tcW w:w="1170" w:type="dxa"/>
            <w:shd w:val="clear" w:color="auto" w:fill="auto"/>
            <w:noWrap/>
          </w:tcPr>
          <w:p w14:paraId="55A46D61"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5A</w:t>
            </w:r>
          </w:p>
        </w:tc>
        <w:tc>
          <w:tcPr>
            <w:tcW w:w="6150" w:type="dxa"/>
            <w:shd w:val="clear" w:color="auto" w:fill="auto"/>
            <w:noWrap/>
          </w:tcPr>
          <w:p w14:paraId="2004F676"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Principales nouveautés concernant la révision des infractions sexuelles</w:t>
            </w:r>
          </w:p>
        </w:tc>
      </w:tr>
      <w:tr w:rsidR="00FC36AA" w:rsidRPr="0046567B" w14:paraId="35BA1C79" w14:textId="77777777" w:rsidTr="002A20B0">
        <w:tc>
          <w:tcPr>
            <w:tcW w:w="1170" w:type="dxa"/>
            <w:shd w:val="clear" w:color="auto" w:fill="auto"/>
            <w:noWrap/>
          </w:tcPr>
          <w:p w14:paraId="5396AF13"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5B</w:t>
            </w:r>
          </w:p>
        </w:tc>
        <w:tc>
          <w:tcPr>
            <w:tcW w:w="6150" w:type="dxa"/>
            <w:shd w:val="clear" w:color="auto" w:fill="auto"/>
            <w:noWrap/>
          </w:tcPr>
          <w:p w14:paraId="56C7454A"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Promotion de la Convention</w:t>
            </w:r>
          </w:p>
        </w:tc>
      </w:tr>
      <w:tr w:rsidR="00FC36AA" w:rsidRPr="0046567B" w14:paraId="650EA499" w14:textId="77777777" w:rsidTr="002A20B0">
        <w:tc>
          <w:tcPr>
            <w:tcW w:w="1170" w:type="dxa"/>
            <w:shd w:val="clear" w:color="auto" w:fill="auto"/>
            <w:noWrap/>
          </w:tcPr>
          <w:p w14:paraId="3FE319B6"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5C</w:t>
            </w:r>
          </w:p>
        </w:tc>
        <w:tc>
          <w:tcPr>
            <w:tcW w:w="6150" w:type="dxa"/>
            <w:shd w:val="clear" w:color="auto" w:fill="auto"/>
            <w:noWrap/>
          </w:tcPr>
          <w:p w14:paraId="065E2719"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Protections législatives des femmes contre la violence</w:t>
            </w:r>
          </w:p>
        </w:tc>
      </w:tr>
      <w:tr w:rsidR="00FC36AA" w:rsidRPr="0046567B" w14:paraId="01707A88" w14:textId="77777777" w:rsidTr="002A20B0">
        <w:tc>
          <w:tcPr>
            <w:tcW w:w="1170" w:type="dxa"/>
            <w:shd w:val="clear" w:color="auto" w:fill="auto"/>
            <w:noWrap/>
          </w:tcPr>
          <w:p w14:paraId="7DCD7C76"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5D</w:t>
            </w:r>
          </w:p>
        </w:tc>
        <w:tc>
          <w:tcPr>
            <w:tcW w:w="6150" w:type="dxa"/>
            <w:shd w:val="clear" w:color="auto" w:fill="auto"/>
            <w:noWrap/>
          </w:tcPr>
          <w:p w14:paraId="4F2CB6DF"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Services de soutien fournis par le Département de la protection sociale</w:t>
            </w:r>
          </w:p>
        </w:tc>
      </w:tr>
      <w:tr w:rsidR="00FC36AA" w:rsidRPr="0046567B" w14:paraId="6E7A8565" w14:textId="77777777" w:rsidTr="002A20B0">
        <w:tc>
          <w:tcPr>
            <w:tcW w:w="1170" w:type="dxa"/>
            <w:shd w:val="clear" w:color="auto" w:fill="auto"/>
            <w:noWrap/>
          </w:tcPr>
          <w:p w14:paraId="53196E00"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5E</w:t>
            </w:r>
          </w:p>
        </w:tc>
        <w:tc>
          <w:tcPr>
            <w:tcW w:w="6150" w:type="dxa"/>
            <w:shd w:val="clear" w:color="auto" w:fill="auto"/>
            <w:noWrap/>
          </w:tcPr>
          <w:p w14:paraId="119DD17E" w14:textId="2AFD79C8" w:rsidR="00FC36AA" w:rsidRPr="0046567B" w:rsidRDefault="00FC36AA" w:rsidP="00FC36AA">
            <w:pPr>
              <w:tabs>
                <w:tab w:val="left" w:pos="288"/>
                <w:tab w:val="left" w:pos="576"/>
                <w:tab w:val="left" w:pos="864"/>
                <w:tab w:val="left" w:pos="1152"/>
              </w:tabs>
              <w:suppressAutoHyphens/>
              <w:spacing w:before="40" w:after="80"/>
              <w:ind w:left="144" w:right="43"/>
            </w:pPr>
            <w:r w:rsidRPr="0046567B">
              <w:t>Services proposés aux victimes de violences sexuelles, systèmes d</w:t>
            </w:r>
            <w:r w:rsidR="00FB11B3" w:rsidRPr="0046567B">
              <w:t>’</w:t>
            </w:r>
            <w:r w:rsidRPr="0046567B">
              <w:t>information et formation professionnelle</w:t>
            </w:r>
          </w:p>
        </w:tc>
      </w:tr>
      <w:tr w:rsidR="00FC36AA" w:rsidRPr="0046567B" w14:paraId="1998EF72" w14:textId="77777777" w:rsidTr="002A20B0">
        <w:tc>
          <w:tcPr>
            <w:tcW w:w="1170" w:type="dxa"/>
            <w:shd w:val="clear" w:color="auto" w:fill="auto"/>
            <w:noWrap/>
          </w:tcPr>
          <w:p w14:paraId="6D5C5D7D"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6A</w:t>
            </w:r>
          </w:p>
        </w:tc>
        <w:tc>
          <w:tcPr>
            <w:tcW w:w="6150" w:type="dxa"/>
            <w:shd w:val="clear" w:color="auto" w:fill="auto"/>
            <w:noWrap/>
          </w:tcPr>
          <w:p w14:paraId="0B7B7089"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Services sociaux et de santé pour les travailleuses et travailleurs du sexe</w:t>
            </w:r>
          </w:p>
        </w:tc>
      </w:tr>
      <w:tr w:rsidR="00FC36AA" w:rsidRPr="0046567B" w14:paraId="5F91972F" w14:textId="77777777" w:rsidTr="002A20B0">
        <w:tc>
          <w:tcPr>
            <w:tcW w:w="1170" w:type="dxa"/>
            <w:shd w:val="clear" w:color="auto" w:fill="auto"/>
            <w:noWrap/>
          </w:tcPr>
          <w:p w14:paraId="1B269A52"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10A</w:t>
            </w:r>
          </w:p>
        </w:tc>
        <w:tc>
          <w:tcPr>
            <w:tcW w:w="6150" w:type="dxa"/>
            <w:shd w:val="clear" w:color="auto" w:fill="auto"/>
            <w:noWrap/>
          </w:tcPr>
          <w:p w14:paraId="32FAEE38" w14:textId="7D44BB0D" w:rsidR="00FC36AA" w:rsidRPr="0046567B" w:rsidRDefault="00FC36AA" w:rsidP="00FC36AA">
            <w:pPr>
              <w:tabs>
                <w:tab w:val="left" w:pos="288"/>
                <w:tab w:val="left" w:pos="576"/>
                <w:tab w:val="left" w:pos="864"/>
                <w:tab w:val="left" w:pos="1152"/>
              </w:tabs>
              <w:suppressAutoHyphens/>
              <w:spacing w:before="40" w:after="80"/>
              <w:ind w:left="144" w:right="43"/>
            </w:pPr>
            <w:r w:rsidRPr="0046567B">
              <w:t>Ventilation de la population âgée de 15</w:t>
            </w:r>
            <w:r w:rsidR="002A20B0" w:rsidRPr="0046567B">
              <w:t xml:space="preserve"> </w:t>
            </w:r>
            <w:r w:rsidRPr="0046567B">
              <w:t>ans et plus, par niveau d</w:t>
            </w:r>
            <w:r w:rsidR="00FB11B3" w:rsidRPr="0046567B">
              <w:t>’</w:t>
            </w:r>
            <w:r w:rsidRPr="0046567B">
              <w:t>éducation et par sexe</w:t>
            </w:r>
          </w:p>
        </w:tc>
      </w:tr>
      <w:tr w:rsidR="00FC36AA" w:rsidRPr="0046567B" w14:paraId="432A3A33" w14:textId="77777777" w:rsidTr="002A20B0">
        <w:tc>
          <w:tcPr>
            <w:tcW w:w="1170" w:type="dxa"/>
            <w:shd w:val="clear" w:color="auto" w:fill="auto"/>
            <w:noWrap/>
          </w:tcPr>
          <w:p w14:paraId="6F61D2CB"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10B</w:t>
            </w:r>
          </w:p>
        </w:tc>
        <w:tc>
          <w:tcPr>
            <w:tcW w:w="6150" w:type="dxa"/>
            <w:shd w:val="clear" w:color="auto" w:fill="auto"/>
            <w:noWrap/>
          </w:tcPr>
          <w:p w14:paraId="16E0A518" w14:textId="427C7648" w:rsidR="00FC36AA" w:rsidRPr="0046567B" w:rsidRDefault="00FC36AA" w:rsidP="00FC36AA">
            <w:pPr>
              <w:tabs>
                <w:tab w:val="left" w:pos="288"/>
                <w:tab w:val="left" w:pos="576"/>
                <w:tab w:val="left" w:pos="864"/>
                <w:tab w:val="left" w:pos="1152"/>
              </w:tabs>
              <w:suppressAutoHyphens/>
              <w:spacing w:before="40" w:after="80"/>
              <w:ind w:left="144" w:right="43"/>
            </w:pPr>
            <w:r w:rsidRPr="0046567B">
              <w:t>Inscription aux programmes financés par le Comité des bourses universitaires, par niveau d</w:t>
            </w:r>
            <w:r w:rsidR="00FB11B3" w:rsidRPr="0046567B">
              <w:t>’</w:t>
            </w:r>
            <w:r w:rsidRPr="0046567B">
              <w:t>études et par sexe</w:t>
            </w:r>
          </w:p>
        </w:tc>
      </w:tr>
      <w:tr w:rsidR="00FC36AA" w:rsidRPr="0046567B" w14:paraId="6A18F577" w14:textId="77777777" w:rsidTr="002A20B0">
        <w:tc>
          <w:tcPr>
            <w:tcW w:w="1170" w:type="dxa"/>
            <w:shd w:val="clear" w:color="auto" w:fill="auto"/>
            <w:noWrap/>
          </w:tcPr>
          <w:p w14:paraId="46077E02"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10C</w:t>
            </w:r>
          </w:p>
        </w:tc>
        <w:tc>
          <w:tcPr>
            <w:tcW w:w="6150" w:type="dxa"/>
            <w:shd w:val="clear" w:color="auto" w:fill="auto"/>
            <w:noWrap/>
          </w:tcPr>
          <w:p w14:paraId="2879F782"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Inscription aux programmes financés par le Comité des bourses universitaires, par catégories de programmes universitaires et par sexe</w:t>
            </w:r>
          </w:p>
        </w:tc>
      </w:tr>
      <w:tr w:rsidR="00FC36AA" w:rsidRPr="0046567B" w14:paraId="74679BF2" w14:textId="77777777" w:rsidTr="002A20B0">
        <w:tc>
          <w:tcPr>
            <w:tcW w:w="1170" w:type="dxa"/>
            <w:shd w:val="clear" w:color="auto" w:fill="auto"/>
            <w:noWrap/>
          </w:tcPr>
          <w:p w14:paraId="5A8DBBC2"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10D</w:t>
            </w:r>
          </w:p>
        </w:tc>
        <w:tc>
          <w:tcPr>
            <w:tcW w:w="6150" w:type="dxa"/>
            <w:shd w:val="clear" w:color="auto" w:fill="auto"/>
            <w:noWrap/>
          </w:tcPr>
          <w:p w14:paraId="0A68E00A"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Stagiaires inscrits aux cours proposés par les instituts de formation du Conseil de la formation professionnelle</w:t>
            </w:r>
          </w:p>
        </w:tc>
      </w:tr>
      <w:tr w:rsidR="00FC36AA" w:rsidRPr="0046567B" w14:paraId="1C61F313" w14:textId="77777777" w:rsidTr="002A20B0">
        <w:tc>
          <w:tcPr>
            <w:tcW w:w="1170" w:type="dxa"/>
            <w:shd w:val="clear" w:color="auto" w:fill="auto"/>
            <w:noWrap/>
          </w:tcPr>
          <w:p w14:paraId="45D69B95"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10E</w:t>
            </w:r>
          </w:p>
        </w:tc>
        <w:tc>
          <w:tcPr>
            <w:tcW w:w="6150" w:type="dxa"/>
            <w:shd w:val="clear" w:color="auto" w:fill="auto"/>
            <w:noWrap/>
          </w:tcPr>
          <w:p w14:paraId="551B88F5"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 xml:space="preserve">Nombre de membres du personnel enseignant dans les universités financées par le Comité des bourses universitaires, par grade et par sexe </w:t>
            </w:r>
          </w:p>
        </w:tc>
      </w:tr>
      <w:tr w:rsidR="00FC36AA" w:rsidRPr="0046567B" w14:paraId="2A93B835" w14:textId="77777777" w:rsidTr="002A20B0">
        <w:tc>
          <w:tcPr>
            <w:tcW w:w="1170" w:type="dxa"/>
            <w:shd w:val="clear" w:color="auto" w:fill="auto"/>
            <w:noWrap/>
          </w:tcPr>
          <w:p w14:paraId="74B6F219"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11A</w:t>
            </w:r>
          </w:p>
        </w:tc>
        <w:tc>
          <w:tcPr>
            <w:tcW w:w="6150" w:type="dxa"/>
            <w:shd w:val="clear" w:color="auto" w:fill="auto"/>
            <w:noWrap/>
          </w:tcPr>
          <w:p w14:paraId="29728CE3" w14:textId="138A5F91" w:rsidR="00FC36AA" w:rsidRPr="0046567B" w:rsidRDefault="00FC36AA" w:rsidP="00FC36AA">
            <w:pPr>
              <w:tabs>
                <w:tab w:val="left" w:pos="288"/>
                <w:tab w:val="left" w:pos="576"/>
                <w:tab w:val="left" w:pos="864"/>
                <w:tab w:val="left" w:pos="1152"/>
              </w:tabs>
              <w:suppressAutoHyphens/>
              <w:spacing w:before="40" w:after="80"/>
              <w:ind w:left="144" w:right="43"/>
            </w:pPr>
            <w:r w:rsidRPr="0046567B">
              <w:t>Pourcentage de la population active par âge et par sexe (à l</w:t>
            </w:r>
            <w:r w:rsidR="00FB11B3" w:rsidRPr="0046567B">
              <w:t>’</w:t>
            </w:r>
            <w:r w:rsidRPr="0046567B">
              <w:t>exclusion du personnel domestique étranger)</w:t>
            </w:r>
          </w:p>
        </w:tc>
      </w:tr>
      <w:tr w:rsidR="00FC36AA" w:rsidRPr="0046567B" w14:paraId="6E8E0972" w14:textId="77777777" w:rsidTr="002A20B0">
        <w:tc>
          <w:tcPr>
            <w:tcW w:w="1170" w:type="dxa"/>
            <w:shd w:val="clear" w:color="auto" w:fill="auto"/>
            <w:noWrap/>
          </w:tcPr>
          <w:p w14:paraId="000E97A2"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11B</w:t>
            </w:r>
          </w:p>
        </w:tc>
        <w:tc>
          <w:tcPr>
            <w:tcW w:w="6150" w:type="dxa"/>
            <w:shd w:val="clear" w:color="auto" w:fill="auto"/>
            <w:noWrap/>
          </w:tcPr>
          <w:p w14:paraId="4ADBD52D" w14:textId="07F08413" w:rsidR="00FC36AA" w:rsidRPr="0046567B" w:rsidRDefault="00FC36AA" w:rsidP="00FC36AA">
            <w:pPr>
              <w:tabs>
                <w:tab w:val="left" w:pos="288"/>
                <w:tab w:val="left" w:pos="576"/>
                <w:tab w:val="left" w:pos="864"/>
                <w:tab w:val="left" w:pos="1152"/>
              </w:tabs>
              <w:suppressAutoHyphens/>
              <w:spacing w:before="40" w:after="80"/>
              <w:ind w:left="144" w:right="43"/>
            </w:pPr>
            <w:r w:rsidRPr="0046567B">
              <w:t>Taux d</w:t>
            </w:r>
            <w:r w:rsidR="00FB11B3" w:rsidRPr="0046567B">
              <w:t>’</w:t>
            </w:r>
            <w:r w:rsidRPr="0046567B">
              <w:t>activité par sexe et par âge (à l</w:t>
            </w:r>
            <w:r w:rsidR="00FB11B3" w:rsidRPr="0046567B">
              <w:t>’</w:t>
            </w:r>
            <w:r w:rsidRPr="0046567B">
              <w:t>exclusion du personnel domestique étranger)</w:t>
            </w:r>
          </w:p>
        </w:tc>
      </w:tr>
      <w:tr w:rsidR="00FC36AA" w:rsidRPr="0046567B" w14:paraId="3DF2BD83" w14:textId="77777777" w:rsidTr="002A20B0">
        <w:tc>
          <w:tcPr>
            <w:tcW w:w="1170" w:type="dxa"/>
            <w:shd w:val="clear" w:color="auto" w:fill="auto"/>
            <w:noWrap/>
          </w:tcPr>
          <w:p w14:paraId="5A0D49AE"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11C</w:t>
            </w:r>
          </w:p>
        </w:tc>
        <w:tc>
          <w:tcPr>
            <w:tcW w:w="6150" w:type="dxa"/>
            <w:shd w:val="clear" w:color="auto" w:fill="auto"/>
            <w:noWrap/>
          </w:tcPr>
          <w:p w14:paraId="4AD08E5F"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Taux de chômage et taux de sous-emploi par sexe</w:t>
            </w:r>
          </w:p>
        </w:tc>
      </w:tr>
      <w:tr w:rsidR="00FC36AA" w:rsidRPr="0046567B" w14:paraId="5C02A7CA" w14:textId="77777777" w:rsidTr="002A20B0">
        <w:tc>
          <w:tcPr>
            <w:tcW w:w="1170" w:type="dxa"/>
            <w:shd w:val="clear" w:color="auto" w:fill="auto"/>
            <w:noWrap/>
          </w:tcPr>
          <w:p w14:paraId="245D0CC1"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11D</w:t>
            </w:r>
          </w:p>
        </w:tc>
        <w:tc>
          <w:tcPr>
            <w:tcW w:w="6150" w:type="dxa"/>
            <w:shd w:val="clear" w:color="auto" w:fill="auto"/>
            <w:noWrap/>
          </w:tcPr>
          <w:p w14:paraId="20BF0A81" w14:textId="096468F0" w:rsidR="00FC36AA" w:rsidRPr="0046567B" w:rsidRDefault="00FC36AA" w:rsidP="00FC36AA">
            <w:pPr>
              <w:tabs>
                <w:tab w:val="left" w:pos="288"/>
                <w:tab w:val="left" w:pos="576"/>
                <w:tab w:val="left" w:pos="864"/>
                <w:tab w:val="left" w:pos="1152"/>
              </w:tabs>
              <w:suppressAutoHyphens/>
              <w:spacing w:before="40" w:after="80"/>
              <w:ind w:left="144" w:right="43"/>
            </w:pPr>
            <w:r w:rsidRPr="0046567B">
              <w:t>Taux de pauvreté par sexe (à l</w:t>
            </w:r>
            <w:r w:rsidR="00FB11B3" w:rsidRPr="0046567B">
              <w:t>’</w:t>
            </w:r>
            <w:r w:rsidRPr="0046567B">
              <w:t>exclusion du personnel domestique étranger)</w:t>
            </w:r>
          </w:p>
        </w:tc>
      </w:tr>
      <w:tr w:rsidR="00FC36AA" w:rsidRPr="0046567B" w14:paraId="40E0E07B" w14:textId="77777777" w:rsidTr="002A20B0">
        <w:tc>
          <w:tcPr>
            <w:tcW w:w="1170" w:type="dxa"/>
            <w:shd w:val="clear" w:color="auto" w:fill="auto"/>
            <w:noWrap/>
          </w:tcPr>
          <w:p w14:paraId="6CEBE1AC"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11E</w:t>
            </w:r>
          </w:p>
        </w:tc>
        <w:tc>
          <w:tcPr>
            <w:tcW w:w="6150" w:type="dxa"/>
            <w:shd w:val="clear" w:color="auto" w:fill="auto"/>
            <w:noWrap/>
          </w:tcPr>
          <w:p w14:paraId="303D75E7" w14:textId="4E0111AE" w:rsidR="00FC36AA" w:rsidRPr="0046567B" w:rsidRDefault="00FC36AA" w:rsidP="00FC36AA">
            <w:pPr>
              <w:tabs>
                <w:tab w:val="left" w:pos="288"/>
                <w:tab w:val="left" w:pos="576"/>
                <w:tab w:val="left" w:pos="864"/>
                <w:tab w:val="left" w:pos="1152"/>
              </w:tabs>
              <w:suppressAutoHyphens/>
              <w:spacing w:before="40" w:after="80"/>
              <w:ind w:left="144" w:right="43"/>
            </w:pPr>
            <w:r w:rsidRPr="0046567B">
              <w:t>Services de l</w:t>
            </w:r>
            <w:r w:rsidR="00FB11B3" w:rsidRPr="0046567B">
              <w:t>’</w:t>
            </w:r>
            <w:r w:rsidRPr="0046567B">
              <w:t>emploi pour les femmes et les jeunes et programmes de reconversion professionnelle</w:t>
            </w:r>
          </w:p>
        </w:tc>
      </w:tr>
      <w:tr w:rsidR="00FC36AA" w:rsidRPr="0046567B" w14:paraId="503A25B1" w14:textId="77777777" w:rsidTr="002A20B0">
        <w:tc>
          <w:tcPr>
            <w:tcW w:w="1170" w:type="dxa"/>
            <w:shd w:val="clear" w:color="auto" w:fill="auto"/>
            <w:noWrap/>
          </w:tcPr>
          <w:p w14:paraId="0E10A60E"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11F</w:t>
            </w:r>
          </w:p>
        </w:tc>
        <w:tc>
          <w:tcPr>
            <w:tcW w:w="6150" w:type="dxa"/>
            <w:shd w:val="clear" w:color="auto" w:fill="auto"/>
            <w:noWrap/>
          </w:tcPr>
          <w:p w14:paraId="2FBF129F"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Droits et avantages du personnel domestique étranger</w:t>
            </w:r>
          </w:p>
        </w:tc>
      </w:tr>
      <w:tr w:rsidR="00FC36AA" w:rsidRPr="0046567B" w14:paraId="5A6FC125" w14:textId="77777777" w:rsidTr="002A20B0">
        <w:tc>
          <w:tcPr>
            <w:tcW w:w="1170" w:type="dxa"/>
            <w:shd w:val="clear" w:color="auto" w:fill="auto"/>
            <w:noWrap/>
          </w:tcPr>
          <w:p w14:paraId="61C4DF86"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11G</w:t>
            </w:r>
          </w:p>
        </w:tc>
        <w:tc>
          <w:tcPr>
            <w:tcW w:w="6150" w:type="dxa"/>
            <w:shd w:val="clear" w:color="auto" w:fill="auto"/>
            <w:noWrap/>
          </w:tcPr>
          <w:p w14:paraId="58C00AEB"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Politiques et nouveautés concernant la réglementation des bureaux de placement</w:t>
            </w:r>
          </w:p>
        </w:tc>
      </w:tr>
      <w:tr w:rsidR="00FC36AA" w:rsidRPr="0046567B" w14:paraId="01523160" w14:textId="77777777" w:rsidTr="002A20B0">
        <w:tc>
          <w:tcPr>
            <w:tcW w:w="1170" w:type="dxa"/>
            <w:shd w:val="clear" w:color="auto" w:fill="auto"/>
            <w:noWrap/>
          </w:tcPr>
          <w:p w14:paraId="0C51983D"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11H</w:t>
            </w:r>
          </w:p>
        </w:tc>
        <w:tc>
          <w:tcPr>
            <w:tcW w:w="6150" w:type="dxa"/>
            <w:shd w:val="clear" w:color="auto" w:fill="auto"/>
            <w:noWrap/>
          </w:tcPr>
          <w:p w14:paraId="314A0FF0" w14:textId="5B8DD55F" w:rsidR="00FC36AA" w:rsidRPr="0046567B" w:rsidRDefault="00FC36AA" w:rsidP="00FC36AA">
            <w:pPr>
              <w:tabs>
                <w:tab w:val="left" w:pos="288"/>
                <w:tab w:val="left" w:pos="576"/>
                <w:tab w:val="left" w:pos="864"/>
                <w:tab w:val="left" w:pos="1152"/>
              </w:tabs>
              <w:suppressAutoHyphens/>
              <w:spacing w:before="40" w:after="80"/>
              <w:ind w:left="144" w:right="43"/>
            </w:pPr>
            <w:r w:rsidRPr="0046567B">
              <w:t>Autres aides au personnel domestique étranger, efforts de promotion et de communication</w:t>
            </w:r>
          </w:p>
        </w:tc>
      </w:tr>
      <w:tr w:rsidR="00FC36AA" w:rsidRPr="0046567B" w14:paraId="527910B6" w14:textId="77777777" w:rsidTr="002A20B0">
        <w:tc>
          <w:tcPr>
            <w:tcW w:w="1170" w:type="dxa"/>
            <w:shd w:val="clear" w:color="auto" w:fill="auto"/>
            <w:noWrap/>
          </w:tcPr>
          <w:p w14:paraId="493CD26B"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11I</w:t>
            </w:r>
          </w:p>
        </w:tc>
        <w:tc>
          <w:tcPr>
            <w:tcW w:w="6150" w:type="dxa"/>
            <w:shd w:val="clear" w:color="auto" w:fill="auto"/>
            <w:noWrap/>
          </w:tcPr>
          <w:p w14:paraId="3D612299" w14:textId="760C3EAB" w:rsidR="00FC36AA" w:rsidRPr="0046567B" w:rsidRDefault="00FC36AA" w:rsidP="00FC36AA">
            <w:pPr>
              <w:tabs>
                <w:tab w:val="left" w:pos="288"/>
                <w:tab w:val="left" w:pos="576"/>
                <w:tab w:val="left" w:pos="864"/>
                <w:tab w:val="left" w:pos="1152"/>
              </w:tabs>
              <w:suppressAutoHyphens/>
              <w:spacing w:before="40" w:after="80"/>
              <w:ind w:left="144" w:right="43"/>
            </w:pPr>
            <w:r w:rsidRPr="0046567B">
              <w:t>Mesures d</w:t>
            </w:r>
            <w:r w:rsidR="00FB11B3" w:rsidRPr="0046567B">
              <w:t>’</w:t>
            </w:r>
            <w:r w:rsidRPr="0046567B">
              <w:t>aide aux travailleuses et travailleurs migrants exposés à des mauvais traitements</w:t>
            </w:r>
          </w:p>
        </w:tc>
      </w:tr>
      <w:tr w:rsidR="00FC36AA" w:rsidRPr="0046567B" w14:paraId="5131657E" w14:textId="77777777" w:rsidTr="002A20B0">
        <w:tc>
          <w:tcPr>
            <w:tcW w:w="1170" w:type="dxa"/>
            <w:shd w:val="clear" w:color="auto" w:fill="auto"/>
            <w:noWrap/>
          </w:tcPr>
          <w:p w14:paraId="0982FAC0"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11J</w:t>
            </w:r>
          </w:p>
        </w:tc>
        <w:tc>
          <w:tcPr>
            <w:tcW w:w="6150" w:type="dxa"/>
            <w:shd w:val="clear" w:color="auto" w:fill="auto"/>
            <w:noWrap/>
          </w:tcPr>
          <w:p w14:paraId="00DA490F" w14:textId="2E7AD8F4" w:rsidR="00FC36AA" w:rsidRPr="0046567B" w:rsidRDefault="00FC36AA" w:rsidP="00FC36AA">
            <w:pPr>
              <w:tabs>
                <w:tab w:val="left" w:pos="288"/>
                <w:tab w:val="left" w:pos="576"/>
                <w:tab w:val="left" w:pos="864"/>
                <w:tab w:val="left" w:pos="1152"/>
              </w:tabs>
              <w:suppressAutoHyphens/>
              <w:spacing w:before="40" w:after="80"/>
              <w:ind w:left="144" w:right="43"/>
            </w:pPr>
            <w:r w:rsidRPr="0046567B">
              <w:t>Amélioration des services de garde d</w:t>
            </w:r>
            <w:r w:rsidR="00FB11B3" w:rsidRPr="0046567B">
              <w:t>’</w:t>
            </w:r>
            <w:r w:rsidRPr="0046567B">
              <w:t>enfants</w:t>
            </w:r>
          </w:p>
        </w:tc>
      </w:tr>
      <w:tr w:rsidR="00FC36AA" w:rsidRPr="0046567B" w14:paraId="5C8F758F" w14:textId="77777777" w:rsidTr="002A20B0">
        <w:tc>
          <w:tcPr>
            <w:tcW w:w="1170" w:type="dxa"/>
            <w:shd w:val="clear" w:color="auto" w:fill="auto"/>
            <w:noWrap/>
          </w:tcPr>
          <w:p w14:paraId="6F0F7095"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11K</w:t>
            </w:r>
          </w:p>
        </w:tc>
        <w:tc>
          <w:tcPr>
            <w:tcW w:w="6150" w:type="dxa"/>
            <w:shd w:val="clear" w:color="auto" w:fill="auto"/>
            <w:noWrap/>
          </w:tcPr>
          <w:p w14:paraId="3E5EF951" w14:textId="27F14EEC" w:rsidR="00FC36AA" w:rsidRPr="0046567B" w:rsidRDefault="00FC36AA" w:rsidP="00FC36AA">
            <w:pPr>
              <w:tabs>
                <w:tab w:val="left" w:pos="288"/>
                <w:tab w:val="left" w:pos="576"/>
                <w:tab w:val="left" w:pos="864"/>
                <w:tab w:val="left" w:pos="1152"/>
              </w:tabs>
              <w:suppressAutoHyphens/>
              <w:spacing w:before="40" w:after="80"/>
              <w:ind w:left="144" w:right="43"/>
            </w:pPr>
            <w:r w:rsidRPr="0046567B">
              <w:t>Rôle joué par le Ministère du travail dans la promotion des pratiques d</w:t>
            </w:r>
            <w:r w:rsidR="00FB11B3" w:rsidRPr="0046567B">
              <w:t>’</w:t>
            </w:r>
            <w:r w:rsidRPr="0046567B">
              <w:t>emploi favorables à la famille</w:t>
            </w:r>
          </w:p>
        </w:tc>
      </w:tr>
      <w:tr w:rsidR="00FC36AA" w:rsidRPr="0046567B" w14:paraId="25695FDA" w14:textId="77777777" w:rsidTr="002A20B0">
        <w:tc>
          <w:tcPr>
            <w:tcW w:w="1170" w:type="dxa"/>
            <w:shd w:val="clear" w:color="auto" w:fill="auto"/>
            <w:noWrap/>
          </w:tcPr>
          <w:p w14:paraId="069DE6B0"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12A</w:t>
            </w:r>
          </w:p>
        </w:tc>
        <w:tc>
          <w:tcPr>
            <w:tcW w:w="6150" w:type="dxa"/>
            <w:shd w:val="clear" w:color="auto" w:fill="auto"/>
            <w:noWrap/>
          </w:tcPr>
          <w:p w14:paraId="72A7AB73" w14:textId="5381EFC3" w:rsidR="00FC36AA" w:rsidRPr="0046567B" w:rsidRDefault="00FC36AA" w:rsidP="00FC36AA">
            <w:pPr>
              <w:tabs>
                <w:tab w:val="left" w:pos="288"/>
                <w:tab w:val="left" w:pos="576"/>
                <w:tab w:val="left" w:pos="864"/>
                <w:tab w:val="left" w:pos="1152"/>
              </w:tabs>
              <w:suppressAutoHyphens/>
              <w:spacing w:before="40" w:after="80"/>
              <w:ind w:left="144" w:right="43"/>
            </w:pPr>
            <w:r w:rsidRPr="0046567B">
              <w:t>Politique et mesures de promotion en faveur de l</w:t>
            </w:r>
            <w:r w:rsidR="00FB11B3" w:rsidRPr="0046567B">
              <w:t>’</w:t>
            </w:r>
            <w:r w:rsidRPr="0046567B">
              <w:t>allaitement maternel</w:t>
            </w:r>
          </w:p>
        </w:tc>
      </w:tr>
      <w:tr w:rsidR="00FC36AA" w:rsidRPr="0046567B" w14:paraId="779177AE" w14:textId="77777777" w:rsidTr="002A20B0">
        <w:tc>
          <w:tcPr>
            <w:tcW w:w="1170" w:type="dxa"/>
            <w:shd w:val="clear" w:color="auto" w:fill="auto"/>
            <w:noWrap/>
          </w:tcPr>
          <w:p w14:paraId="568EF873"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12B</w:t>
            </w:r>
          </w:p>
        </w:tc>
        <w:tc>
          <w:tcPr>
            <w:tcW w:w="6150" w:type="dxa"/>
            <w:shd w:val="clear" w:color="auto" w:fill="auto"/>
            <w:noWrap/>
          </w:tcPr>
          <w:p w14:paraId="45DE2DD7"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Présentation des services destinés aux femmes ayant des besoins particuliers</w:t>
            </w:r>
          </w:p>
        </w:tc>
      </w:tr>
      <w:tr w:rsidR="00FC36AA" w:rsidRPr="0046567B" w14:paraId="75B4A4CB" w14:textId="77777777" w:rsidTr="002A20B0">
        <w:tc>
          <w:tcPr>
            <w:tcW w:w="1170" w:type="dxa"/>
            <w:shd w:val="clear" w:color="auto" w:fill="auto"/>
            <w:noWrap/>
          </w:tcPr>
          <w:p w14:paraId="22A9419A"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13A</w:t>
            </w:r>
          </w:p>
        </w:tc>
        <w:tc>
          <w:tcPr>
            <w:tcW w:w="6150" w:type="dxa"/>
            <w:shd w:val="clear" w:color="auto" w:fill="auto"/>
            <w:noWrap/>
          </w:tcPr>
          <w:p w14:paraId="5246804B" w14:textId="08E646A0" w:rsidR="00FC36AA" w:rsidRPr="0046567B" w:rsidRDefault="00FC36AA" w:rsidP="00FC36AA">
            <w:pPr>
              <w:tabs>
                <w:tab w:val="left" w:pos="288"/>
                <w:tab w:val="left" w:pos="576"/>
                <w:tab w:val="left" w:pos="864"/>
                <w:tab w:val="left" w:pos="1152"/>
              </w:tabs>
              <w:suppressAutoHyphens/>
              <w:spacing w:before="40" w:after="80"/>
              <w:ind w:left="144" w:right="43"/>
            </w:pPr>
            <w:r w:rsidRPr="0046567B">
              <w:t>Services offerts aux personnes qui viennent d</w:t>
            </w:r>
            <w:r w:rsidR="00FB11B3" w:rsidRPr="0046567B">
              <w:t>’</w:t>
            </w:r>
            <w:r w:rsidRPr="0046567B">
              <w:t>arriver et aux parents seuls</w:t>
            </w:r>
          </w:p>
        </w:tc>
      </w:tr>
      <w:tr w:rsidR="00FC36AA" w:rsidRPr="0046567B" w14:paraId="236F9402" w14:textId="77777777" w:rsidTr="002A20B0">
        <w:tc>
          <w:tcPr>
            <w:tcW w:w="1170" w:type="dxa"/>
            <w:shd w:val="clear" w:color="auto" w:fill="auto"/>
            <w:noWrap/>
          </w:tcPr>
          <w:p w14:paraId="2E230100" w14:textId="77777777" w:rsidR="00FC36AA" w:rsidRPr="0046567B" w:rsidRDefault="00FC36AA" w:rsidP="00FC36AA">
            <w:pPr>
              <w:tabs>
                <w:tab w:val="left" w:pos="288"/>
                <w:tab w:val="left" w:pos="576"/>
                <w:tab w:val="left" w:pos="864"/>
                <w:tab w:val="left" w:pos="1152"/>
              </w:tabs>
              <w:suppressAutoHyphens/>
              <w:spacing w:before="40" w:after="80"/>
              <w:ind w:right="40"/>
            </w:pPr>
            <w:r w:rsidRPr="0046567B">
              <w:t>15A</w:t>
            </w:r>
          </w:p>
        </w:tc>
        <w:tc>
          <w:tcPr>
            <w:tcW w:w="6150" w:type="dxa"/>
            <w:shd w:val="clear" w:color="auto" w:fill="auto"/>
            <w:noWrap/>
          </w:tcPr>
          <w:p w14:paraId="0FEA1D38" w14:textId="77777777" w:rsidR="00FC36AA" w:rsidRPr="0046567B" w:rsidRDefault="00FC36AA" w:rsidP="00FC36AA">
            <w:pPr>
              <w:tabs>
                <w:tab w:val="left" w:pos="288"/>
                <w:tab w:val="left" w:pos="576"/>
                <w:tab w:val="left" w:pos="864"/>
                <w:tab w:val="left" w:pos="1152"/>
              </w:tabs>
              <w:suppressAutoHyphens/>
              <w:spacing w:before="40" w:after="80"/>
              <w:ind w:left="144" w:right="43"/>
            </w:pPr>
            <w:r w:rsidRPr="0046567B">
              <w:t>Les femmes en détention et les foyers de jeunes filles</w:t>
            </w:r>
          </w:p>
        </w:tc>
      </w:tr>
    </w:tbl>
    <w:p w14:paraId="5EA8890F" w14:textId="77777777" w:rsidR="00FC36AA" w:rsidRPr="0046567B" w:rsidRDefault="00FC36AA">
      <w:pPr>
        <w:spacing w:after="200" w:line="276" w:lineRule="auto"/>
      </w:pPr>
      <w:r w:rsidRPr="0046567B">
        <w:br w:type="page"/>
      </w:r>
    </w:p>
    <w:p w14:paraId="4FDFA99F" w14:textId="0A946716" w:rsidR="00FC36AA" w:rsidRPr="0046567B" w:rsidRDefault="00FC36AA" w:rsidP="00FC36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Préambule</w:t>
      </w:r>
    </w:p>
    <w:p w14:paraId="7A435D81" w14:textId="0B04BCBD" w:rsidR="00FC36AA" w:rsidRPr="0046567B" w:rsidRDefault="00FC36AA" w:rsidP="00FC36AA">
      <w:pPr>
        <w:pStyle w:val="SingleTxt"/>
        <w:spacing w:after="0" w:line="120" w:lineRule="exact"/>
        <w:rPr>
          <w:sz w:val="10"/>
          <w:lang w:val="fr-FR" w:bidi="fr-FR"/>
        </w:rPr>
      </w:pPr>
    </w:p>
    <w:p w14:paraId="4FC961B8" w14:textId="7BB6BF7C" w:rsidR="00FC36AA" w:rsidRPr="0046567B" w:rsidRDefault="00FC36AA" w:rsidP="00FC36AA">
      <w:pPr>
        <w:pStyle w:val="SingleTxt"/>
        <w:spacing w:after="0" w:line="120" w:lineRule="exact"/>
        <w:rPr>
          <w:sz w:val="10"/>
          <w:lang w:val="fr-FR" w:bidi="fr-FR"/>
        </w:rPr>
      </w:pPr>
    </w:p>
    <w:p w14:paraId="527B2AF4" w14:textId="0D4E360E" w:rsidR="00FC36AA" w:rsidRPr="0046567B" w:rsidRDefault="00FC36AA" w:rsidP="00FC36AA">
      <w:pPr>
        <w:pStyle w:val="SingleTxt"/>
        <w:numPr>
          <w:ilvl w:val="0"/>
          <w:numId w:val="30"/>
        </w:numPr>
        <w:spacing w:line="240" w:lineRule="exact"/>
        <w:ind w:left="1267" w:firstLine="0"/>
        <w:rPr>
          <w:lang w:val="fr-FR"/>
        </w:rPr>
      </w:pPr>
      <w:r w:rsidRPr="0046567B">
        <w:rPr>
          <w:lang w:val="fr-FR" w:bidi="fr-FR"/>
        </w:rPr>
        <w:t>Le présent rapport est le quatrième de la Région administrative spéciale de Hong Kong au titre de la Convention des Nations Unies sur l</w:t>
      </w:r>
      <w:r w:rsidR="00FB11B3" w:rsidRPr="0046567B">
        <w:rPr>
          <w:lang w:val="fr-FR" w:bidi="fr-FR"/>
        </w:rPr>
        <w:t>’</w:t>
      </w:r>
      <w:r w:rsidRPr="0046567B">
        <w:rPr>
          <w:lang w:val="fr-FR" w:bidi="fr-FR"/>
        </w:rPr>
        <w:t>élimination de toutes les formes de discrimination à l</w:t>
      </w:r>
      <w:r w:rsidR="00FB11B3" w:rsidRPr="0046567B">
        <w:rPr>
          <w:lang w:val="fr-FR" w:bidi="fr-FR"/>
        </w:rPr>
        <w:t>’</w:t>
      </w:r>
      <w:r w:rsidRPr="0046567B">
        <w:rPr>
          <w:lang w:val="fr-FR" w:bidi="fr-FR"/>
        </w:rPr>
        <w:t>égard des femmes (ci-après la Convention). Il fait partie du neuvième rapport de la République populaire de Chine au titre de la Convention.</w:t>
      </w:r>
    </w:p>
    <w:p w14:paraId="5A2BA596" w14:textId="5D7D0AF0"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Depuis l</w:t>
      </w:r>
      <w:r w:rsidR="00FB11B3" w:rsidRPr="0046567B">
        <w:rPr>
          <w:lang w:val="fr-FR" w:bidi="fr-FR"/>
        </w:rPr>
        <w:t>’</w:t>
      </w:r>
      <w:r w:rsidRPr="0046567B">
        <w:rPr>
          <w:lang w:val="fr-FR" w:bidi="fr-FR"/>
        </w:rPr>
        <w:t>extension de la Convention à Hong Kong en</w:t>
      </w:r>
      <w:r w:rsidR="002A20B0" w:rsidRPr="0046567B">
        <w:rPr>
          <w:lang w:val="fr-FR" w:bidi="fr-FR"/>
        </w:rPr>
        <w:t xml:space="preserve"> </w:t>
      </w:r>
      <w:r w:rsidRPr="0046567B">
        <w:rPr>
          <w:lang w:val="fr-FR" w:bidi="fr-FR"/>
        </w:rPr>
        <w:t>1996, le Gouvernement de la Région administrative spéciale de Hong Kong (ci-après le Gouvernement) a adhéré aux principes et aux dispositions de la Convention pour promouvoir le développement et l</w:t>
      </w:r>
      <w:r w:rsidR="00FB11B3" w:rsidRPr="0046567B">
        <w:rPr>
          <w:lang w:val="fr-FR" w:bidi="fr-FR"/>
        </w:rPr>
        <w:t>’</w:t>
      </w:r>
      <w:r w:rsidRPr="0046567B">
        <w:rPr>
          <w:lang w:val="fr-FR" w:bidi="fr-FR"/>
        </w:rPr>
        <w:t>avancement des femmes dans tous les domaines. L</w:t>
      </w:r>
      <w:r w:rsidR="00FB11B3" w:rsidRPr="0046567B">
        <w:rPr>
          <w:lang w:val="fr-FR" w:bidi="fr-FR"/>
        </w:rPr>
        <w:t>’</w:t>
      </w:r>
      <w:r w:rsidRPr="0046567B">
        <w:rPr>
          <w:lang w:val="fr-FR" w:bidi="fr-FR"/>
        </w:rPr>
        <w:t>engagement du Gouvernement est étayé par les progrès considérables réalisés dans divers domaines politiques depuis le précédent rapport. Le présent rapport présente les progrès réalisés ainsi que certains des défis que nous rencontrons.</w:t>
      </w:r>
    </w:p>
    <w:p w14:paraId="577C4841" w14:textId="522C7A14"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Conformément à la pratique établie pour la préparation des rapports dans le cadre d</w:t>
      </w:r>
      <w:r w:rsidR="00FB11B3" w:rsidRPr="0046567B">
        <w:rPr>
          <w:lang w:val="fr-FR" w:bidi="fr-FR"/>
        </w:rPr>
        <w:t>’</w:t>
      </w:r>
      <w:r w:rsidRPr="0046567B">
        <w:rPr>
          <w:lang w:val="fr-FR" w:bidi="fr-FR"/>
        </w:rPr>
        <w:t>autres conventions des Nations Unies, nous avons défini, dans le cadre d</w:t>
      </w:r>
      <w:r w:rsidR="00FB11B3" w:rsidRPr="0046567B">
        <w:rPr>
          <w:lang w:val="fr-FR" w:bidi="fr-FR"/>
        </w:rPr>
        <w:t>’</w:t>
      </w:r>
      <w:r w:rsidRPr="0046567B">
        <w:rPr>
          <w:lang w:val="fr-FR" w:bidi="fr-FR"/>
        </w:rPr>
        <w:t xml:space="preserve">un processus de consultation, les grands thèmes principaux et points individuels à aborder dans le présent rapport. Après consultation de </w:t>
      </w:r>
      <w:r w:rsidRPr="0046567B">
        <w:rPr>
          <w:rFonts w:hint="eastAsia"/>
          <w:lang w:val="fr-FR" w:bidi="fr-FR"/>
        </w:rPr>
        <w:t xml:space="preserve">la </w:t>
      </w:r>
      <w:r w:rsidRPr="0046567B">
        <w:rPr>
          <w:lang w:val="fr-FR" w:bidi="fr-FR"/>
        </w:rPr>
        <w:t>Commission de la femme, le processus de consultation a été largement annoncé auprès des parties intéressées, y compris le Conseil législatif, les Conseils de district, les organisations non gouvernementales concernées, les groupes de femmes et divers organismes professionnels. Il était également accessible au public sur Internet et dans tous les centres de services d</w:t>
      </w:r>
      <w:r w:rsidR="00FB11B3" w:rsidRPr="0046567B">
        <w:rPr>
          <w:lang w:val="fr-FR" w:bidi="fr-FR"/>
        </w:rPr>
        <w:t>’</w:t>
      </w:r>
      <w:r w:rsidRPr="0046567B">
        <w:rPr>
          <w:lang w:val="fr-FR" w:bidi="fr-FR"/>
        </w:rPr>
        <w:t xml:space="preserve">enquêtes publiques des bureaux de district </w:t>
      </w:r>
      <w:r w:rsidRPr="0046567B">
        <w:rPr>
          <w:rFonts w:hint="eastAsia"/>
          <w:lang w:val="fr-FR" w:bidi="fr-FR"/>
        </w:rPr>
        <w:t xml:space="preserve">du </w:t>
      </w:r>
      <w:r w:rsidRPr="0046567B">
        <w:rPr>
          <w:lang w:val="fr-FR" w:bidi="fr-FR"/>
        </w:rPr>
        <w:t>Ministère de l</w:t>
      </w:r>
      <w:r w:rsidR="00FB11B3" w:rsidRPr="0046567B">
        <w:rPr>
          <w:lang w:val="fr-FR" w:bidi="fr-FR"/>
        </w:rPr>
        <w:t>’</w:t>
      </w:r>
      <w:r w:rsidRPr="0046567B">
        <w:rPr>
          <w:lang w:val="fr-FR" w:bidi="fr-FR"/>
        </w:rPr>
        <w:t>intérieur. Sur ces questions, le public a été invité à faire part de ses observations sur la mise en œuvre de la Convention au cours de la période allant du 1</w:t>
      </w:r>
      <w:r w:rsidRPr="0046567B">
        <w:rPr>
          <w:vertAlign w:val="superscript"/>
          <w:lang w:val="fr-FR" w:bidi="fr-FR"/>
        </w:rPr>
        <w:t>er</w:t>
      </w:r>
      <w:r w:rsidR="002A20B0" w:rsidRPr="0046567B">
        <w:rPr>
          <w:lang w:val="fr-FR" w:bidi="fr-FR"/>
        </w:rPr>
        <w:t xml:space="preserve"> </w:t>
      </w:r>
      <w:r w:rsidRPr="0046567B">
        <w:rPr>
          <w:lang w:val="fr-FR" w:bidi="fr-FR"/>
        </w:rPr>
        <w:t>mars au 31</w:t>
      </w:r>
      <w:r w:rsidR="002A20B0" w:rsidRPr="0046567B">
        <w:rPr>
          <w:lang w:val="fr-FR" w:bidi="fr-FR"/>
        </w:rPr>
        <w:t xml:space="preserve"> </w:t>
      </w:r>
      <w:r w:rsidRPr="0046567B">
        <w:rPr>
          <w:lang w:val="fr-FR" w:bidi="fr-FR"/>
        </w:rPr>
        <w:t>mai</w:t>
      </w:r>
      <w:r w:rsidR="002A20B0" w:rsidRPr="0046567B">
        <w:rPr>
          <w:lang w:val="fr-FR" w:bidi="fr-FR"/>
        </w:rPr>
        <w:t xml:space="preserve"> </w:t>
      </w:r>
      <w:r w:rsidRPr="0046567B">
        <w:rPr>
          <w:lang w:val="fr-FR" w:bidi="fr-FR"/>
        </w:rPr>
        <w:t>2018 et à proposer tout autre sujet qu</w:t>
      </w:r>
      <w:r w:rsidR="00FB11B3" w:rsidRPr="0046567B">
        <w:rPr>
          <w:lang w:val="fr-FR" w:bidi="fr-FR"/>
        </w:rPr>
        <w:t>’</w:t>
      </w:r>
      <w:r w:rsidRPr="0046567B">
        <w:rPr>
          <w:lang w:val="fr-FR" w:bidi="fr-FR"/>
        </w:rPr>
        <w:t>il estime devoir être mentionné dans le présent rapport. En tant qu</w:t>
      </w:r>
      <w:r w:rsidR="00FB11B3" w:rsidRPr="0046567B">
        <w:rPr>
          <w:lang w:val="fr-FR" w:bidi="fr-FR"/>
        </w:rPr>
        <w:t>’</w:t>
      </w:r>
      <w:r w:rsidRPr="0046567B">
        <w:rPr>
          <w:lang w:val="fr-FR" w:bidi="fr-FR"/>
        </w:rPr>
        <w:t>organisme central pour la promotion du bien-être et des intérêts des femmes dans la Région administrative spéciale de Hong Kong, la Commission de la femme a consulté et sollicité l</w:t>
      </w:r>
      <w:r w:rsidR="00FB11B3" w:rsidRPr="0046567B">
        <w:rPr>
          <w:lang w:val="fr-FR" w:bidi="fr-FR"/>
        </w:rPr>
        <w:t>’</w:t>
      </w:r>
      <w:r w:rsidRPr="0046567B">
        <w:rPr>
          <w:lang w:val="fr-FR" w:bidi="fr-FR"/>
        </w:rPr>
        <w:t>avis de 18</w:t>
      </w:r>
      <w:r w:rsidR="002A20B0" w:rsidRPr="0046567B">
        <w:rPr>
          <w:lang w:val="fr-FR" w:bidi="fr-FR"/>
        </w:rPr>
        <w:t xml:space="preserve"> </w:t>
      </w:r>
      <w:r w:rsidRPr="0046567B">
        <w:rPr>
          <w:lang w:val="fr-FR" w:bidi="fr-FR"/>
        </w:rPr>
        <w:t>Conseils de district et de certains groupes de femmes. Deux sessions de consultations publiques ont également été organisées conjointement avec le Bureau du travail et de la protection sociale le 25</w:t>
      </w:r>
      <w:r w:rsidR="002A20B0" w:rsidRPr="0046567B">
        <w:rPr>
          <w:lang w:val="fr-FR" w:bidi="fr-FR"/>
        </w:rPr>
        <w:t xml:space="preserve"> </w:t>
      </w:r>
      <w:r w:rsidRPr="0046567B">
        <w:rPr>
          <w:lang w:val="fr-FR" w:bidi="fr-FR"/>
        </w:rPr>
        <w:t>avril et le 16</w:t>
      </w:r>
      <w:r w:rsidR="002A20B0" w:rsidRPr="0046567B">
        <w:rPr>
          <w:lang w:val="fr-FR" w:bidi="fr-FR"/>
        </w:rPr>
        <w:t> </w:t>
      </w:r>
      <w:r w:rsidRPr="0046567B">
        <w:rPr>
          <w:lang w:val="fr-FR" w:bidi="fr-FR"/>
        </w:rPr>
        <w:t>mai</w:t>
      </w:r>
      <w:r w:rsidR="002A20B0" w:rsidRPr="0046567B">
        <w:rPr>
          <w:lang w:val="fr-FR" w:bidi="fr-FR"/>
        </w:rPr>
        <w:t xml:space="preserve"> </w:t>
      </w:r>
      <w:r w:rsidRPr="0046567B">
        <w:rPr>
          <w:lang w:val="fr-FR" w:bidi="fr-FR"/>
        </w:rPr>
        <w:t>2018. Le processus de consultation a également fait l</w:t>
      </w:r>
      <w:r w:rsidR="00FB11B3" w:rsidRPr="0046567B">
        <w:rPr>
          <w:lang w:val="fr-FR" w:bidi="fr-FR"/>
        </w:rPr>
        <w:t>’</w:t>
      </w:r>
      <w:r w:rsidRPr="0046567B">
        <w:rPr>
          <w:lang w:val="fr-FR" w:bidi="fr-FR"/>
        </w:rPr>
        <w:t>objet d</w:t>
      </w:r>
      <w:r w:rsidR="00FB11B3" w:rsidRPr="0046567B">
        <w:rPr>
          <w:lang w:val="fr-FR" w:bidi="fr-FR"/>
        </w:rPr>
        <w:t>’</w:t>
      </w:r>
      <w:r w:rsidRPr="0046567B">
        <w:rPr>
          <w:lang w:val="fr-FR" w:bidi="fr-FR"/>
        </w:rPr>
        <w:t>une discussion lors d</w:t>
      </w:r>
      <w:r w:rsidR="00FB11B3" w:rsidRPr="0046567B">
        <w:rPr>
          <w:lang w:val="fr-FR" w:bidi="fr-FR"/>
        </w:rPr>
        <w:t>’</w:t>
      </w:r>
      <w:r w:rsidRPr="0046567B">
        <w:rPr>
          <w:lang w:val="fr-FR" w:bidi="fr-FR"/>
        </w:rPr>
        <w:t>une réunion de groupe du Conseil législatif sur les affaires constitutionnelles le 26</w:t>
      </w:r>
      <w:r w:rsidR="002A20B0" w:rsidRPr="0046567B">
        <w:rPr>
          <w:lang w:val="fr-FR" w:bidi="fr-FR"/>
        </w:rPr>
        <w:t xml:space="preserve"> </w:t>
      </w:r>
      <w:r w:rsidRPr="0046567B">
        <w:rPr>
          <w:lang w:val="fr-FR" w:bidi="fr-FR"/>
        </w:rPr>
        <w:t>mai</w:t>
      </w:r>
      <w:r w:rsidR="002A20B0" w:rsidRPr="0046567B">
        <w:rPr>
          <w:lang w:val="fr-FR" w:bidi="fr-FR"/>
        </w:rPr>
        <w:t xml:space="preserve"> </w:t>
      </w:r>
      <w:r w:rsidRPr="0046567B">
        <w:rPr>
          <w:lang w:val="fr-FR" w:bidi="fr-FR"/>
        </w:rPr>
        <w:t>2018.</w:t>
      </w:r>
    </w:p>
    <w:p w14:paraId="55ECBA82" w14:textId="6D103617"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Nous avons examiné attentivement les avis et commentaires reçus lors de la rédaction du rapport. Les questions soulevées au cours de la consultation, ainsi que, le cas échéant, les réponses apportées par le Gouvernement, ont été intégrées dans les sections pertinentes du présent rapport.</w:t>
      </w:r>
    </w:p>
    <w:p w14:paraId="75BBDF58" w14:textId="0AD64BA2"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Le rapport sera mis à la disposition des parties prenantes, notamment le Conseil législatif, la Commission de la femme, ainsi que les ONG et les groupes de femmes. Il sera distribué au public dans les centres de services d</w:t>
      </w:r>
      <w:r w:rsidR="00FB11B3" w:rsidRPr="0046567B">
        <w:rPr>
          <w:lang w:val="fr-FR" w:bidi="fr-FR"/>
        </w:rPr>
        <w:t>’</w:t>
      </w:r>
      <w:r w:rsidRPr="0046567B">
        <w:rPr>
          <w:lang w:val="fr-FR" w:bidi="fr-FR"/>
        </w:rPr>
        <w:t>enquêtes publiques du Ministère de l</w:t>
      </w:r>
      <w:r w:rsidR="00FB11B3" w:rsidRPr="0046567B">
        <w:rPr>
          <w:lang w:val="fr-FR" w:bidi="fr-FR"/>
        </w:rPr>
        <w:t>’</w:t>
      </w:r>
      <w:r w:rsidRPr="0046567B">
        <w:rPr>
          <w:lang w:val="fr-FR" w:bidi="fr-FR"/>
        </w:rPr>
        <w:t>intérieur et dans les bibliothèques publiques. Une version électronique sera également disponible sur le site Web du Gouvernement.</w:t>
      </w:r>
    </w:p>
    <w:p w14:paraId="6E446271" w14:textId="50817DDD" w:rsidR="00FC36AA" w:rsidRPr="0046567B" w:rsidRDefault="00FC36AA" w:rsidP="00FC36AA">
      <w:pPr>
        <w:pStyle w:val="SingleTxt"/>
        <w:spacing w:after="0" w:line="120" w:lineRule="exact"/>
        <w:rPr>
          <w:sz w:val="10"/>
          <w:lang w:val="fr-FR" w:bidi="fr-FR"/>
        </w:rPr>
      </w:pPr>
    </w:p>
    <w:p w14:paraId="12C66805" w14:textId="60914E66" w:rsidR="00FC36AA" w:rsidRPr="0046567B" w:rsidRDefault="00FC36AA" w:rsidP="00FC36AA">
      <w:pPr>
        <w:pStyle w:val="SingleTxt"/>
        <w:spacing w:after="0" w:line="120" w:lineRule="exact"/>
        <w:rPr>
          <w:sz w:val="10"/>
          <w:lang w:val="fr-FR"/>
        </w:rPr>
      </w:pPr>
    </w:p>
    <w:p w14:paraId="4374362B" w14:textId="1BC767E7" w:rsidR="00FC36AA" w:rsidRPr="0046567B" w:rsidRDefault="00FC36AA" w:rsidP="00FC36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1 </w:t>
      </w:r>
      <w:r w:rsidR="00A55DB4" w:rsidRPr="0046567B">
        <w:rPr>
          <w:lang w:val="fr-FR" w:bidi="fr-FR"/>
        </w:rPr>
        <w:t>–</w:t>
      </w:r>
      <w:r w:rsidRPr="0046567B">
        <w:rPr>
          <w:lang w:val="fr-FR" w:bidi="fr-FR"/>
        </w:rPr>
        <w:t xml:space="preserve"> Définition de la discrimination</w:t>
      </w:r>
    </w:p>
    <w:p w14:paraId="61347273" w14:textId="30A51469" w:rsidR="00FC36AA" w:rsidRPr="0046567B" w:rsidRDefault="00FC36AA" w:rsidP="00FC36AA">
      <w:pPr>
        <w:pStyle w:val="SingleTxt"/>
        <w:spacing w:after="0" w:line="120" w:lineRule="exact"/>
        <w:rPr>
          <w:sz w:val="10"/>
          <w:lang w:val="fr-FR" w:bidi="fr-FR"/>
        </w:rPr>
      </w:pPr>
    </w:p>
    <w:p w14:paraId="480CC06F" w14:textId="2C3F3652" w:rsidR="00FC36AA" w:rsidRPr="0046567B" w:rsidRDefault="00FC36AA" w:rsidP="00FC36AA">
      <w:pPr>
        <w:pStyle w:val="SingleTxt"/>
        <w:spacing w:after="0" w:line="120" w:lineRule="exact"/>
        <w:rPr>
          <w:sz w:val="10"/>
          <w:lang w:val="fr-FR" w:bidi="fr-FR"/>
        </w:rPr>
      </w:pPr>
    </w:p>
    <w:p w14:paraId="5C4EEB8F" w14:textId="24005D15"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bookmarkStart w:id="1" w:name="_Definition_of_“discrimination_again"/>
      <w:bookmarkEnd w:id="1"/>
      <w:r w:rsidRPr="0046567B">
        <w:rPr>
          <w:lang w:val="fr-FR" w:bidi="fr-FR"/>
        </w:rPr>
        <w:tab/>
      </w:r>
      <w:r w:rsidRPr="0046567B">
        <w:rPr>
          <w:lang w:val="fr-FR" w:bidi="fr-FR"/>
        </w:rPr>
        <w:tab/>
        <w:t>Définition de la discrimination à l</w:t>
      </w:r>
      <w:r w:rsidR="00FB11B3" w:rsidRPr="0046567B">
        <w:rPr>
          <w:lang w:val="fr-FR" w:bidi="fr-FR"/>
        </w:rPr>
        <w:t>’</w:t>
      </w:r>
      <w:r w:rsidRPr="0046567B">
        <w:rPr>
          <w:lang w:val="fr-FR" w:bidi="fr-FR"/>
        </w:rPr>
        <w:t>égard des femmes</w:t>
      </w:r>
      <w:r w:rsidRPr="0046567B">
        <w:rPr>
          <w:lang w:val="fr-FR" w:bidi="fr-FR"/>
        </w:rPr>
        <w:br/>
        <w:t>dans l</w:t>
      </w:r>
      <w:r w:rsidR="00FB11B3" w:rsidRPr="0046567B">
        <w:rPr>
          <w:lang w:val="fr-FR" w:bidi="fr-FR"/>
        </w:rPr>
        <w:t>’</w:t>
      </w:r>
      <w:r w:rsidRPr="0046567B">
        <w:rPr>
          <w:lang w:val="fr-FR" w:bidi="fr-FR"/>
        </w:rPr>
        <w:t>ordonnance sur la discrimination sexuelle</w:t>
      </w:r>
    </w:p>
    <w:p w14:paraId="770D582C" w14:textId="1C1351F5" w:rsidR="00FC36AA" w:rsidRPr="0046567B" w:rsidRDefault="00FC36AA" w:rsidP="00FC36AA">
      <w:pPr>
        <w:pStyle w:val="SingleTxt"/>
        <w:spacing w:after="0" w:line="120" w:lineRule="exact"/>
        <w:rPr>
          <w:sz w:val="10"/>
          <w:lang w:val="fr-FR" w:bidi="fr-FR"/>
        </w:rPr>
      </w:pPr>
    </w:p>
    <w:p w14:paraId="2C3BF035" w14:textId="127AF0AE" w:rsidR="00FC36AA" w:rsidRPr="0046567B" w:rsidRDefault="00FC36AA" w:rsidP="00FC36AA">
      <w:pPr>
        <w:pStyle w:val="SingleTxt"/>
        <w:spacing w:after="0" w:line="120" w:lineRule="exact"/>
        <w:rPr>
          <w:sz w:val="10"/>
          <w:lang w:val="fr-FR" w:bidi="fr-FR"/>
        </w:rPr>
      </w:pPr>
    </w:p>
    <w:p w14:paraId="5AAFA1EB" w14:textId="4501CB4D"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La définition de la discrimination selon l</w:t>
      </w:r>
      <w:r w:rsidR="00FB11B3" w:rsidRPr="0046567B">
        <w:rPr>
          <w:lang w:val="fr-FR" w:bidi="fr-FR"/>
        </w:rPr>
        <w:t>’</w:t>
      </w:r>
      <w:r w:rsidRPr="0046567B">
        <w:rPr>
          <w:lang w:val="fr-FR" w:bidi="fr-FR"/>
        </w:rPr>
        <w:t xml:space="preserve">ordonnance sur la discrimination sexuelle </w:t>
      </w:r>
      <w:r w:rsidRPr="0046567B">
        <w:rPr>
          <w:rFonts w:hint="eastAsia"/>
          <w:lang w:val="fr-FR" w:bidi="fr-FR"/>
        </w:rPr>
        <w:t>(chap.</w:t>
      </w:r>
      <w:r w:rsidR="00F2347E" w:rsidRPr="0046567B">
        <w:rPr>
          <w:lang w:val="fr-FR" w:bidi="fr-FR"/>
        </w:rPr>
        <w:t> </w:t>
      </w:r>
      <w:r w:rsidRPr="0046567B">
        <w:rPr>
          <w:lang w:val="fr-FR" w:bidi="fr-FR"/>
        </w:rPr>
        <w:t>480) en ce qui concerne la discrimination à l</w:t>
      </w:r>
      <w:r w:rsidR="00FB11B3" w:rsidRPr="0046567B">
        <w:rPr>
          <w:lang w:val="fr-FR" w:bidi="fr-FR"/>
        </w:rPr>
        <w:t>’</w:t>
      </w:r>
      <w:r w:rsidRPr="0046567B">
        <w:rPr>
          <w:lang w:val="fr-FR" w:bidi="fr-FR"/>
        </w:rPr>
        <w:t>égard des femmes demeure inchangée.</w:t>
      </w:r>
    </w:p>
    <w:p w14:paraId="1EE38D77" w14:textId="71856158"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Réserves et </w:t>
      </w:r>
      <w:r w:rsidRPr="0046567B">
        <w:rPr>
          <w:szCs w:val="20"/>
          <w:lang w:val="fr-FR" w:bidi="fr-FR"/>
        </w:rPr>
        <w:t>déclarations</w:t>
      </w:r>
      <w:r w:rsidRPr="0046567B">
        <w:rPr>
          <w:lang w:val="fr-FR" w:bidi="fr-FR"/>
        </w:rPr>
        <w:t xml:space="preserve"> relatives à l</w:t>
      </w:r>
      <w:r w:rsidR="00FB11B3" w:rsidRPr="0046567B">
        <w:rPr>
          <w:lang w:val="fr-FR" w:bidi="fr-FR"/>
        </w:rPr>
        <w:t>’</w:t>
      </w:r>
      <w:r w:rsidRPr="0046567B">
        <w:rPr>
          <w:lang w:val="fr-FR" w:bidi="fr-FR"/>
        </w:rPr>
        <w:t>application de la Convention dans la Région administrative spéciale de Hong Kong</w:t>
      </w:r>
    </w:p>
    <w:p w14:paraId="5F2EC2F1" w14:textId="7EC78B2F" w:rsidR="00FC36AA" w:rsidRPr="0046567B" w:rsidRDefault="00FC36AA" w:rsidP="00FC36AA">
      <w:pPr>
        <w:pStyle w:val="SingleTxt"/>
        <w:spacing w:after="0" w:line="120" w:lineRule="exact"/>
        <w:rPr>
          <w:sz w:val="10"/>
          <w:lang w:val="fr-FR" w:bidi="fr-FR"/>
        </w:rPr>
      </w:pPr>
    </w:p>
    <w:p w14:paraId="48338DCC" w14:textId="474AF473" w:rsidR="00FC36AA" w:rsidRPr="0046567B" w:rsidRDefault="00FC36AA" w:rsidP="00FC36AA">
      <w:pPr>
        <w:pStyle w:val="SingleTxt"/>
        <w:spacing w:after="0" w:line="120" w:lineRule="exact"/>
        <w:rPr>
          <w:sz w:val="10"/>
          <w:lang w:val="fr-FR" w:bidi="fr-FR"/>
        </w:rPr>
      </w:pPr>
    </w:p>
    <w:p w14:paraId="1AB6C096" w14:textId="4F550B02" w:rsidR="00FC36AA" w:rsidRPr="0046567B" w:rsidRDefault="00FC36AA" w:rsidP="00FC36AA">
      <w:pPr>
        <w:pStyle w:val="SingleTxt"/>
        <w:numPr>
          <w:ilvl w:val="0"/>
          <w:numId w:val="31"/>
        </w:numPr>
        <w:spacing w:line="240" w:lineRule="exact"/>
        <w:ind w:left="1267" w:firstLine="0"/>
        <w:rPr>
          <w:lang w:val="fr-FR"/>
        </w:rPr>
      </w:pPr>
      <w:bookmarkStart w:id="2" w:name="_Ref270963728"/>
      <w:r w:rsidRPr="0046567B">
        <w:rPr>
          <w:lang w:val="fr-FR" w:bidi="fr-FR"/>
        </w:rPr>
        <w:t>Le Gouvernement central de la République populaire de Chine a formulé sept réserves et déclarations au nom de la Région administrative spéciale de Hong Kong eu égard aux dispositions de la Convention à la lumière des circonstances particulières à Hong Kong. Le Gouvernement a examiné la nécessité de maintenir les réserves et déclarations pertinentes. Nous restons d</w:t>
      </w:r>
      <w:r w:rsidR="00FB11B3" w:rsidRPr="0046567B">
        <w:rPr>
          <w:lang w:val="fr-FR" w:bidi="fr-FR"/>
        </w:rPr>
        <w:t>’</w:t>
      </w:r>
      <w:r w:rsidRPr="0046567B">
        <w:rPr>
          <w:lang w:val="fr-FR" w:bidi="fr-FR"/>
        </w:rPr>
        <w:t>avis que ces sept réserves et déclarations ne doivent pas être retirées. Les motifs qui justifient leur maintien sont exposés dans les articles concernés ci-après.</w:t>
      </w:r>
      <w:bookmarkEnd w:id="2"/>
    </w:p>
    <w:p w14:paraId="1EC9B33C" w14:textId="0A0B5899" w:rsidR="00FC36AA" w:rsidRPr="0046567B" w:rsidRDefault="00FC36AA" w:rsidP="00FC36AA">
      <w:pPr>
        <w:pStyle w:val="SingleTxt"/>
        <w:spacing w:after="0" w:line="120" w:lineRule="exact"/>
        <w:rPr>
          <w:sz w:val="10"/>
          <w:lang w:val="fr-FR"/>
        </w:rPr>
      </w:pPr>
    </w:p>
    <w:p w14:paraId="70528F51" w14:textId="2A50F6EF" w:rsidR="00FC36AA" w:rsidRPr="0046567B" w:rsidRDefault="00FC36AA" w:rsidP="00FC36AA">
      <w:pPr>
        <w:pStyle w:val="SingleTxt"/>
        <w:spacing w:after="0" w:line="120" w:lineRule="exact"/>
        <w:rPr>
          <w:sz w:val="10"/>
          <w:lang w:val="fr-FR"/>
        </w:rPr>
      </w:pPr>
    </w:p>
    <w:p w14:paraId="7006F05D" w14:textId="1FF279B5" w:rsidR="00FC36AA" w:rsidRPr="0046567B" w:rsidRDefault="00FC36AA" w:rsidP="00FC36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bookmarkStart w:id="3" w:name="_Basic_Law_and_the_Hong_Kong_Bill_of"/>
      <w:bookmarkStart w:id="4" w:name="_The_Basic_Law_and_the_Hong_Kong_Bil"/>
      <w:bookmarkEnd w:id="3"/>
      <w:bookmarkEnd w:id="4"/>
      <w:r w:rsidRPr="0046567B">
        <w:rPr>
          <w:lang w:val="fr-FR" w:bidi="fr-FR"/>
        </w:rPr>
        <w:tab/>
      </w:r>
      <w:r w:rsidRPr="0046567B">
        <w:rPr>
          <w:lang w:val="fr-FR" w:bidi="fr-FR"/>
        </w:rPr>
        <w:tab/>
        <w:t xml:space="preserve">Article 2 </w:t>
      </w:r>
      <w:r w:rsidR="00A55DB4" w:rsidRPr="0046567B">
        <w:rPr>
          <w:lang w:val="fr-FR" w:bidi="fr-FR"/>
        </w:rPr>
        <w:t>–</w:t>
      </w:r>
      <w:r w:rsidRPr="0046567B">
        <w:rPr>
          <w:lang w:val="fr-FR" w:bidi="fr-FR"/>
        </w:rPr>
        <w:t xml:space="preserve"> Obligations des États parties</w:t>
      </w:r>
    </w:p>
    <w:p w14:paraId="150E6A6A" w14:textId="65152D09" w:rsidR="00FC36AA" w:rsidRPr="0046567B" w:rsidRDefault="00FC36AA" w:rsidP="00FC36AA">
      <w:pPr>
        <w:pStyle w:val="SingleTxt"/>
        <w:spacing w:after="0" w:line="120" w:lineRule="exact"/>
        <w:rPr>
          <w:sz w:val="10"/>
          <w:lang w:val="fr-FR" w:bidi="fr-FR"/>
        </w:rPr>
      </w:pPr>
    </w:p>
    <w:p w14:paraId="786DABE0" w14:textId="07456DDD" w:rsidR="00FC36AA" w:rsidRPr="0046567B" w:rsidRDefault="00FC36AA" w:rsidP="00FC36AA">
      <w:pPr>
        <w:pStyle w:val="SingleTxt"/>
        <w:spacing w:after="0" w:line="120" w:lineRule="exact"/>
        <w:rPr>
          <w:sz w:val="10"/>
          <w:lang w:val="fr-FR" w:bidi="fr-FR"/>
        </w:rPr>
      </w:pPr>
    </w:p>
    <w:p w14:paraId="554010A0" w14:textId="330BD2BB"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Le Comité pour l</w:t>
      </w:r>
      <w:r w:rsidR="00FB11B3" w:rsidRPr="0046567B">
        <w:rPr>
          <w:lang w:val="fr-FR" w:bidi="fr-FR"/>
        </w:rPr>
        <w:t>’</w:t>
      </w:r>
      <w:r w:rsidRPr="0046567B">
        <w:rPr>
          <w:lang w:val="fr-FR" w:bidi="fr-FR"/>
        </w:rPr>
        <w:t>élimination de la discrimination à l</w:t>
      </w:r>
      <w:r w:rsidR="00FB11B3" w:rsidRPr="0046567B">
        <w:rPr>
          <w:lang w:val="fr-FR" w:bidi="fr-FR"/>
        </w:rPr>
        <w:t>’</w:t>
      </w:r>
      <w:r w:rsidRPr="0046567B">
        <w:rPr>
          <w:lang w:val="fr-FR" w:bidi="fr-FR"/>
        </w:rPr>
        <w:t>égard des femmes (le Comité) a recommandé, aux paragraphes</w:t>
      </w:r>
      <w:r w:rsidR="002A20B0" w:rsidRPr="0046567B">
        <w:rPr>
          <w:lang w:val="fr-FR" w:bidi="fr-FR"/>
        </w:rPr>
        <w:t xml:space="preserve"> </w:t>
      </w:r>
      <w:r w:rsidRPr="0046567B">
        <w:rPr>
          <w:lang w:val="fr-FR" w:bidi="fr-FR"/>
        </w:rPr>
        <w:t>10 et</w:t>
      </w:r>
      <w:r w:rsidR="002A20B0" w:rsidRPr="0046567B">
        <w:rPr>
          <w:lang w:val="fr-FR" w:bidi="fr-FR"/>
        </w:rPr>
        <w:t xml:space="preserve"> </w:t>
      </w:r>
      <w:r w:rsidRPr="0046567B">
        <w:rPr>
          <w:lang w:val="fr-FR" w:bidi="fr-FR"/>
        </w:rPr>
        <w:t>11 de ses précédentes observations finales, de transposer en droit interne les dispositions de la Convention. Le Gouvernement s</w:t>
      </w:r>
      <w:r w:rsidR="00FB11B3" w:rsidRPr="0046567B">
        <w:rPr>
          <w:lang w:val="fr-FR" w:bidi="fr-FR"/>
        </w:rPr>
        <w:t>’</w:t>
      </w:r>
      <w:r w:rsidRPr="0046567B">
        <w:rPr>
          <w:lang w:val="fr-FR" w:bidi="fr-FR"/>
        </w:rPr>
        <w:t>est engagé à mettre en œuvre les principes et dispositions de la Convention. Bien qu</w:t>
      </w:r>
      <w:r w:rsidR="00FB11B3" w:rsidRPr="0046567B">
        <w:rPr>
          <w:lang w:val="fr-FR" w:bidi="fr-FR"/>
        </w:rPr>
        <w:t>’</w:t>
      </w:r>
      <w:r w:rsidRPr="0046567B">
        <w:rPr>
          <w:lang w:val="fr-FR" w:bidi="fr-FR"/>
        </w:rPr>
        <w:t>il n</w:t>
      </w:r>
      <w:r w:rsidR="00FB11B3" w:rsidRPr="0046567B">
        <w:rPr>
          <w:lang w:val="fr-FR" w:bidi="fr-FR"/>
        </w:rPr>
        <w:t>’</w:t>
      </w:r>
      <w:r w:rsidRPr="0046567B">
        <w:rPr>
          <w:lang w:val="fr-FR" w:bidi="fr-FR"/>
        </w:rPr>
        <w:t>existe pas de texte législatif local visant à mettre en œuvre la Convention dans son intégralité, nombre de ses dispositions sont régies par différents textes législatifs locaux. Le Gouvernement cherche également à mettre en œuvre d</w:t>
      </w:r>
      <w:r w:rsidR="00FB11B3" w:rsidRPr="0046567B">
        <w:rPr>
          <w:lang w:val="fr-FR" w:bidi="fr-FR"/>
        </w:rPr>
        <w:t>’</w:t>
      </w:r>
      <w:r w:rsidRPr="0046567B">
        <w:rPr>
          <w:lang w:val="fr-FR" w:bidi="fr-FR"/>
        </w:rPr>
        <w:t>autres dispositions par le biais de mesures administratives et de campagnes de sensibilisation du public, comme exposé dans les articles concernés du présent rapport.</w:t>
      </w:r>
    </w:p>
    <w:p w14:paraId="51AC752D" w14:textId="6CB38FD7" w:rsidR="002A20B0" w:rsidRPr="0046567B" w:rsidRDefault="002A20B0" w:rsidP="002A20B0">
      <w:pPr>
        <w:pStyle w:val="SingleTxt"/>
        <w:spacing w:after="0" w:line="120" w:lineRule="exact"/>
        <w:rPr>
          <w:sz w:val="10"/>
          <w:lang w:val="fr-FR"/>
        </w:rPr>
      </w:pPr>
    </w:p>
    <w:p w14:paraId="3FA20FA9" w14:textId="77777777" w:rsidR="002A20B0" w:rsidRPr="0046567B" w:rsidRDefault="002A20B0" w:rsidP="002A20B0">
      <w:pPr>
        <w:pStyle w:val="SingleTxt"/>
        <w:spacing w:after="0" w:line="120" w:lineRule="exact"/>
        <w:rPr>
          <w:sz w:val="10"/>
          <w:lang w:val="fr-FR"/>
        </w:rPr>
      </w:pPr>
    </w:p>
    <w:p w14:paraId="15CAB93F" w14:textId="42C76FA8"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Loi </w:t>
      </w:r>
      <w:r w:rsidRPr="0046567B">
        <w:rPr>
          <w:szCs w:val="20"/>
          <w:lang w:val="fr-FR" w:bidi="fr-FR"/>
        </w:rPr>
        <w:t>fondamentale</w:t>
      </w:r>
      <w:r w:rsidRPr="0046567B">
        <w:rPr>
          <w:lang w:val="fr-FR" w:bidi="fr-FR"/>
        </w:rPr>
        <w:t xml:space="preserve"> et Déclaration des droits de Hong Kong</w:t>
      </w:r>
    </w:p>
    <w:p w14:paraId="7813542C" w14:textId="18911B84" w:rsidR="00FC36AA" w:rsidRPr="0046567B" w:rsidRDefault="00FC36AA" w:rsidP="00FC36AA">
      <w:pPr>
        <w:pStyle w:val="SingleTxt"/>
        <w:spacing w:after="0" w:line="120" w:lineRule="exact"/>
        <w:rPr>
          <w:sz w:val="10"/>
          <w:lang w:val="fr-FR" w:bidi="fr-FR"/>
        </w:rPr>
      </w:pPr>
    </w:p>
    <w:p w14:paraId="11D9506D" w14:textId="58EF2549" w:rsidR="00FC36AA" w:rsidRPr="0046567B" w:rsidRDefault="00FC36AA" w:rsidP="00FC36AA">
      <w:pPr>
        <w:pStyle w:val="SingleTxt"/>
        <w:spacing w:after="0" w:line="120" w:lineRule="exact"/>
        <w:rPr>
          <w:sz w:val="10"/>
          <w:lang w:val="fr-FR" w:bidi="fr-FR"/>
        </w:rPr>
      </w:pPr>
    </w:p>
    <w:p w14:paraId="1D3167AD" w14:textId="04B79664"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La Loi fondamentale et la Déclaration des droits de Hong Kong</w:t>
      </w:r>
      <w:r w:rsidRPr="0046567B">
        <w:rPr>
          <w:rFonts w:hint="eastAsia"/>
          <w:lang w:val="fr-FR" w:bidi="fr-FR"/>
        </w:rPr>
        <w:t xml:space="preserve"> (</w:t>
      </w:r>
      <w:r w:rsidRPr="0046567B">
        <w:rPr>
          <w:lang w:val="fr-FR" w:bidi="fr-FR"/>
        </w:rPr>
        <w:t>HKBORO</w:t>
      </w:r>
      <w:r w:rsidRPr="0046567B">
        <w:rPr>
          <w:rFonts w:hint="eastAsia"/>
          <w:lang w:val="fr-FR" w:bidi="fr-FR"/>
        </w:rPr>
        <w:t>) (chap. 383)</w:t>
      </w:r>
      <w:r w:rsidRPr="0046567B">
        <w:rPr>
          <w:lang w:val="fr-FR" w:bidi="fr-FR"/>
        </w:rPr>
        <w:t xml:space="preserve"> continuent de protéger les droits fondamentaux des résidents de la Région administrative spéciale de Hong Kong, notamment le droit à l</w:t>
      </w:r>
      <w:r w:rsidR="00FB11B3" w:rsidRPr="0046567B">
        <w:rPr>
          <w:lang w:val="fr-FR" w:bidi="fr-FR"/>
        </w:rPr>
        <w:t>’</w:t>
      </w:r>
      <w:r w:rsidRPr="0046567B">
        <w:rPr>
          <w:lang w:val="fr-FR" w:bidi="fr-FR"/>
        </w:rPr>
        <w:t>égalité et à la non-discrimination.</w:t>
      </w:r>
    </w:p>
    <w:p w14:paraId="0DB72EF5" w14:textId="18372B4B" w:rsidR="00FC36AA" w:rsidRPr="0046567B" w:rsidRDefault="00FC36AA" w:rsidP="00FC36AA">
      <w:pPr>
        <w:pStyle w:val="SingleTxt"/>
        <w:spacing w:after="0" w:line="120" w:lineRule="exact"/>
        <w:rPr>
          <w:sz w:val="10"/>
          <w:lang w:val="fr-FR"/>
        </w:rPr>
      </w:pPr>
    </w:p>
    <w:p w14:paraId="047450B2" w14:textId="0D0E79FF" w:rsidR="00FC36AA" w:rsidRPr="0046567B" w:rsidRDefault="00FC36AA" w:rsidP="00FC36AA">
      <w:pPr>
        <w:pStyle w:val="SingleTxt"/>
        <w:spacing w:after="0" w:line="120" w:lineRule="exact"/>
        <w:rPr>
          <w:sz w:val="10"/>
          <w:lang w:val="fr-FR"/>
        </w:rPr>
      </w:pPr>
    </w:p>
    <w:p w14:paraId="0B631DC2" w14:textId="7D486E43"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Législation</w:t>
      </w:r>
      <w:bookmarkStart w:id="5" w:name="_Legislations"/>
      <w:bookmarkEnd w:id="5"/>
    </w:p>
    <w:p w14:paraId="5EBB09FB" w14:textId="598DFDE0" w:rsidR="00FC36AA" w:rsidRPr="0046567B" w:rsidRDefault="00FC36AA" w:rsidP="00FC36AA">
      <w:pPr>
        <w:pStyle w:val="SingleTxt"/>
        <w:spacing w:after="0" w:line="120" w:lineRule="exact"/>
        <w:rPr>
          <w:sz w:val="10"/>
          <w:lang w:val="fr-FR" w:bidi="fr-FR"/>
        </w:rPr>
      </w:pPr>
    </w:p>
    <w:p w14:paraId="37514F45" w14:textId="455ADC30" w:rsidR="00FC36AA" w:rsidRPr="0046567B" w:rsidRDefault="00FC36AA" w:rsidP="00FC36AA">
      <w:pPr>
        <w:pStyle w:val="SingleTxt"/>
        <w:spacing w:after="0" w:line="120" w:lineRule="exact"/>
        <w:rPr>
          <w:sz w:val="10"/>
          <w:lang w:val="fr-FR" w:bidi="fr-FR"/>
        </w:rPr>
      </w:pPr>
    </w:p>
    <w:p w14:paraId="74796102" w14:textId="7A14AFF7" w:rsidR="00FC36AA" w:rsidRPr="0046567B" w:rsidRDefault="00FC36AA" w:rsidP="00FC36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Les </w:t>
      </w:r>
      <w:r w:rsidRPr="0046567B">
        <w:rPr>
          <w:szCs w:val="20"/>
          <w:lang w:val="fr-FR" w:bidi="fr-FR"/>
        </w:rPr>
        <w:t>quatre</w:t>
      </w:r>
      <w:r w:rsidRPr="0046567B">
        <w:rPr>
          <w:lang w:val="fr-FR" w:bidi="fr-FR"/>
        </w:rPr>
        <w:t xml:space="preserve"> ordonnances anti-discrimination</w:t>
      </w:r>
    </w:p>
    <w:p w14:paraId="06AFA207" w14:textId="1AE78D6F" w:rsidR="00FC36AA" w:rsidRPr="0046567B" w:rsidRDefault="00FC36AA" w:rsidP="00FC36AA">
      <w:pPr>
        <w:pStyle w:val="SingleTxt"/>
        <w:spacing w:after="0" w:line="120" w:lineRule="exact"/>
        <w:rPr>
          <w:sz w:val="10"/>
          <w:lang w:val="fr-FR" w:bidi="fr-FR"/>
        </w:rPr>
      </w:pPr>
    </w:p>
    <w:p w14:paraId="6F8B7924" w14:textId="0839FE66"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En ce qui concerne l</w:t>
      </w:r>
      <w:r w:rsidR="00FB11B3" w:rsidRPr="0046567B">
        <w:rPr>
          <w:lang w:val="fr-FR" w:bidi="fr-FR"/>
        </w:rPr>
        <w:t>’</w:t>
      </w:r>
      <w:r w:rsidRPr="0046567B">
        <w:rPr>
          <w:lang w:val="fr-FR" w:bidi="fr-FR"/>
        </w:rPr>
        <w:t>élimination de la discrimination à l</w:t>
      </w:r>
      <w:r w:rsidR="00FB11B3" w:rsidRPr="0046567B">
        <w:rPr>
          <w:lang w:val="fr-FR" w:bidi="fr-FR"/>
        </w:rPr>
        <w:t>’</w:t>
      </w:r>
      <w:r w:rsidRPr="0046567B">
        <w:rPr>
          <w:lang w:val="fr-FR" w:bidi="fr-FR"/>
        </w:rPr>
        <w:t>égard des femmes, la position du Gouvernement par rapport aux quatre lois anti-discrimination, c</w:t>
      </w:r>
      <w:r w:rsidR="00FB11B3" w:rsidRPr="0046567B">
        <w:rPr>
          <w:lang w:val="fr-FR" w:bidi="fr-FR"/>
        </w:rPr>
        <w:t>’</w:t>
      </w:r>
      <w:r w:rsidRPr="0046567B">
        <w:rPr>
          <w:lang w:val="fr-FR" w:bidi="fr-FR"/>
        </w:rPr>
        <w:t>est-à-dire l</w:t>
      </w:r>
      <w:r w:rsidR="00FB11B3" w:rsidRPr="0046567B">
        <w:rPr>
          <w:lang w:val="fr-FR" w:bidi="fr-FR"/>
        </w:rPr>
        <w:t>’</w:t>
      </w:r>
      <w:r w:rsidRPr="0046567B">
        <w:rPr>
          <w:lang w:val="fr-FR" w:bidi="fr-FR"/>
        </w:rPr>
        <w:t>ordonnance sur la discrimination sexuelle, l</w:t>
      </w:r>
      <w:r w:rsidR="00FB11B3" w:rsidRPr="0046567B">
        <w:rPr>
          <w:lang w:val="fr-FR" w:bidi="fr-FR"/>
        </w:rPr>
        <w:t>’</w:t>
      </w:r>
      <w:r w:rsidRPr="0046567B">
        <w:rPr>
          <w:lang w:val="fr-FR" w:bidi="fr-FR"/>
        </w:rPr>
        <w:t>ordonnance sur la discrimination fondée sur le statut familial (chap. 527), l</w:t>
      </w:r>
      <w:r w:rsidR="00FB11B3" w:rsidRPr="0046567B">
        <w:rPr>
          <w:lang w:val="fr-FR" w:bidi="fr-FR"/>
        </w:rPr>
        <w:t>’</w:t>
      </w:r>
      <w:r w:rsidRPr="0046567B">
        <w:rPr>
          <w:lang w:val="fr-FR" w:bidi="fr-FR"/>
        </w:rPr>
        <w:t>ordonnance sur la discrimination fondée sur le handicap (chap. 487) et l</w:t>
      </w:r>
      <w:r w:rsidR="00FB11B3" w:rsidRPr="0046567B">
        <w:rPr>
          <w:lang w:val="fr-FR" w:bidi="fr-FR"/>
        </w:rPr>
        <w:t>’</w:t>
      </w:r>
      <w:r w:rsidRPr="0046567B">
        <w:rPr>
          <w:lang w:val="fr-FR" w:bidi="fr-FR"/>
        </w:rPr>
        <w:t>ordonnance sur la discrimination raciale (chap. 602), reste globalement identique à celle du rapport précédent. Au regard de ces textes, demeure illégale toute discrimination fondée sur le sexe, le statut marital, la grossesse, le handicap, la situation familiale et la race, dans les cas précisés par la loi.</w:t>
      </w:r>
    </w:p>
    <w:p w14:paraId="54B35E2D" w14:textId="67331D5C" w:rsidR="00FC36AA" w:rsidRPr="0046567B" w:rsidRDefault="00FC36AA" w:rsidP="00FC36AA">
      <w:pPr>
        <w:pStyle w:val="SingleTxt"/>
        <w:numPr>
          <w:ilvl w:val="0"/>
          <w:numId w:val="31"/>
        </w:numPr>
        <w:spacing w:line="240" w:lineRule="exact"/>
        <w:ind w:left="1267" w:firstLine="0"/>
        <w:rPr>
          <w:lang w:val="fr-FR"/>
        </w:rPr>
      </w:pPr>
      <w:r w:rsidRPr="0046567B">
        <w:rPr>
          <w:lang w:val="fr-FR" w:bidi="fr-FR"/>
        </w:rPr>
        <w:t>Une liste actualisée des affaires judiciaires les plus significatives relevant de l</w:t>
      </w:r>
      <w:r w:rsidR="00FB11B3" w:rsidRPr="0046567B">
        <w:rPr>
          <w:lang w:val="fr-FR" w:bidi="fr-FR"/>
        </w:rPr>
        <w:t>’</w:t>
      </w:r>
      <w:r w:rsidRPr="0046567B">
        <w:rPr>
          <w:lang w:val="fr-FR" w:bidi="fr-FR"/>
        </w:rPr>
        <w:t>ordonnance sur la discrimination sexuelle figure à l</w:t>
      </w:r>
      <w:r w:rsidR="00FB11B3" w:rsidRPr="0046567B">
        <w:rPr>
          <w:lang w:val="fr-FR" w:bidi="fr-FR"/>
        </w:rPr>
        <w:t>’</w:t>
      </w:r>
      <w:r w:rsidRPr="0046567B">
        <w:rPr>
          <w:lang w:val="fr-FR" w:bidi="fr-FR"/>
        </w:rPr>
        <w:t>annexe</w:t>
      </w:r>
      <w:r w:rsidR="002A20B0" w:rsidRPr="0046567B">
        <w:rPr>
          <w:lang w:val="fr-FR" w:bidi="fr-FR"/>
        </w:rPr>
        <w:t xml:space="preserve"> </w:t>
      </w:r>
      <w:r w:rsidRPr="0046567B">
        <w:rPr>
          <w:lang w:val="fr-FR" w:bidi="fr-FR"/>
        </w:rPr>
        <w:t>2A du présent rapport.</w:t>
      </w:r>
    </w:p>
    <w:p w14:paraId="0030C72F" w14:textId="7D728467" w:rsidR="00FC36AA" w:rsidRPr="0046567B" w:rsidRDefault="00FC36AA" w:rsidP="00FC36AA">
      <w:pPr>
        <w:pStyle w:val="SingleTxt"/>
        <w:numPr>
          <w:ilvl w:val="0"/>
          <w:numId w:val="32"/>
        </w:numPr>
        <w:spacing w:line="240" w:lineRule="exact"/>
        <w:ind w:left="1267" w:firstLine="0"/>
        <w:rPr>
          <w:lang w:val="fr-FR"/>
        </w:rPr>
      </w:pPr>
      <w:r w:rsidRPr="0046567B">
        <w:rPr>
          <w:rFonts w:hint="eastAsia"/>
          <w:lang w:val="fr-FR" w:bidi="fr-FR"/>
        </w:rPr>
        <w:t xml:space="preserve">La </w:t>
      </w:r>
      <w:r w:rsidRPr="0046567B">
        <w:rPr>
          <w:lang w:val="fr-FR" w:bidi="fr-FR"/>
        </w:rPr>
        <w:t>Commission de l</w:t>
      </w:r>
      <w:r w:rsidR="00FB11B3" w:rsidRPr="0046567B">
        <w:rPr>
          <w:lang w:val="fr-FR" w:bidi="fr-FR"/>
        </w:rPr>
        <w:t>’</w:t>
      </w:r>
      <w:r w:rsidRPr="0046567B">
        <w:rPr>
          <w:lang w:val="fr-FR" w:bidi="fr-FR"/>
        </w:rPr>
        <w:t>égalité des chances exerce régulièrement un contrôle sur l</w:t>
      </w:r>
      <w:r w:rsidR="00FB11B3" w:rsidRPr="0046567B">
        <w:rPr>
          <w:lang w:val="fr-FR" w:bidi="fr-FR"/>
        </w:rPr>
        <w:t>’</w:t>
      </w:r>
      <w:r w:rsidRPr="0046567B">
        <w:rPr>
          <w:lang w:val="fr-FR" w:bidi="fr-FR"/>
        </w:rPr>
        <w:t>application des quatre dispositifs législatifs anti-discrimination et présente, le cas échéant, de nouvelles propositions normatives. Depuis le dernier rapport, plusieurs amendements ont été apportés à l</w:t>
      </w:r>
      <w:r w:rsidR="00FB11B3" w:rsidRPr="0046567B">
        <w:rPr>
          <w:lang w:val="fr-FR" w:bidi="fr-FR"/>
        </w:rPr>
        <w:t>’</w:t>
      </w:r>
      <w:r w:rsidRPr="0046567B">
        <w:rPr>
          <w:lang w:val="fr-FR" w:bidi="fr-FR"/>
        </w:rPr>
        <w:t>ordonnance sur la discrimination sexuelle dans le cadre de ce contrôle. En</w:t>
      </w:r>
      <w:r w:rsidR="002A20B0" w:rsidRPr="0046567B">
        <w:rPr>
          <w:lang w:val="fr-FR" w:bidi="fr-FR"/>
        </w:rPr>
        <w:t xml:space="preserve"> </w:t>
      </w:r>
      <w:r w:rsidRPr="0046567B">
        <w:rPr>
          <w:lang w:val="fr-FR" w:bidi="fr-FR"/>
        </w:rPr>
        <w:t>2014 par exemple, sur la recommandation de la Commission de l</w:t>
      </w:r>
      <w:r w:rsidR="00FB11B3" w:rsidRPr="0046567B">
        <w:rPr>
          <w:lang w:val="fr-FR" w:bidi="fr-FR"/>
        </w:rPr>
        <w:t>’</w:t>
      </w:r>
      <w:r w:rsidRPr="0046567B">
        <w:rPr>
          <w:lang w:val="fr-FR" w:bidi="fr-FR"/>
        </w:rPr>
        <w:t>égalité des chances, le Gouvernement a étendu la protection et la portée territoriale de l</w:t>
      </w:r>
      <w:r w:rsidR="00FB11B3" w:rsidRPr="0046567B">
        <w:rPr>
          <w:lang w:val="fr-FR" w:bidi="fr-FR"/>
        </w:rPr>
        <w:t>’</w:t>
      </w:r>
      <w:r w:rsidRPr="0046567B">
        <w:rPr>
          <w:lang w:val="fr-FR" w:bidi="fr-FR"/>
        </w:rPr>
        <w:t>ordonnance sur la discrimination sexuelle pour rendre illégal tout harcèlement sexuel commis par des clients à l</w:t>
      </w:r>
      <w:r w:rsidR="00FB11B3" w:rsidRPr="0046567B">
        <w:rPr>
          <w:lang w:val="fr-FR" w:bidi="fr-FR"/>
        </w:rPr>
        <w:t>’</w:t>
      </w:r>
      <w:r w:rsidRPr="0046567B">
        <w:rPr>
          <w:lang w:val="fr-FR" w:bidi="fr-FR"/>
        </w:rPr>
        <w:t>encontre de fournisseurs, réels ou présumés, de biens ou de services. L</w:t>
      </w:r>
      <w:r w:rsidR="00FB11B3" w:rsidRPr="0046567B">
        <w:rPr>
          <w:lang w:val="fr-FR" w:bidi="fr-FR"/>
        </w:rPr>
        <w:t>’</w:t>
      </w:r>
      <w:r w:rsidRPr="0046567B">
        <w:rPr>
          <w:lang w:val="fr-FR" w:bidi="fr-FR"/>
        </w:rPr>
        <w:t>interdiction du harcèlement sexuel a également été étendue aux actes de harcèlement perpétrés sur un navire ou un aéronef immatriculé à Hong Kong, même s</w:t>
      </w:r>
      <w:r w:rsidR="00FB11B3" w:rsidRPr="0046567B">
        <w:rPr>
          <w:lang w:val="fr-FR" w:bidi="fr-FR"/>
        </w:rPr>
        <w:t>’</w:t>
      </w:r>
      <w:r w:rsidRPr="0046567B">
        <w:rPr>
          <w:lang w:val="fr-FR" w:bidi="fr-FR"/>
        </w:rPr>
        <w:t>il se trouve en dehors du territoire. L</w:t>
      </w:r>
      <w:r w:rsidR="00FB11B3" w:rsidRPr="0046567B">
        <w:rPr>
          <w:lang w:val="fr-FR" w:bidi="fr-FR"/>
        </w:rPr>
        <w:t>’</w:t>
      </w:r>
      <w:r w:rsidRPr="0046567B">
        <w:rPr>
          <w:lang w:val="fr-FR" w:bidi="fr-FR"/>
        </w:rPr>
        <w:t>amendement permet de protéger un grand nombre de prestataires de services à Hong Kong, dont plus de 45</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infirmières, 12</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agents de bord, 230</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employés du secteur de l</w:t>
      </w:r>
      <w:r w:rsidR="00FB11B3" w:rsidRPr="0046567B">
        <w:rPr>
          <w:lang w:val="fr-FR" w:bidi="fr-FR"/>
        </w:rPr>
        <w:t>’</w:t>
      </w:r>
      <w:r w:rsidRPr="0046567B">
        <w:rPr>
          <w:lang w:val="fr-FR" w:bidi="fr-FR"/>
        </w:rPr>
        <w:t>alimentation et 260</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employés du commerce de détail.</w:t>
      </w:r>
    </w:p>
    <w:p w14:paraId="511183A2" w14:textId="27F3B9CA" w:rsidR="00FC36AA" w:rsidRPr="0046567B" w:rsidRDefault="00FC36AA" w:rsidP="00FC36AA">
      <w:pPr>
        <w:pStyle w:val="SingleTxt"/>
        <w:spacing w:after="0" w:line="120" w:lineRule="exact"/>
        <w:rPr>
          <w:sz w:val="10"/>
          <w:lang w:val="fr-FR" w:bidi="fr-FR"/>
        </w:rPr>
      </w:pPr>
    </w:p>
    <w:p w14:paraId="4C2B4F5A" w14:textId="349008C9" w:rsidR="00FC36AA" w:rsidRPr="0046567B" w:rsidRDefault="00FC36AA" w:rsidP="00FC36AA">
      <w:pPr>
        <w:pStyle w:val="SingleTxt"/>
        <w:spacing w:after="0" w:line="120" w:lineRule="exact"/>
        <w:rPr>
          <w:sz w:val="10"/>
          <w:lang w:val="fr-FR"/>
        </w:rPr>
      </w:pPr>
    </w:p>
    <w:p w14:paraId="6A55F997" w14:textId="33D7B682"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Commission de l</w:t>
      </w:r>
      <w:r w:rsidR="00FB11B3" w:rsidRPr="0046567B">
        <w:rPr>
          <w:lang w:val="fr-FR" w:bidi="fr-FR"/>
        </w:rPr>
        <w:t>’</w:t>
      </w:r>
      <w:r w:rsidRPr="0046567B">
        <w:rPr>
          <w:lang w:val="fr-FR" w:bidi="fr-FR"/>
        </w:rPr>
        <w:t>égalité des chances</w:t>
      </w:r>
    </w:p>
    <w:p w14:paraId="0B605140" w14:textId="0919CD02" w:rsidR="00FC36AA" w:rsidRPr="0046567B" w:rsidRDefault="00FC36AA" w:rsidP="00FC36AA">
      <w:pPr>
        <w:pStyle w:val="SingleTxt"/>
        <w:spacing w:after="0" w:line="120" w:lineRule="exact"/>
        <w:rPr>
          <w:sz w:val="10"/>
          <w:lang w:val="fr-FR" w:bidi="fr-FR"/>
        </w:rPr>
      </w:pPr>
    </w:p>
    <w:p w14:paraId="3DDA8784" w14:textId="038D98DE" w:rsidR="00FC36AA" w:rsidRPr="0046567B" w:rsidRDefault="00FC36AA" w:rsidP="00FC36AA">
      <w:pPr>
        <w:pStyle w:val="SingleTxt"/>
        <w:spacing w:after="0" w:line="120" w:lineRule="exact"/>
        <w:rPr>
          <w:sz w:val="10"/>
          <w:lang w:val="fr-FR" w:bidi="fr-FR"/>
        </w:rPr>
      </w:pPr>
    </w:p>
    <w:p w14:paraId="7F54F370" w14:textId="52243176"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Depuis le précédent rapport, la Commission de l</w:t>
      </w:r>
      <w:r w:rsidR="00FB11B3" w:rsidRPr="0046567B">
        <w:rPr>
          <w:lang w:val="fr-FR" w:bidi="fr-FR"/>
        </w:rPr>
        <w:t>’</w:t>
      </w:r>
      <w:r w:rsidRPr="0046567B">
        <w:rPr>
          <w:lang w:val="fr-FR" w:bidi="fr-FR"/>
        </w:rPr>
        <w:t>égalité des chances a poursuivi ses efforts d</w:t>
      </w:r>
      <w:r w:rsidR="00FB11B3" w:rsidRPr="0046567B">
        <w:rPr>
          <w:lang w:val="fr-FR" w:bidi="fr-FR"/>
        </w:rPr>
        <w:t>’</w:t>
      </w:r>
      <w:r w:rsidRPr="0046567B">
        <w:rPr>
          <w:lang w:val="fr-FR" w:bidi="fr-FR"/>
        </w:rPr>
        <w:t>enquête sur les plaintes fondées sur le sexe, le statut marital et l</w:t>
      </w:r>
      <w:r w:rsidR="00FB11B3" w:rsidRPr="0046567B">
        <w:rPr>
          <w:lang w:val="fr-FR" w:bidi="fr-FR"/>
        </w:rPr>
        <w:t>’</w:t>
      </w:r>
      <w:r w:rsidRPr="0046567B">
        <w:rPr>
          <w:lang w:val="fr-FR" w:bidi="fr-FR"/>
        </w:rPr>
        <w:t>état de grossesse qu</w:t>
      </w:r>
      <w:r w:rsidR="00FB11B3" w:rsidRPr="0046567B">
        <w:rPr>
          <w:lang w:val="fr-FR" w:bidi="fr-FR"/>
        </w:rPr>
        <w:t>’</w:t>
      </w:r>
      <w:r w:rsidRPr="0046567B">
        <w:rPr>
          <w:lang w:val="fr-FR" w:bidi="fr-FR"/>
        </w:rPr>
        <w:t>elle a reçues. La Commission de l</w:t>
      </w:r>
      <w:r w:rsidR="00FB11B3" w:rsidRPr="0046567B">
        <w:rPr>
          <w:lang w:val="fr-FR" w:bidi="fr-FR"/>
        </w:rPr>
        <w:t>’</w:t>
      </w:r>
      <w:r w:rsidRPr="0046567B">
        <w:rPr>
          <w:lang w:val="fr-FR" w:bidi="fr-FR"/>
        </w:rPr>
        <w:t>égalité des chances s</w:t>
      </w:r>
      <w:r w:rsidR="00FB11B3" w:rsidRPr="0046567B">
        <w:rPr>
          <w:lang w:val="fr-FR" w:bidi="fr-FR"/>
        </w:rPr>
        <w:t>’</w:t>
      </w:r>
      <w:r w:rsidRPr="0046567B">
        <w:rPr>
          <w:lang w:val="fr-FR" w:bidi="fr-FR"/>
        </w:rPr>
        <w:t>efforce également de régler les grief</w:t>
      </w:r>
      <w:r w:rsidRPr="0046567B">
        <w:rPr>
          <w:rFonts w:hint="eastAsia"/>
          <w:lang w:val="fr-FR" w:bidi="fr-FR"/>
        </w:rPr>
        <w:t>s</w:t>
      </w:r>
      <w:r w:rsidRPr="0046567B">
        <w:rPr>
          <w:lang w:val="fr-FR" w:bidi="fr-FR"/>
        </w:rPr>
        <w:t xml:space="preserve"> par l</w:t>
      </w:r>
      <w:r w:rsidR="00FB11B3" w:rsidRPr="0046567B">
        <w:rPr>
          <w:lang w:val="fr-FR" w:bidi="fr-FR"/>
        </w:rPr>
        <w:t>’</w:t>
      </w:r>
      <w:r w:rsidRPr="0046567B">
        <w:rPr>
          <w:lang w:val="fr-FR" w:bidi="fr-FR"/>
        </w:rPr>
        <w:t>intermédiaire de la conciliation. Lorsque la conciliation n</w:t>
      </w:r>
      <w:r w:rsidR="00FB11B3" w:rsidRPr="0046567B">
        <w:rPr>
          <w:lang w:val="fr-FR" w:bidi="fr-FR"/>
        </w:rPr>
        <w:t>’</w:t>
      </w:r>
      <w:r w:rsidRPr="0046567B">
        <w:rPr>
          <w:lang w:val="fr-FR" w:bidi="fr-FR"/>
        </w:rPr>
        <w:t>aboutit pas à un règlement amiable, la Commission peut proposer une aide adaptée dans le cadre de procédures judiciaires, y compris des conseils, le conseil ou l</w:t>
      </w:r>
      <w:r w:rsidR="00FB11B3" w:rsidRPr="0046567B">
        <w:rPr>
          <w:lang w:val="fr-FR" w:bidi="fr-FR"/>
        </w:rPr>
        <w:t>’</w:t>
      </w:r>
      <w:r w:rsidRPr="0046567B">
        <w:rPr>
          <w:lang w:val="fr-FR" w:bidi="fr-FR"/>
        </w:rPr>
        <w:t>assistance d</w:t>
      </w:r>
      <w:r w:rsidR="00FB11B3" w:rsidRPr="0046567B">
        <w:rPr>
          <w:lang w:val="fr-FR" w:bidi="fr-FR"/>
        </w:rPr>
        <w:t>’</w:t>
      </w:r>
      <w:r w:rsidRPr="0046567B">
        <w:rPr>
          <w:lang w:val="fr-FR" w:bidi="fr-FR"/>
        </w:rPr>
        <w:t>un avocat ou d</w:t>
      </w:r>
      <w:r w:rsidR="00FB11B3" w:rsidRPr="0046567B">
        <w:rPr>
          <w:lang w:val="fr-FR" w:bidi="fr-FR"/>
        </w:rPr>
        <w:t>’</w:t>
      </w:r>
      <w:r w:rsidRPr="0046567B">
        <w:rPr>
          <w:lang w:val="fr-FR" w:bidi="fr-FR"/>
        </w:rPr>
        <w:t>un conseiller juridique, la représentation de toute personne dans le cadre d</w:t>
      </w:r>
      <w:r w:rsidR="00FB11B3" w:rsidRPr="0046567B">
        <w:rPr>
          <w:lang w:val="fr-FR" w:bidi="fr-FR"/>
        </w:rPr>
        <w:t>’</w:t>
      </w:r>
      <w:r w:rsidRPr="0046567B">
        <w:rPr>
          <w:lang w:val="fr-FR" w:bidi="fr-FR"/>
        </w:rPr>
        <w:t>une procédure judiciaire et, d</w:t>
      </w:r>
      <w:r w:rsidR="00FB11B3" w:rsidRPr="0046567B">
        <w:rPr>
          <w:lang w:val="fr-FR" w:bidi="fr-FR"/>
        </w:rPr>
        <w:t>’</w:t>
      </w:r>
      <w:r w:rsidRPr="0046567B">
        <w:rPr>
          <w:lang w:val="fr-FR" w:bidi="fr-FR"/>
        </w:rPr>
        <w:t>une manière générale, toute autre forme d</w:t>
      </w:r>
      <w:r w:rsidR="00FB11B3" w:rsidRPr="0046567B">
        <w:rPr>
          <w:lang w:val="fr-FR" w:bidi="fr-FR"/>
        </w:rPr>
        <w:t>’</w:t>
      </w:r>
      <w:r w:rsidRPr="0046567B">
        <w:rPr>
          <w:lang w:val="fr-FR" w:bidi="fr-FR"/>
        </w:rPr>
        <w:t xml:space="preserve">assistance appropriée. </w:t>
      </w:r>
    </w:p>
    <w:p w14:paraId="790C1941" w14:textId="3096E774"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La Commission de l</w:t>
      </w:r>
      <w:r w:rsidR="00FB11B3" w:rsidRPr="0046567B">
        <w:rPr>
          <w:lang w:val="fr-FR" w:bidi="fr-FR"/>
        </w:rPr>
        <w:t>’</w:t>
      </w:r>
      <w:r w:rsidRPr="0046567B">
        <w:rPr>
          <w:lang w:val="fr-FR" w:bidi="fr-FR"/>
        </w:rPr>
        <w:t>égalité des chances a lancé, en mars</w:t>
      </w:r>
      <w:r w:rsidR="002A20B0" w:rsidRPr="0046567B">
        <w:rPr>
          <w:lang w:val="fr-FR" w:bidi="fr-FR"/>
        </w:rPr>
        <w:t xml:space="preserve"> </w:t>
      </w:r>
      <w:r w:rsidRPr="0046567B">
        <w:rPr>
          <w:lang w:val="fr-FR" w:bidi="fr-FR"/>
        </w:rPr>
        <w:t>2013, une révision de la loi sur la discrimination pour revoir en profondeur ces quatre ordonnances et a adressé des propositions au Gouvernement en mars</w:t>
      </w:r>
      <w:r w:rsidR="00F2347E" w:rsidRPr="0046567B">
        <w:rPr>
          <w:lang w:val="fr-FR" w:bidi="fr-FR"/>
        </w:rPr>
        <w:t> </w:t>
      </w:r>
      <w:r w:rsidRPr="0046567B">
        <w:rPr>
          <w:lang w:val="fr-FR" w:bidi="fr-FR"/>
        </w:rPr>
        <w:t>2016. Parmi huit recommandations prioritaires, quatre sont liées à des modifications de l</w:t>
      </w:r>
      <w:r w:rsidR="00FB11B3" w:rsidRPr="0046567B">
        <w:rPr>
          <w:lang w:val="fr-FR" w:bidi="fr-FR"/>
        </w:rPr>
        <w:t>’</w:t>
      </w:r>
      <w:r w:rsidRPr="0046567B">
        <w:rPr>
          <w:lang w:val="fr-FR" w:bidi="fr-FR"/>
        </w:rPr>
        <w:t>ordonnance sur la discrimination sexuelle,</w:t>
      </w:r>
      <w:r w:rsidRPr="0046567B">
        <w:rPr>
          <w:rFonts w:hint="eastAsia"/>
          <w:lang w:val="fr-FR" w:bidi="fr-FR"/>
        </w:rPr>
        <w:t xml:space="preserve"> qui consistent à</w:t>
      </w:r>
      <w:r w:rsidR="00FB11B3" w:rsidRPr="0046567B">
        <w:rPr>
          <w:lang w:val="fr-FR" w:bidi="fr-FR"/>
        </w:rPr>
        <w:t> </w:t>
      </w:r>
      <w:r w:rsidR="00FB11B3" w:rsidRPr="0046567B">
        <w:rPr>
          <w:rFonts w:hint="eastAsia"/>
          <w:lang w:val="fr-FR" w:bidi="fr-FR"/>
        </w:rPr>
        <w:t>:</w:t>
      </w:r>
    </w:p>
    <w:p w14:paraId="6031BF55" w14:textId="01DFD935" w:rsidR="00FC36AA" w:rsidRPr="0046567B" w:rsidRDefault="00FC36AA" w:rsidP="00FC36AA">
      <w:pPr>
        <w:pStyle w:val="SingleTxt"/>
        <w:rPr>
          <w:lang w:val="fr-FR"/>
        </w:rPr>
      </w:pPr>
      <w:r w:rsidRPr="0046567B">
        <w:rPr>
          <w:lang w:val="fr-FR" w:bidi="fr-FR"/>
        </w:rPr>
        <w:tab/>
        <w:t>a)</w:t>
      </w:r>
      <w:r w:rsidRPr="0046567B">
        <w:rPr>
          <w:lang w:val="fr-FR" w:bidi="fr-FR"/>
        </w:rPr>
        <w:tab/>
        <w:t>introduire dans l</w:t>
      </w:r>
      <w:r w:rsidR="00FB11B3" w:rsidRPr="0046567B">
        <w:rPr>
          <w:lang w:val="fr-FR" w:bidi="fr-FR"/>
        </w:rPr>
        <w:t>’</w:t>
      </w:r>
      <w:r w:rsidRPr="0046567B">
        <w:rPr>
          <w:lang w:val="fr-FR" w:bidi="fr-FR"/>
        </w:rPr>
        <w:t>ordonnance sur la discrimination sexuelle des dispositions expresses interdisant la discrimination directe et indirecte fondée sur l</w:t>
      </w:r>
      <w:r w:rsidR="00FB11B3" w:rsidRPr="0046567B">
        <w:rPr>
          <w:lang w:val="fr-FR" w:bidi="fr-FR"/>
        </w:rPr>
        <w:t>’</w:t>
      </w:r>
      <w:r w:rsidRPr="0046567B">
        <w:rPr>
          <w:lang w:val="fr-FR" w:bidi="fr-FR"/>
        </w:rPr>
        <w:t>allaitement maternel (notamment par l</w:t>
      </w:r>
      <w:r w:rsidR="00FB11B3" w:rsidRPr="0046567B">
        <w:rPr>
          <w:lang w:val="fr-FR" w:bidi="fr-FR"/>
        </w:rPr>
        <w:t>’</w:t>
      </w:r>
      <w:r w:rsidRPr="0046567B">
        <w:rPr>
          <w:lang w:val="fr-FR" w:bidi="fr-FR"/>
        </w:rPr>
        <w:t xml:space="preserve">utilisation du mot </w:t>
      </w:r>
      <w:r w:rsidRPr="0046567B">
        <w:rPr>
          <w:i/>
          <w:lang w:val="fr-FR" w:bidi="fr-FR"/>
        </w:rPr>
        <w:t xml:space="preserve">lait </w:t>
      </w:r>
      <w:r w:rsidRPr="0046567B">
        <w:rPr>
          <w:lang w:val="fr-FR" w:bidi="fr-FR"/>
        </w:rPr>
        <w:t>ou de ses dérivés)</w:t>
      </w:r>
      <w:r w:rsidR="00FB11B3" w:rsidRPr="0046567B">
        <w:rPr>
          <w:lang w:val="fr-FR" w:bidi="fr-FR"/>
        </w:rPr>
        <w:t> ;</w:t>
      </w:r>
    </w:p>
    <w:p w14:paraId="6F860F4B" w14:textId="270D748E" w:rsidR="00FC36AA" w:rsidRPr="0046567B" w:rsidRDefault="00FC36AA" w:rsidP="00FC36AA">
      <w:pPr>
        <w:pStyle w:val="SingleTxt"/>
        <w:rPr>
          <w:lang w:val="fr-FR"/>
        </w:rPr>
      </w:pPr>
      <w:r w:rsidRPr="0046567B">
        <w:rPr>
          <w:lang w:val="fr-FR" w:bidi="fr-FR"/>
        </w:rPr>
        <w:tab/>
        <w:t>b)</w:t>
      </w:r>
      <w:r w:rsidRPr="0046567B">
        <w:rPr>
          <w:lang w:val="fr-FR" w:bidi="fr-FR"/>
        </w:rPr>
        <w:tab/>
        <w:t>modifier les dispositions de l</w:t>
      </w:r>
      <w:r w:rsidR="00FB11B3" w:rsidRPr="0046567B">
        <w:rPr>
          <w:lang w:val="fr-FR" w:bidi="fr-FR"/>
        </w:rPr>
        <w:t>’</w:t>
      </w:r>
      <w:r w:rsidRPr="0046567B">
        <w:rPr>
          <w:lang w:val="fr-FR" w:bidi="fr-FR"/>
        </w:rPr>
        <w:t>ordonnance sur la discrimination sexuelle, de l</w:t>
      </w:r>
      <w:r w:rsidR="00FB11B3" w:rsidRPr="0046567B">
        <w:rPr>
          <w:lang w:val="fr-FR" w:bidi="fr-FR"/>
        </w:rPr>
        <w:t>’</w:t>
      </w:r>
      <w:r w:rsidRPr="0046567B">
        <w:rPr>
          <w:lang w:val="fr-FR" w:bidi="fr-FR"/>
        </w:rPr>
        <w:t>ordonnance sur la discrimination raciale et de l</w:t>
      </w:r>
      <w:r w:rsidR="00FB11B3" w:rsidRPr="0046567B">
        <w:rPr>
          <w:lang w:val="fr-FR" w:bidi="fr-FR"/>
        </w:rPr>
        <w:t>’</w:t>
      </w:r>
      <w:r w:rsidRPr="0046567B">
        <w:rPr>
          <w:lang w:val="fr-FR" w:bidi="fr-FR"/>
        </w:rPr>
        <w:t>ordonnance sur la discrimination fondée sur le handicap en vue d</w:t>
      </w:r>
      <w:r w:rsidR="00FB11B3" w:rsidRPr="0046567B">
        <w:rPr>
          <w:lang w:val="fr-FR" w:bidi="fr-FR"/>
        </w:rPr>
        <w:t>’</w:t>
      </w:r>
      <w:r w:rsidRPr="0046567B">
        <w:rPr>
          <w:lang w:val="fr-FR" w:bidi="fr-FR"/>
        </w:rPr>
        <w:t>assurer la protection des personnes contre le harcèlement fondé sur le sexe, la race ou le handicap sur le lieu de travail</w:t>
      </w:r>
      <w:r w:rsidR="00FB11B3" w:rsidRPr="0046567B">
        <w:rPr>
          <w:lang w:val="fr-FR" w:bidi="fr-FR"/>
        </w:rPr>
        <w:t> ;</w:t>
      </w:r>
    </w:p>
    <w:p w14:paraId="0505B446" w14:textId="295B164B" w:rsidR="00FC36AA" w:rsidRPr="0046567B" w:rsidRDefault="00FC36AA" w:rsidP="00FC36AA">
      <w:pPr>
        <w:pStyle w:val="SingleTxt"/>
        <w:rPr>
          <w:lang w:val="fr-FR"/>
        </w:rPr>
      </w:pPr>
      <w:r w:rsidRPr="0046567B">
        <w:rPr>
          <w:lang w:val="fr-FR" w:bidi="fr-FR"/>
        </w:rPr>
        <w:tab/>
        <w:t>c)</w:t>
      </w:r>
      <w:r w:rsidRPr="0046567B">
        <w:rPr>
          <w:lang w:val="fr-FR" w:bidi="fr-FR"/>
        </w:rPr>
        <w:tab/>
        <w:t>modifier l</w:t>
      </w:r>
      <w:r w:rsidR="00FB11B3" w:rsidRPr="0046567B">
        <w:rPr>
          <w:lang w:val="fr-FR" w:bidi="fr-FR"/>
        </w:rPr>
        <w:t>’</w:t>
      </w:r>
      <w:r w:rsidRPr="0046567B">
        <w:rPr>
          <w:lang w:val="fr-FR" w:bidi="fr-FR"/>
        </w:rPr>
        <w:t>ordonnance sur la discrimination sexuelle et l</w:t>
      </w:r>
      <w:r w:rsidR="00FB11B3" w:rsidRPr="0046567B">
        <w:rPr>
          <w:lang w:val="fr-FR" w:bidi="fr-FR"/>
        </w:rPr>
        <w:t>’</w:t>
      </w:r>
      <w:r w:rsidRPr="0046567B">
        <w:rPr>
          <w:lang w:val="fr-FR" w:bidi="fr-FR"/>
        </w:rPr>
        <w:t>ordonnance sur la discrimination fondée sur le handicap, afin d</w:t>
      </w:r>
      <w:r w:rsidR="00FB11B3" w:rsidRPr="0046567B">
        <w:rPr>
          <w:lang w:val="fr-FR" w:bidi="fr-FR"/>
        </w:rPr>
        <w:t>’</w:t>
      </w:r>
      <w:r w:rsidRPr="0046567B">
        <w:rPr>
          <w:lang w:val="fr-FR" w:bidi="fr-FR"/>
        </w:rPr>
        <w:t>assurer une protection contre les actes de harcèlement sexuel et de harcèlement lié au handicap commis par les dirigeants de clubs ou par leurs membres actuels ou présumés</w:t>
      </w:r>
      <w:r w:rsidR="00FB11B3" w:rsidRPr="0046567B">
        <w:rPr>
          <w:lang w:val="fr-FR" w:bidi="fr-FR"/>
        </w:rPr>
        <w:t> ;</w:t>
      </w:r>
    </w:p>
    <w:p w14:paraId="46E19701" w14:textId="628EDC27" w:rsidR="00FC36AA" w:rsidRPr="0046567B" w:rsidRDefault="00FC36AA" w:rsidP="00FC36AA">
      <w:pPr>
        <w:pStyle w:val="SingleTxt"/>
        <w:rPr>
          <w:lang w:val="fr-FR"/>
        </w:rPr>
      </w:pPr>
      <w:r w:rsidRPr="0046567B">
        <w:rPr>
          <w:lang w:val="fr-FR" w:bidi="fr-FR"/>
        </w:rPr>
        <w:tab/>
        <w:t>d)</w:t>
      </w:r>
      <w:r w:rsidRPr="0046567B">
        <w:rPr>
          <w:lang w:val="fr-FR" w:bidi="fr-FR"/>
        </w:rPr>
        <w:tab/>
        <w:t>abroger les dispositions de l</w:t>
      </w:r>
      <w:r w:rsidR="00FB11B3" w:rsidRPr="0046567B">
        <w:rPr>
          <w:lang w:val="fr-FR" w:bidi="fr-FR"/>
        </w:rPr>
        <w:t>’</w:t>
      </w:r>
      <w:r w:rsidRPr="0046567B">
        <w:rPr>
          <w:lang w:val="fr-FR" w:bidi="fr-FR"/>
        </w:rPr>
        <w:t>ordonnance sur la discrimination sexuelle, de l</w:t>
      </w:r>
      <w:r w:rsidR="00FB11B3" w:rsidRPr="0046567B">
        <w:rPr>
          <w:lang w:val="fr-FR" w:bidi="fr-FR"/>
        </w:rPr>
        <w:t>’</w:t>
      </w:r>
      <w:r w:rsidRPr="0046567B">
        <w:rPr>
          <w:lang w:val="fr-FR" w:bidi="fr-FR"/>
        </w:rPr>
        <w:t>ordonnance sur la discrimination fondée sur le statut familial et de l</w:t>
      </w:r>
      <w:r w:rsidR="00FB11B3" w:rsidRPr="0046567B">
        <w:rPr>
          <w:lang w:val="fr-FR" w:bidi="fr-FR"/>
        </w:rPr>
        <w:t>’</w:t>
      </w:r>
      <w:r w:rsidRPr="0046567B">
        <w:rPr>
          <w:lang w:val="fr-FR" w:bidi="fr-FR"/>
        </w:rPr>
        <w:t>ordonnance sur la discrimination raciale qui exigent de rapporter la preuve de l</w:t>
      </w:r>
      <w:r w:rsidR="00FB11B3" w:rsidRPr="0046567B">
        <w:rPr>
          <w:lang w:val="fr-FR" w:bidi="fr-FR"/>
        </w:rPr>
        <w:t>’</w:t>
      </w:r>
      <w:r w:rsidRPr="0046567B">
        <w:rPr>
          <w:lang w:val="fr-FR" w:bidi="fr-FR"/>
        </w:rPr>
        <w:t>intention de discriminer afin d</w:t>
      </w:r>
      <w:r w:rsidR="00FB11B3" w:rsidRPr="0046567B">
        <w:rPr>
          <w:lang w:val="fr-FR" w:bidi="fr-FR"/>
        </w:rPr>
        <w:t>’</w:t>
      </w:r>
      <w:r w:rsidRPr="0046567B">
        <w:rPr>
          <w:lang w:val="fr-FR" w:bidi="fr-FR"/>
        </w:rPr>
        <w:t>obtenir des dommages et intérêts pour discrimination indirecte.</w:t>
      </w:r>
    </w:p>
    <w:p w14:paraId="576AD655" w14:textId="36619E52"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Le Gouvernement a pour objectif de soumettre ces propositions au Conseil législatif d</w:t>
      </w:r>
      <w:r w:rsidR="00FB11B3" w:rsidRPr="0046567B">
        <w:rPr>
          <w:lang w:val="fr-FR" w:bidi="fr-FR"/>
        </w:rPr>
        <w:t>’</w:t>
      </w:r>
      <w:r w:rsidRPr="0046567B">
        <w:rPr>
          <w:lang w:val="fr-FR" w:bidi="fr-FR"/>
        </w:rPr>
        <w:t xml:space="preserve">ici à la </w:t>
      </w:r>
      <w:r w:rsidRPr="0046567B">
        <w:rPr>
          <w:rFonts w:hint="eastAsia"/>
          <w:lang w:val="fr-FR" w:bidi="fr-FR"/>
        </w:rPr>
        <w:t>fin de</w:t>
      </w:r>
      <w:r w:rsidR="002A20B0" w:rsidRPr="0046567B">
        <w:rPr>
          <w:rFonts w:hint="eastAsia"/>
          <w:lang w:val="fr-FR" w:bidi="fr-FR"/>
        </w:rPr>
        <w:t xml:space="preserve"> </w:t>
      </w:r>
      <w:r w:rsidRPr="0046567B">
        <w:rPr>
          <w:rFonts w:hint="eastAsia"/>
          <w:szCs w:val="20"/>
          <w:lang w:val="fr-FR" w:bidi="fr-FR"/>
        </w:rPr>
        <w:t>2018</w:t>
      </w:r>
      <w:r w:rsidRPr="0046567B">
        <w:rPr>
          <w:lang w:val="fr-FR" w:bidi="fr-FR"/>
        </w:rPr>
        <w:t>.</w:t>
      </w:r>
    </w:p>
    <w:p w14:paraId="47185196" w14:textId="0AFED1BE" w:rsidR="00FC36AA" w:rsidRPr="0046567B" w:rsidRDefault="00FC36AA" w:rsidP="00FC36AA">
      <w:pPr>
        <w:pStyle w:val="SingleTxt"/>
        <w:spacing w:after="0" w:line="120" w:lineRule="exact"/>
        <w:rPr>
          <w:sz w:val="10"/>
          <w:lang w:val="fr-FR" w:bidi="fr-FR"/>
        </w:rPr>
      </w:pPr>
    </w:p>
    <w:p w14:paraId="6CC12F3A" w14:textId="4A3DAFAB" w:rsidR="00FC36AA" w:rsidRPr="0046567B" w:rsidRDefault="00FC36AA" w:rsidP="00FC36AA">
      <w:pPr>
        <w:pStyle w:val="SingleTxt"/>
        <w:spacing w:after="0" w:line="120" w:lineRule="exact"/>
        <w:rPr>
          <w:sz w:val="10"/>
          <w:lang w:val="fr-FR"/>
        </w:rPr>
      </w:pPr>
    </w:p>
    <w:p w14:paraId="38AD53F8" w14:textId="12D195E8"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Commission de la femme</w:t>
      </w:r>
    </w:p>
    <w:p w14:paraId="0D709936" w14:textId="33B25B60" w:rsidR="00FC36AA" w:rsidRPr="0046567B" w:rsidRDefault="00FC36AA" w:rsidP="00FC36AA">
      <w:pPr>
        <w:pStyle w:val="SingleTxt"/>
        <w:spacing w:after="0" w:line="120" w:lineRule="exact"/>
        <w:rPr>
          <w:sz w:val="10"/>
          <w:lang w:val="fr-FR" w:bidi="fr-FR"/>
        </w:rPr>
      </w:pPr>
    </w:p>
    <w:p w14:paraId="5C683289" w14:textId="2467A89C" w:rsidR="00FC36AA" w:rsidRPr="0046567B" w:rsidRDefault="00FC36AA" w:rsidP="00FC36AA">
      <w:pPr>
        <w:pStyle w:val="SingleTxt"/>
        <w:spacing w:after="0" w:line="120" w:lineRule="exact"/>
        <w:rPr>
          <w:sz w:val="10"/>
          <w:lang w:val="fr-FR" w:bidi="fr-FR"/>
        </w:rPr>
      </w:pPr>
    </w:p>
    <w:p w14:paraId="6C7B29CE" w14:textId="283A0843"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Aux paragraphes</w:t>
      </w:r>
      <w:r w:rsidR="002A20B0" w:rsidRPr="0046567B">
        <w:rPr>
          <w:lang w:val="fr-FR" w:bidi="fr-FR"/>
        </w:rPr>
        <w:t xml:space="preserve"> </w:t>
      </w:r>
      <w:r w:rsidRPr="0046567B">
        <w:rPr>
          <w:lang w:val="fr-FR" w:bidi="fr-FR"/>
        </w:rPr>
        <w:t>50 et</w:t>
      </w:r>
      <w:r w:rsidR="002A20B0" w:rsidRPr="0046567B">
        <w:rPr>
          <w:lang w:val="fr-FR" w:bidi="fr-FR"/>
        </w:rPr>
        <w:t xml:space="preserve"> </w:t>
      </w:r>
      <w:r w:rsidRPr="0046567B">
        <w:rPr>
          <w:lang w:val="fr-FR" w:bidi="fr-FR"/>
        </w:rPr>
        <w:t>51 de ses précédentes observations finales, le Comité a fait part de ses préoccupations en ce qui concerne le mandat et les ressources dont dispose la Commission de la femme pour mener des actions en faveur de l</w:t>
      </w:r>
      <w:r w:rsidR="00FB11B3" w:rsidRPr="0046567B">
        <w:rPr>
          <w:lang w:val="fr-FR" w:bidi="fr-FR"/>
        </w:rPr>
        <w:t>’</w:t>
      </w:r>
      <w:r w:rsidRPr="0046567B">
        <w:rPr>
          <w:lang w:val="fr-FR" w:bidi="fr-FR"/>
        </w:rPr>
        <w:t>égalité entre les femmes et les hommes et d</w:t>
      </w:r>
      <w:r w:rsidR="00FB11B3" w:rsidRPr="0046567B">
        <w:rPr>
          <w:lang w:val="fr-FR" w:bidi="fr-FR"/>
        </w:rPr>
        <w:t>’</w:t>
      </w:r>
      <w:r w:rsidRPr="0046567B">
        <w:rPr>
          <w:lang w:val="fr-FR" w:bidi="fr-FR"/>
        </w:rPr>
        <w:t>autres activités.</w:t>
      </w:r>
    </w:p>
    <w:p w14:paraId="4BFFC670" w14:textId="32FC9065"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Depuis le précédent rapport, la Commission de la femme a intensifié ses efforts visant à promouvoir le développement des femmes, la participation des femmes aux affaires publiques et l</w:t>
      </w:r>
      <w:r w:rsidR="00FB11B3" w:rsidRPr="0046567B">
        <w:rPr>
          <w:lang w:val="fr-FR" w:bidi="fr-FR"/>
        </w:rPr>
        <w:t>’</w:t>
      </w:r>
      <w:r w:rsidRPr="0046567B">
        <w:rPr>
          <w:lang w:val="fr-FR" w:bidi="fr-FR"/>
        </w:rPr>
        <w:t>intégration systématique des questions de genre. En</w:t>
      </w:r>
      <w:r w:rsidR="002A20B0" w:rsidRPr="0046567B">
        <w:rPr>
          <w:lang w:val="fr-FR" w:bidi="fr-FR"/>
        </w:rPr>
        <w:t xml:space="preserve"> </w:t>
      </w:r>
      <w:r w:rsidRPr="0046567B">
        <w:rPr>
          <w:lang w:val="fr-FR" w:bidi="fr-FR"/>
        </w:rPr>
        <w:t>2018, la Commission de la femme a entamé un processus de réorganisation structurelle et a identifié les domaines d</w:t>
      </w:r>
      <w:r w:rsidR="00FB11B3" w:rsidRPr="0046567B">
        <w:rPr>
          <w:lang w:val="fr-FR" w:bidi="fr-FR"/>
        </w:rPr>
        <w:t>’</w:t>
      </w:r>
      <w:r w:rsidRPr="0046567B">
        <w:rPr>
          <w:lang w:val="fr-FR" w:bidi="fr-FR"/>
        </w:rPr>
        <w:t>activité prioritaires sur lesquels concentrer ses efforts et ses ressources. Les</w:t>
      </w:r>
      <w:r w:rsidRPr="0046567B">
        <w:rPr>
          <w:rFonts w:hint="eastAsia"/>
          <w:lang w:val="fr-FR" w:bidi="fr-FR"/>
        </w:rPr>
        <w:t xml:space="preserve"> travaux de la Commission de la femme </w:t>
      </w:r>
      <w:r w:rsidRPr="0046567B">
        <w:rPr>
          <w:lang w:val="fr-FR" w:bidi="fr-FR"/>
        </w:rPr>
        <w:t>font l</w:t>
      </w:r>
      <w:r w:rsidR="00FB11B3" w:rsidRPr="0046567B">
        <w:rPr>
          <w:lang w:val="fr-FR" w:bidi="fr-FR"/>
        </w:rPr>
        <w:t>’</w:t>
      </w:r>
      <w:r w:rsidRPr="0046567B">
        <w:rPr>
          <w:lang w:val="fr-FR" w:bidi="fr-FR"/>
        </w:rPr>
        <w:t>objet de</w:t>
      </w:r>
      <w:r w:rsidRPr="0046567B">
        <w:rPr>
          <w:rFonts w:hint="eastAsia"/>
          <w:lang w:val="fr-FR" w:bidi="fr-FR"/>
        </w:rPr>
        <w:t xml:space="preserve"> l</w:t>
      </w:r>
      <w:r w:rsidR="00FB11B3" w:rsidRPr="0046567B">
        <w:rPr>
          <w:lang w:val="fr-FR" w:bidi="fr-FR"/>
        </w:rPr>
        <w:t>’</w:t>
      </w:r>
      <w:r w:rsidRPr="0046567B">
        <w:rPr>
          <w:rFonts w:hint="eastAsia"/>
          <w:lang w:val="fr-FR" w:bidi="fr-FR"/>
        </w:rPr>
        <w:t>annexe 2B du présent rapport.</w:t>
      </w:r>
    </w:p>
    <w:p w14:paraId="0D362E72" w14:textId="72A0954A" w:rsidR="00FC36AA" w:rsidRPr="00670DD4" w:rsidRDefault="00FC36AA" w:rsidP="00FC36AA">
      <w:pPr>
        <w:pStyle w:val="SingleTxt"/>
        <w:spacing w:after="0" w:line="120" w:lineRule="exact"/>
        <w:rPr>
          <w:sz w:val="10"/>
          <w:lang w:val="fr-FR" w:bidi="fr-FR"/>
        </w:rPr>
      </w:pPr>
    </w:p>
    <w:p w14:paraId="2E6C813E" w14:textId="08E0DFA3" w:rsidR="00FC36AA" w:rsidRPr="0046567B" w:rsidRDefault="00FC36AA" w:rsidP="00FC36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w:t>
      </w:r>
      <w:r w:rsidR="00FB11B3" w:rsidRPr="0046567B">
        <w:rPr>
          <w:lang w:val="fr-FR" w:bidi="fr-FR"/>
        </w:rPr>
        <w:t>’</w:t>
      </w:r>
      <w:r w:rsidRPr="0046567B">
        <w:rPr>
          <w:lang w:val="fr-FR" w:bidi="fr-FR"/>
        </w:rPr>
        <w:t>organisation, le rôle et la fonction de la Commission de la femme</w:t>
      </w:r>
    </w:p>
    <w:p w14:paraId="1682628E" w14:textId="230B9810" w:rsidR="00FC36AA" w:rsidRPr="0046567B" w:rsidRDefault="00FC36AA" w:rsidP="00FC36AA">
      <w:pPr>
        <w:pStyle w:val="SingleTxt"/>
        <w:spacing w:after="0" w:line="120" w:lineRule="exact"/>
        <w:rPr>
          <w:sz w:val="10"/>
          <w:lang w:val="fr-FR" w:bidi="fr-FR"/>
        </w:rPr>
      </w:pPr>
    </w:p>
    <w:p w14:paraId="13A6F71A" w14:textId="7CB13AE2"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 xml:space="preserve">Certaines des personnes consultées ont suggéré que le Gouvernement envisage de moderniser la Commission de la femme, </w:t>
      </w:r>
      <w:r w:rsidRPr="0046567B">
        <w:rPr>
          <w:rFonts w:hint="eastAsia"/>
          <w:lang w:val="fr-FR" w:bidi="fr-FR"/>
        </w:rPr>
        <w:t>par exemple en</w:t>
      </w:r>
      <w:r w:rsidRPr="0046567B">
        <w:rPr>
          <w:lang w:val="fr-FR" w:bidi="fr-FR"/>
        </w:rPr>
        <w:t xml:space="preserve"> la </w:t>
      </w:r>
      <w:r w:rsidRPr="0046567B">
        <w:rPr>
          <w:rFonts w:hint="eastAsia"/>
          <w:lang w:val="fr-FR" w:bidi="fr-FR"/>
        </w:rPr>
        <w:t xml:space="preserve">faisant </w:t>
      </w:r>
      <w:r w:rsidRPr="0046567B">
        <w:rPr>
          <w:lang w:val="fr-FR" w:bidi="fr-FR"/>
        </w:rPr>
        <w:t>passer sous la tutelle du Premier secrétaire de l</w:t>
      </w:r>
      <w:r w:rsidR="00FB11B3" w:rsidRPr="0046567B">
        <w:rPr>
          <w:lang w:val="fr-FR" w:bidi="fr-FR"/>
        </w:rPr>
        <w:t>’</w:t>
      </w:r>
      <w:r w:rsidRPr="0046567B">
        <w:rPr>
          <w:lang w:val="fr-FR" w:bidi="fr-FR"/>
        </w:rPr>
        <w:t>administration ou en la transformant en un organe statutaire officiel. Il a également été suggéré de doter cette Commission d</w:t>
      </w:r>
      <w:r w:rsidR="00FB11B3" w:rsidRPr="0046567B">
        <w:rPr>
          <w:lang w:val="fr-FR" w:bidi="fr-FR"/>
        </w:rPr>
        <w:t>’</w:t>
      </w:r>
      <w:r w:rsidRPr="0046567B">
        <w:rPr>
          <w:lang w:val="fr-FR" w:bidi="fr-FR"/>
        </w:rPr>
        <w:t xml:space="preserve">un secrétariat indépendant, pour une promotion plus efficace des </w:t>
      </w:r>
      <w:r w:rsidRPr="0046567B">
        <w:rPr>
          <w:rFonts w:hint="eastAsia"/>
          <w:lang w:val="fr-FR" w:bidi="fr-FR"/>
        </w:rPr>
        <w:t>intérêts</w:t>
      </w:r>
      <w:r w:rsidRPr="0046567B">
        <w:rPr>
          <w:lang w:val="fr-FR" w:bidi="fr-FR"/>
        </w:rPr>
        <w:t xml:space="preserve"> des femmes.</w:t>
      </w:r>
    </w:p>
    <w:p w14:paraId="0762502E" w14:textId="3209933B"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 xml:space="preserve">Depuis </w:t>
      </w:r>
      <w:r w:rsidRPr="0046567B">
        <w:rPr>
          <w:rFonts w:hint="eastAsia"/>
          <w:lang w:val="fr-FR" w:bidi="fr-FR"/>
        </w:rPr>
        <w:t>sa création</w:t>
      </w:r>
      <w:r w:rsidRPr="0046567B">
        <w:rPr>
          <w:lang w:val="fr-FR" w:bidi="fr-FR"/>
        </w:rPr>
        <w:t xml:space="preserve"> en</w:t>
      </w:r>
      <w:r w:rsidR="002A20B0" w:rsidRPr="0046567B">
        <w:rPr>
          <w:lang w:val="fr-FR" w:bidi="fr-FR"/>
        </w:rPr>
        <w:t xml:space="preserve"> </w:t>
      </w:r>
      <w:r w:rsidRPr="0046567B">
        <w:rPr>
          <w:lang w:val="fr-FR" w:bidi="fr-FR"/>
        </w:rPr>
        <w:t>2001, tous les membres non officiels de la Commission de la femme sont nommés par le Chef de l</w:t>
      </w:r>
      <w:r w:rsidR="00FB11B3" w:rsidRPr="0046567B">
        <w:rPr>
          <w:lang w:val="fr-FR" w:bidi="fr-FR"/>
        </w:rPr>
        <w:t>’</w:t>
      </w:r>
      <w:r w:rsidRPr="0046567B">
        <w:rPr>
          <w:lang w:val="fr-FR" w:bidi="fr-FR"/>
        </w:rPr>
        <w:t>exécutif selon leur mérite. Ces membres viennent d</w:t>
      </w:r>
      <w:r w:rsidR="00FB11B3" w:rsidRPr="0046567B">
        <w:rPr>
          <w:lang w:val="fr-FR" w:bidi="fr-FR"/>
        </w:rPr>
        <w:t>’</w:t>
      </w:r>
      <w:r w:rsidRPr="0046567B">
        <w:rPr>
          <w:lang w:val="fr-FR" w:bidi="fr-FR"/>
        </w:rPr>
        <w:t xml:space="preserve">horizons divers et possèdent des connaissances et une expérience dans différents secteurs. Le large éventail de leurs compétences et de leur expertise permet à la Commission de la femme de promouvoir le bien-être et les intérêts des femmes à Hong Kong. La </w:t>
      </w:r>
      <w:r w:rsidRPr="0046567B">
        <w:rPr>
          <w:rFonts w:hint="eastAsia"/>
          <w:lang w:val="fr-FR" w:bidi="fr-FR"/>
        </w:rPr>
        <w:t>transformer en un</w:t>
      </w:r>
      <w:r w:rsidR="00F2347E" w:rsidRPr="0046567B">
        <w:rPr>
          <w:rFonts w:hint="eastAsia"/>
          <w:lang w:val="fr-FR" w:bidi="fr-FR"/>
        </w:rPr>
        <w:t xml:space="preserve"> </w:t>
      </w:r>
      <w:r w:rsidRPr="0046567B">
        <w:rPr>
          <w:rFonts w:hint="eastAsia"/>
          <w:lang w:val="fr-FR" w:bidi="fr-FR"/>
        </w:rPr>
        <w:t xml:space="preserve">organe </w:t>
      </w:r>
      <w:r w:rsidRPr="0046567B">
        <w:rPr>
          <w:lang w:val="fr-FR" w:bidi="fr-FR"/>
        </w:rPr>
        <w:t>statutaire officiel</w:t>
      </w:r>
      <w:r w:rsidRPr="0046567B">
        <w:rPr>
          <w:rFonts w:hint="eastAsia"/>
          <w:lang w:val="fr-FR" w:bidi="fr-FR"/>
        </w:rPr>
        <w:t xml:space="preserve"> n</w:t>
      </w:r>
      <w:r w:rsidR="00FB11B3" w:rsidRPr="0046567B">
        <w:rPr>
          <w:lang w:val="fr-FR" w:bidi="fr-FR"/>
        </w:rPr>
        <w:t>’</w:t>
      </w:r>
      <w:r w:rsidRPr="0046567B">
        <w:rPr>
          <w:rFonts w:hint="eastAsia"/>
          <w:lang w:val="fr-FR" w:bidi="fr-FR"/>
        </w:rPr>
        <w:t>est probablement pas le moyen le plus pertinent pour faire avancer les objectifs et les missions de la Commission</w:t>
      </w:r>
      <w:r w:rsidRPr="0046567B">
        <w:rPr>
          <w:lang w:val="fr-FR" w:bidi="fr-FR"/>
        </w:rPr>
        <w:t>.</w:t>
      </w:r>
      <w:r w:rsidRPr="0046567B">
        <w:rPr>
          <w:rFonts w:hint="eastAsia"/>
          <w:lang w:val="fr-FR" w:bidi="fr-FR"/>
        </w:rPr>
        <w:t xml:space="preserve"> En</w:t>
      </w:r>
      <w:r w:rsidRPr="0046567B">
        <w:rPr>
          <w:lang w:val="fr-FR" w:bidi="fr-FR"/>
        </w:rPr>
        <w:t xml:space="preserve"> jouant un rôle actif en conseillant le Gouvernement sur les politiques et les initiatives qui concernent les femmes et en servant d</w:t>
      </w:r>
      <w:r w:rsidR="00FB11B3" w:rsidRPr="0046567B">
        <w:rPr>
          <w:lang w:val="fr-FR" w:bidi="fr-FR"/>
        </w:rPr>
        <w:t>’</w:t>
      </w:r>
      <w:r w:rsidRPr="0046567B">
        <w:rPr>
          <w:rFonts w:hint="eastAsia"/>
          <w:lang w:val="fr-FR" w:bidi="fr-FR"/>
        </w:rPr>
        <w:t>intermédiaire entre le Gouvernement, les groupes de femmes locaux et les ONG, la Commission est en mesure de créer un environnement favorable</w:t>
      </w:r>
      <w:r w:rsidRPr="0046567B">
        <w:rPr>
          <w:lang w:val="fr-FR" w:bidi="fr-FR"/>
        </w:rPr>
        <w:t xml:space="preserve"> aux femmes. Il est également de pratique courante que les organes consultatifs et statutaires du Gouvernement bénéficient d</w:t>
      </w:r>
      <w:r w:rsidR="00FB11B3" w:rsidRPr="0046567B">
        <w:rPr>
          <w:lang w:val="fr-FR" w:bidi="fr-FR"/>
        </w:rPr>
        <w:t>’</w:t>
      </w:r>
      <w:r w:rsidRPr="0046567B">
        <w:rPr>
          <w:lang w:val="fr-FR" w:bidi="fr-FR"/>
        </w:rPr>
        <w:t>un appui administratif de la part d</w:t>
      </w:r>
      <w:r w:rsidR="00FB11B3" w:rsidRPr="0046567B">
        <w:rPr>
          <w:lang w:val="fr-FR" w:bidi="fr-FR"/>
        </w:rPr>
        <w:t>’</w:t>
      </w:r>
      <w:r w:rsidRPr="0046567B">
        <w:rPr>
          <w:lang w:val="fr-FR" w:bidi="fr-FR"/>
        </w:rPr>
        <w:t>un bureau politique.</w:t>
      </w:r>
    </w:p>
    <w:p w14:paraId="31F82D06" w14:textId="18E41786" w:rsidR="00FC36AA" w:rsidRPr="0046567B" w:rsidRDefault="00FC36AA" w:rsidP="00FC36AA">
      <w:pPr>
        <w:pStyle w:val="SingleTxt"/>
        <w:spacing w:after="0" w:line="120" w:lineRule="exact"/>
        <w:rPr>
          <w:sz w:val="10"/>
          <w:lang w:val="fr-FR" w:bidi="fr-FR"/>
        </w:rPr>
      </w:pPr>
    </w:p>
    <w:p w14:paraId="61AA9CDF" w14:textId="6D9F9CFC" w:rsidR="00FC36AA" w:rsidRPr="0046567B" w:rsidRDefault="00FC36AA" w:rsidP="00FC36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Augmentation des ressources allouées à la Commission de la femme</w:t>
      </w:r>
    </w:p>
    <w:p w14:paraId="1F565CA5" w14:textId="4F2CF6F0" w:rsidR="00FC36AA" w:rsidRPr="0046567B" w:rsidRDefault="00FC36AA" w:rsidP="00FC36AA">
      <w:pPr>
        <w:pStyle w:val="SingleTxt"/>
        <w:spacing w:after="0" w:line="120" w:lineRule="exact"/>
        <w:rPr>
          <w:sz w:val="10"/>
          <w:lang w:val="fr-FR" w:bidi="fr-FR"/>
        </w:rPr>
      </w:pPr>
    </w:p>
    <w:p w14:paraId="6950FEA3" w14:textId="53DCBBE6"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La Commission de la femme reçoit des fonds du Gouvernement pour la mise en œuvre de ses programmes et l</w:t>
      </w:r>
      <w:r w:rsidR="00FB11B3" w:rsidRPr="0046567B">
        <w:rPr>
          <w:lang w:val="fr-FR" w:bidi="fr-FR"/>
        </w:rPr>
        <w:t>’</w:t>
      </w:r>
      <w:r w:rsidRPr="0046567B">
        <w:rPr>
          <w:lang w:val="fr-FR" w:bidi="fr-FR"/>
        </w:rPr>
        <w:t>appui administratif d</w:t>
      </w:r>
      <w:r w:rsidR="00FB11B3" w:rsidRPr="0046567B">
        <w:rPr>
          <w:lang w:val="fr-FR" w:bidi="fr-FR"/>
        </w:rPr>
        <w:t>’</w:t>
      </w:r>
      <w:r w:rsidRPr="0046567B">
        <w:rPr>
          <w:lang w:val="fr-FR" w:bidi="fr-FR"/>
        </w:rPr>
        <w:t>une équipe d</w:t>
      </w:r>
      <w:r w:rsidR="00FB11B3" w:rsidRPr="0046567B">
        <w:rPr>
          <w:lang w:val="fr-FR" w:bidi="fr-FR"/>
        </w:rPr>
        <w:t>’</w:t>
      </w:r>
      <w:r w:rsidRPr="0046567B">
        <w:rPr>
          <w:lang w:val="fr-FR" w:bidi="fr-FR"/>
        </w:rPr>
        <w:t>agents du Bureau du travail et de la protection sociale. Depuis le précédent rapport, les dépenses réelles du Bureau du travail et de la protection sociale à cet égard ont augmenté d</w:t>
      </w:r>
      <w:r w:rsidR="00FB11B3" w:rsidRPr="0046567B">
        <w:rPr>
          <w:lang w:val="fr-FR" w:bidi="fr-FR"/>
        </w:rPr>
        <w:t>’</w:t>
      </w:r>
      <w:r w:rsidRPr="0046567B">
        <w:rPr>
          <w:lang w:val="fr-FR" w:bidi="fr-FR"/>
        </w:rPr>
        <w:t>environ 27,4</w:t>
      </w:r>
      <w:r w:rsidR="00FB11B3" w:rsidRPr="0046567B">
        <w:rPr>
          <w:lang w:val="fr-FR" w:bidi="fr-FR"/>
        </w:rPr>
        <w:t> %</w:t>
      </w:r>
      <w:r w:rsidRPr="0046567B">
        <w:rPr>
          <w:lang w:val="fr-FR" w:bidi="fr-FR"/>
        </w:rPr>
        <w:t>, passant de 24,8</w:t>
      </w:r>
      <w:r w:rsidR="002A20B0" w:rsidRPr="0046567B">
        <w:rPr>
          <w:lang w:val="fr-FR" w:bidi="fr-FR"/>
        </w:rPr>
        <w:t xml:space="preserve"> </w:t>
      </w:r>
      <w:r w:rsidRPr="0046567B">
        <w:rPr>
          <w:lang w:val="fr-FR" w:bidi="fr-FR"/>
        </w:rPr>
        <w:t>millions de dollars hongkongais en</w:t>
      </w:r>
      <w:r w:rsidR="002A20B0" w:rsidRPr="0046567B">
        <w:rPr>
          <w:lang w:val="fr-FR" w:bidi="fr-FR"/>
        </w:rPr>
        <w:t xml:space="preserve"> </w:t>
      </w:r>
      <w:r w:rsidRPr="0046567B">
        <w:rPr>
          <w:lang w:val="fr-FR" w:bidi="fr-FR"/>
        </w:rPr>
        <w:t>2011-2012 à environ 31,6</w:t>
      </w:r>
      <w:r w:rsidR="002A20B0" w:rsidRPr="0046567B">
        <w:rPr>
          <w:lang w:val="fr-FR" w:bidi="fr-FR"/>
        </w:rPr>
        <w:t xml:space="preserve"> </w:t>
      </w:r>
      <w:r w:rsidRPr="0046567B">
        <w:rPr>
          <w:lang w:val="fr-FR" w:bidi="fr-FR"/>
        </w:rPr>
        <w:t>millions de dollars hongkongais en</w:t>
      </w:r>
      <w:r w:rsidR="002A20B0" w:rsidRPr="0046567B">
        <w:rPr>
          <w:lang w:val="fr-FR" w:bidi="fr-FR"/>
        </w:rPr>
        <w:t xml:space="preserve"> </w:t>
      </w:r>
      <w:r w:rsidRPr="0046567B">
        <w:rPr>
          <w:lang w:val="fr-FR" w:bidi="fr-FR"/>
        </w:rPr>
        <w:t>2017-2018.</w:t>
      </w:r>
    </w:p>
    <w:p w14:paraId="6DD7536F" w14:textId="78A8CA33" w:rsidR="00FC36AA" w:rsidRPr="0046567B" w:rsidRDefault="00FC36AA" w:rsidP="00FC36AA">
      <w:pPr>
        <w:pStyle w:val="SingleTxt"/>
        <w:spacing w:after="0" w:line="120" w:lineRule="exact"/>
        <w:rPr>
          <w:sz w:val="10"/>
          <w:lang w:val="fr-FR" w:bidi="fr-FR"/>
        </w:rPr>
      </w:pPr>
    </w:p>
    <w:p w14:paraId="7E61F08C" w14:textId="0E562BF7" w:rsidR="00FC36AA" w:rsidRPr="0046567B" w:rsidRDefault="00FC36AA" w:rsidP="00FC36AA">
      <w:pPr>
        <w:pStyle w:val="SingleTxt"/>
        <w:spacing w:after="0" w:line="120" w:lineRule="exact"/>
        <w:rPr>
          <w:sz w:val="10"/>
          <w:lang w:val="fr-FR"/>
        </w:rPr>
      </w:pPr>
    </w:p>
    <w:p w14:paraId="63459512" w14:textId="5957D2CD" w:rsidR="00FC36AA" w:rsidRPr="0046567B" w:rsidRDefault="00FC36AA" w:rsidP="00FC36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3 </w:t>
      </w:r>
      <w:r w:rsidR="002A20B0" w:rsidRPr="0046567B">
        <w:rPr>
          <w:lang w:val="fr-FR" w:bidi="fr-FR"/>
        </w:rPr>
        <w:t>–</w:t>
      </w:r>
      <w:r w:rsidRPr="0046567B">
        <w:rPr>
          <w:lang w:val="fr-FR" w:bidi="fr-FR"/>
        </w:rPr>
        <w:t xml:space="preserve"> Mesures appropriées</w:t>
      </w:r>
    </w:p>
    <w:p w14:paraId="438ABF3D" w14:textId="3CD74F64" w:rsidR="00FC36AA" w:rsidRPr="0046567B" w:rsidRDefault="00FC36AA" w:rsidP="00FC36AA">
      <w:pPr>
        <w:pStyle w:val="SingleTxt"/>
        <w:spacing w:after="0" w:line="120" w:lineRule="exact"/>
        <w:rPr>
          <w:sz w:val="10"/>
          <w:lang w:val="fr-FR" w:bidi="fr-FR"/>
        </w:rPr>
      </w:pPr>
    </w:p>
    <w:p w14:paraId="2B0D8D11" w14:textId="41E98191" w:rsidR="00FC36AA" w:rsidRPr="0046567B" w:rsidRDefault="00FC36AA" w:rsidP="00FC36AA">
      <w:pPr>
        <w:pStyle w:val="SingleTxt"/>
        <w:spacing w:after="0" w:line="120" w:lineRule="exact"/>
        <w:rPr>
          <w:sz w:val="10"/>
          <w:lang w:val="fr-FR" w:bidi="fr-FR"/>
        </w:rPr>
      </w:pPr>
    </w:p>
    <w:p w14:paraId="7F74B5EB" w14:textId="7E8BCBFB" w:rsidR="00FC36AA" w:rsidRPr="0046567B" w:rsidRDefault="00FC36AA" w:rsidP="00A55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bookmarkStart w:id="6" w:name="_Basis_for_protection_of_human_right"/>
      <w:bookmarkStart w:id="7" w:name="_ARTICLE_4:_TEMPORARY_SPECIAL_MEASUR"/>
      <w:bookmarkEnd w:id="6"/>
      <w:bookmarkEnd w:id="7"/>
      <w:r w:rsidRPr="0046567B">
        <w:rPr>
          <w:lang w:val="fr-FR" w:bidi="fr-FR"/>
        </w:rPr>
        <w:tab/>
      </w:r>
      <w:r w:rsidRPr="0046567B">
        <w:rPr>
          <w:lang w:val="fr-FR" w:bidi="fr-FR"/>
        </w:rPr>
        <w:tab/>
        <w:t>Intégration des questions de genre</w:t>
      </w:r>
    </w:p>
    <w:p w14:paraId="541D56FD" w14:textId="27A28C8C" w:rsidR="00FC36AA" w:rsidRPr="0046567B" w:rsidRDefault="00FC36AA" w:rsidP="00A55DB4">
      <w:pPr>
        <w:pStyle w:val="SingleTxt"/>
        <w:spacing w:after="0" w:line="120" w:lineRule="exact"/>
        <w:rPr>
          <w:sz w:val="10"/>
          <w:lang w:val="fr-FR" w:bidi="fr-FR"/>
        </w:rPr>
      </w:pPr>
    </w:p>
    <w:p w14:paraId="21F6AB3B" w14:textId="77777777" w:rsidR="00A55DB4" w:rsidRPr="0046567B" w:rsidRDefault="00A55DB4" w:rsidP="00FC36AA">
      <w:pPr>
        <w:pStyle w:val="SingleTxt"/>
        <w:spacing w:after="0" w:line="120" w:lineRule="exact"/>
        <w:rPr>
          <w:sz w:val="10"/>
          <w:lang w:val="fr-FR" w:bidi="fr-FR"/>
        </w:rPr>
      </w:pPr>
    </w:p>
    <w:p w14:paraId="3B73E52B" w14:textId="2DA87B76"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Comme mentionné dans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2B du présent rapport</w:t>
      </w:r>
      <w:r w:rsidRPr="0046567B">
        <w:rPr>
          <w:lang w:val="fr-FR" w:bidi="fr-FR"/>
        </w:rPr>
        <w:t>, le Gouvernement a toujours attaché une grande importance à la promotion de l</w:t>
      </w:r>
      <w:r w:rsidR="00FB11B3" w:rsidRPr="0046567B">
        <w:rPr>
          <w:lang w:val="fr-FR" w:bidi="fr-FR"/>
        </w:rPr>
        <w:t>’</w:t>
      </w:r>
      <w:r w:rsidRPr="0046567B">
        <w:rPr>
          <w:lang w:val="fr-FR" w:bidi="fr-FR"/>
        </w:rPr>
        <w:t>intégration des questions de genre au sein même du Gouvernement, à travers un processus de prise de décision attentif à l</w:t>
      </w:r>
      <w:r w:rsidR="00FB11B3" w:rsidRPr="0046567B">
        <w:rPr>
          <w:lang w:val="fr-FR" w:bidi="fr-FR"/>
        </w:rPr>
        <w:t>’</w:t>
      </w:r>
      <w:r w:rsidRPr="0046567B">
        <w:rPr>
          <w:lang w:val="fr-FR" w:bidi="fr-FR"/>
        </w:rPr>
        <w:t>égalité des genres, et à travers la société dans son ensemble. Cela permet de mettre pleinement en œuvre le principe de l</w:t>
      </w:r>
      <w:r w:rsidR="00FB11B3" w:rsidRPr="0046567B">
        <w:rPr>
          <w:lang w:val="fr-FR" w:bidi="fr-FR"/>
        </w:rPr>
        <w:t>’</w:t>
      </w:r>
      <w:r w:rsidRPr="0046567B">
        <w:rPr>
          <w:lang w:val="fr-FR" w:bidi="fr-FR"/>
        </w:rPr>
        <w:t>égalité femmes-hommes dans le processus décisionnel, en tenant compte officiellement des perspectives et des besoins des femmes.</w:t>
      </w:r>
    </w:p>
    <w:p w14:paraId="682B7291" w14:textId="6C23A3C8"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En plus des évaluations d</w:t>
      </w:r>
      <w:r w:rsidR="00FB11B3" w:rsidRPr="0046567B">
        <w:rPr>
          <w:lang w:val="fr-FR" w:bidi="fr-FR"/>
        </w:rPr>
        <w:t>’</w:t>
      </w:r>
      <w:r w:rsidRPr="0046567B">
        <w:rPr>
          <w:lang w:val="fr-FR" w:bidi="fr-FR"/>
        </w:rPr>
        <w:t>incidence sur l</w:t>
      </w:r>
      <w:r w:rsidR="00FB11B3" w:rsidRPr="0046567B">
        <w:rPr>
          <w:lang w:val="fr-FR" w:bidi="fr-FR"/>
        </w:rPr>
        <w:t>’</w:t>
      </w:r>
      <w:r w:rsidRPr="0046567B">
        <w:rPr>
          <w:lang w:val="fr-FR" w:bidi="fr-FR"/>
        </w:rPr>
        <w:t>égalité des genres requises pour mettre en œuvre des législations et politiques majeures, des formations sur l</w:t>
      </w:r>
      <w:r w:rsidR="00FB11B3" w:rsidRPr="0046567B">
        <w:rPr>
          <w:lang w:val="fr-FR" w:bidi="fr-FR"/>
        </w:rPr>
        <w:t>’</w:t>
      </w:r>
      <w:r w:rsidRPr="0046567B">
        <w:rPr>
          <w:lang w:val="fr-FR" w:bidi="fr-FR"/>
        </w:rPr>
        <w:t>égalité de genre sont dispensées aux agents de l</w:t>
      </w:r>
      <w:r w:rsidR="00FB11B3" w:rsidRPr="0046567B">
        <w:rPr>
          <w:lang w:val="fr-FR" w:bidi="fr-FR"/>
        </w:rPr>
        <w:t>’</w:t>
      </w:r>
      <w:r w:rsidRPr="0046567B">
        <w:rPr>
          <w:lang w:val="fr-FR" w:bidi="fr-FR"/>
        </w:rPr>
        <w:t>État (fonctionnaires et personnels sous contrat de service non civil) depuis</w:t>
      </w:r>
      <w:r w:rsidR="002A20B0" w:rsidRPr="0046567B">
        <w:rPr>
          <w:lang w:val="fr-FR" w:bidi="fr-FR"/>
        </w:rPr>
        <w:t xml:space="preserve"> </w:t>
      </w:r>
      <w:r w:rsidRPr="0046567B">
        <w:rPr>
          <w:lang w:val="fr-FR" w:bidi="fr-FR"/>
        </w:rPr>
        <w:t>2001 pour les sensibiliser aux questions de genre et au concept de l</w:t>
      </w:r>
      <w:r w:rsidR="00FB11B3" w:rsidRPr="0046567B">
        <w:rPr>
          <w:lang w:val="fr-FR" w:bidi="fr-FR"/>
        </w:rPr>
        <w:t>’</w:t>
      </w:r>
      <w:r w:rsidRPr="0046567B">
        <w:rPr>
          <w:lang w:val="fr-FR" w:bidi="fr-FR"/>
        </w:rPr>
        <w:t>intégration des questions de genre. À ce jour, plus de 11</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agentes et agents de l</w:t>
      </w:r>
      <w:r w:rsidR="00FB11B3" w:rsidRPr="0046567B">
        <w:rPr>
          <w:lang w:val="fr-FR" w:bidi="fr-FR"/>
        </w:rPr>
        <w:t>’</w:t>
      </w:r>
      <w:r w:rsidRPr="0046567B">
        <w:rPr>
          <w:lang w:val="fr-FR" w:bidi="fr-FR"/>
        </w:rPr>
        <w:t>État, tous grades confondus, ont déjà suivi une formation sur l</w:t>
      </w:r>
      <w:r w:rsidR="00FB11B3" w:rsidRPr="0046567B">
        <w:rPr>
          <w:lang w:val="fr-FR" w:bidi="fr-FR"/>
        </w:rPr>
        <w:t>’</w:t>
      </w:r>
      <w:r w:rsidRPr="0046567B">
        <w:rPr>
          <w:lang w:val="fr-FR" w:bidi="fr-FR"/>
        </w:rPr>
        <w:t>égalité des genres.</w:t>
      </w:r>
    </w:p>
    <w:p w14:paraId="65D71D9C" w14:textId="43F9C4B6"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Les réseaux de correspondants pour les questions relatives à l</w:t>
      </w:r>
      <w:r w:rsidR="00FB11B3" w:rsidRPr="0046567B">
        <w:rPr>
          <w:lang w:val="fr-FR" w:bidi="fr-FR"/>
        </w:rPr>
        <w:t>’</w:t>
      </w:r>
      <w:r w:rsidRPr="0046567B">
        <w:rPr>
          <w:lang w:val="fr-FR" w:bidi="fr-FR"/>
        </w:rPr>
        <w:t>égalité entre les femmes et les hommes se sont considérablement développés depuis le précédent rapport, comme indiqué à l</w:t>
      </w:r>
      <w:r w:rsidR="00FB11B3" w:rsidRPr="0046567B">
        <w:rPr>
          <w:lang w:val="fr-FR" w:bidi="fr-FR"/>
        </w:rPr>
        <w:t>’</w:t>
      </w:r>
      <w:r w:rsidRPr="0046567B">
        <w:rPr>
          <w:rFonts w:hint="eastAsia"/>
          <w:lang w:val="fr-FR" w:bidi="fr-FR"/>
        </w:rPr>
        <w:t>annexe 2B</w:t>
      </w:r>
      <w:r w:rsidRPr="0046567B">
        <w:rPr>
          <w:lang w:val="fr-FR" w:bidi="fr-FR"/>
        </w:rPr>
        <w:t>. Certaines des personnes consultées ont suggéré que les réseaux de ces correspondants soient davantage sollicités pour promouvoir l</w:t>
      </w:r>
      <w:r w:rsidR="00FB11B3" w:rsidRPr="0046567B">
        <w:rPr>
          <w:lang w:val="fr-FR" w:bidi="fr-FR"/>
        </w:rPr>
        <w:t>’</w:t>
      </w:r>
      <w:r w:rsidRPr="0046567B">
        <w:rPr>
          <w:lang w:val="fr-FR" w:bidi="fr-FR"/>
        </w:rPr>
        <w:t>intégration des questions de genre au sein de la société dans son ensemble. À cet égard, le Bureau du travail et de la protection sociale, qui reconnaît le potentiel des réseaux de correspondants pour les questions relatives à l</w:t>
      </w:r>
      <w:r w:rsidR="00FB11B3" w:rsidRPr="0046567B">
        <w:rPr>
          <w:lang w:val="fr-FR" w:bidi="fr-FR"/>
        </w:rPr>
        <w:t>’</w:t>
      </w:r>
      <w:r w:rsidRPr="0046567B">
        <w:rPr>
          <w:lang w:val="fr-FR" w:bidi="fr-FR"/>
        </w:rPr>
        <w:t>égalité entre les femmes et les hommes, met régulièrement à leur disposition des plateformes d</w:t>
      </w:r>
      <w:r w:rsidR="00FB11B3" w:rsidRPr="0046567B">
        <w:rPr>
          <w:lang w:val="fr-FR" w:bidi="fr-FR"/>
        </w:rPr>
        <w:t>’</w:t>
      </w:r>
      <w:r w:rsidRPr="0046567B">
        <w:rPr>
          <w:lang w:val="fr-FR" w:bidi="fr-FR"/>
        </w:rPr>
        <w:t>échanges destinées à partager les expériences et les bonnes pratiques de chacun (ex.</w:t>
      </w:r>
      <w:r w:rsidR="00FB11B3" w:rsidRPr="0046567B">
        <w:rPr>
          <w:lang w:val="fr-FR" w:bidi="fr-FR"/>
        </w:rPr>
        <w:t> :</w:t>
      </w:r>
      <w:r w:rsidRPr="0046567B">
        <w:rPr>
          <w:lang w:val="fr-FR" w:bidi="fr-FR"/>
        </w:rPr>
        <w:t xml:space="preserve"> déjeuners-débats, séminaires et séances d</w:t>
      </w:r>
      <w:r w:rsidR="00FB11B3" w:rsidRPr="0046567B">
        <w:rPr>
          <w:lang w:val="fr-FR" w:bidi="fr-FR"/>
        </w:rPr>
        <w:t>’</w:t>
      </w:r>
      <w:r w:rsidRPr="0046567B">
        <w:rPr>
          <w:lang w:val="fr-FR" w:bidi="fr-FR"/>
        </w:rPr>
        <w:t>information consacrés, entre autres, à l</w:t>
      </w:r>
      <w:r w:rsidR="00FB11B3" w:rsidRPr="0046567B">
        <w:rPr>
          <w:lang w:val="fr-FR" w:bidi="fr-FR"/>
        </w:rPr>
        <w:t>’</w:t>
      </w:r>
      <w:r w:rsidRPr="0046567B">
        <w:rPr>
          <w:lang w:val="fr-FR" w:bidi="fr-FR"/>
        </w:rPr>
        <w:t>intégration des questions de genre, au harcèlement sexuel et à la bonne gestion des ressources humaines), en collaboration avec la Commission de l</w:t>
      </w:r>
      <w:r w:rsidR="00FB11B3" w:rsidRPr="0046567B">
        <w:rPr>
          <w:lang w:val="fr-FR" w:bidi="fr-FR"/>
        </w:rPr>
        <w:t>’</w:t>
      </w:r>
      <w:r w:rsidRPr="0046567B">
        <w:rPr>
          <w:lang w:val="fr-FR" w:bidi="fr-FR"/>
        </w:rPr>
        <w:t>égalité des chances et d</w:t>
      </w:r>
      <w:r w:rsidR="00FB11B3" w:rsidRPr="0046567B">
        <w:rPr>
          <w:lang w:val="fr-FR" w:bidi="fr-FR"/>
        </w:rPr>
        <w:t>’</w:t>
      </w:r>
      <w:r w:rsidRPr="0046567B">
        <w:rPr>
          <w:lang w:val="fr-FR" w:bidi="fr-FR"/>
        </w:rPr>
        <w:t>autres services gouvernementaux compétents. Le Bureau du travail et de la protection sociale s</w:t>
      </w:r>
      <w:r w:rsidR="00FB11B3" w:rsidRPr="0046567B">
        <w:rPr>
          <w:lang w:val="fr-FR" w:bidi="fr-FR"/>
        </w:rPr>
        <w:t>’</w:t>
      </w:r>
      <w:r w:rsidRPr="0046567B">
        <w:rPr>
          <w:lang w:val="fr-FR" w:bidi="fr-FR"/>
        </w:rPr>
        <w:t>efforcera d</w:t>
      </w:r>
      <w:r w:rsidR="00FB11B3" w:rsidRPr="0046567B">
        <w:rPr>
          <w:lang w:val="fr-FR" w:bidi="fr-FR"/>
        </w:rPr>
        <w:t>’</w:t>
      </w:r>
      <w:r w:rsidRPr="0046567B">
        <w:rPr>
          <w:lang w:val="fr-FR" w:bidi="fr-FR"/>
        </w:rPr>
        <w:t>envisager les moyens permettant à ces correspondants de mieux échanger entre eux afin de créer une synergie.</w:t>
      </w:r>
    </w:p>
    <w:p w14:paraId="48684E28" w14:textId="648B36C3" w:rsidR="00FC36AA" w:rsidRPr="0046567B" w:rsidRDefault="00FC36AA" w:rsidP="00FC36AA">
      <w:pPr>
        <w:pStyle w:val="SingleTxt"/>
        <w:spacing w:after="0" w:line="120" w:lineRule="exact"/>
        <w:rPr>
          <w:sz w:val="10"/>
          <w:lang w:val="fr-FR" w:bidi="fr-FR"/>
        </w:rPr>
      </w:pPr>
    </w:p>
    <w:p w14:paraId="4BC0B5B3" w14:textId="3B076C38" w:rsidR="00FC36AA" w:rsidRPr="0046567B" w:rsidRDefault="00FC36AA" w:rsidP="00FC36AA">
      <w:pPr>
        <w:pStyle w:val="SingleTxt"/>
        <w:spacing w:after="0" w:line="120" w:lineRule="exact"/>
        <w:rPr>
          <w:sz w:val="10"/>
          <w:lang w:val="fr-FR"/>
        </w:rPr>
      </w:pPr>
    </w:p>
    <w:p w14:paraId="0897C9F5" w14:textId="7F5B9C95"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Études, recherches et collecte de données sur les femmes</w:t>
      </w:r>
    </w:p>
    <w:p w14:paraId="7892EC79" w14:textId="3786D0F9" w:rsidR="00FC36AA" w:rsidRPr="0046567B" w:rsidRDefault="00FC36AA" w:rsidP="00FC36AA">
      <w:pPr>
        <w:pStyle w:val="SingleTxt"/>
        <w:spacing w:after="0" w:line="120" w:lineRule="exact"/>
        <w:rPr>
          <w:sz w:val="10"/>
          <w:lang w:val="fr-FR" w:bidi="fr-FR"/>
        </w:rPr>
      </w:pPr>
    </w:p>
    <w:p w14:paraId="4A0BB367" w14:textId="3DEE532E" w:rsidR="00FC36AA" w:rsidRPr="0046567B" w:rsidRDefault="00FC36AA" w:rsidP="00FC36AA">
      <w:pPr>
        <w:pStyle w:val="SingleTxt"/>
        <w:spacing w:after="0" w:line="120" w:lineRule="exact"/>
        <w:rPr>
          <w:sz w:val="10"/>
          <w:lang w:val="fr-FR" w:bidi="fr-FR"/>
        </w:rPr>
      </w:pPr>
    </w:p>
    <w:p w14:paraId="422B7F24" w14:textId="5F2A6C6E" w:rsidR="00FC36AA" w:rsidRPr="0046567B" w:rsidRDefault="00FC36AA" w:rsidP="00FC36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Collecte de </w:t>
      </w:r>
      <w:r w:rsidRPr="0046567B">
        <w:rPr>
          <w:rFonts w:hint="eastAsia"/>
          <w:lang w:val="fr-FR" w:bidi="fr-FR"/>
        </w:rPr>
        <w:t>données statistiques</w:t>
      </w:r>
      <w:r w:rsidRPr="0046567B">
        <w:rPr>
          <w:lang w:val="fr-FR" w:bidi="fr-FR"/>
        </w:rPr>
        <w:t xml:space="preserve"> ventilées par sexe</w:t>
      </w:r>
    </w:p>
    <w:p w14:paraId="798E94CB" w14:textId="6DEF31F8" w:rsidR="00FC36AA" w:rsidRPr="0046567B" w:rsidRDefault="00FC36AA" w:rsidP="00FC36AA">
      <w:pPr>
        <w:pStyle w:val="SingleTxt"/>
        <w:spacing w:after="0" w:line="120" w:lineRule="exact"/>
        <w:rPr>
          <w:sz w:val="10"/>
          <w:lang w:val="fr-FR" w:bidi="fr-FR"/>
        </w:rPr>
      </w:pPr>
    </w:p>
    <w:p w14:paraId="19B95854" w14:textId="16575F3B" w:rsidR="00FC36AA" w:rsidRPr="0046567B" w:rsidRDefault="00FC36AA" w:rsidP="00FC36AA">
      <w:pPr>
        <w:pStyle w:val="SingleTxt"/>
        <w:numPr>
          <w:ilvl w:val="0"/>
          <w:numId w:val="32"/>
        </w:numPr>
        <w:spacing w:line="240" w:lineRule="exact"/>
        <w:ind w:left="1267" w:firstLine="0"/>
        <w:rPr>
          <w:lang w:val="fr-FR"/>
        </w:rPr>
      </w:pPr>
      <w:bookmarkStart w:id="8" w:name="_Ref270963836"/>
      <w:r w:rsidRPr="0046567B">
        <w:rPr>
          <w:lang w:val="fr-FR" w:bidi="fr-FR"/>
        </w:rPr>
        <w:t>Afin de faciliter l</w:t>
      </w:r>
      <w:r w:rsidR="00FB11B3" w:rsidRPr="0046567B">
        <w:rPr>
          <w:lang w:val="fr-FR" w:bidi="fr-FR"/>
        </w:rPr>
        <w:t>’</w:t>
      </w:r>
      <w:r w:rsidRPr="0046567B">
        <w:rPr>
          <w:lang w:val="fr-FR" w:bidi="fr-FR"/>
        </w:rPr>
        <w:t>analyse des questions relatives à l</w:t>
      </w:r>
      <w:r w:rsidR="00FB11B3" w:rsidRPr="0046567B">
        <w:rPr>
          <w:lang w:val="fr-FR" w:bidi="fr-FR"/>
        </w:rPr>
        <w:t>’</w:t>
      </w:r>
      <w:r w:rsidRPr="0046567B">
        <w:rPr>
          <w:lang w:val="fr-FR" w:bidi="fr-FR"/>
        </w:rPr>
        <w:t>égalité femmes-hommes et l</w:t>
      </w:r>
      <w:r w:rsidR="00FB11B3" w:rsidRPr="0046567B">
        <w:rPr>
          <w:lang w:val="fr-FR" w:bidi="fr-FR"/>
        </w:rPr>
        <w:t>’</w:t>
      </w:r>
      <w:r w:rsidRPr="0046567B">
        <w:rPr>
          <w:lang w:val="fr-FR" w:bidi="fr-FR"/>
        </w:rPr>
        <w:t xml:space="preserve">élaboration de politiques qui intègrent cette dimension, le Gouvernement poursuit la collecte de données ventilées par sexe. À cet égard, </w:t>
      </w:r>
      <w:r w:rsidRPr="0046567B">
        <w:rPr>
          <w:rFonts w:hint="eastAsia"/>
          <w:lang w:val="fr-FR" w:bidi="fr-FR"/>
        </w:rPr>
        <w:t xml:space="preserve">le </w:t>
      </w:r>
      <w:r w:rsidRPr="0046567B">
        <w:rPr>
          <w:lang w:val="fr-FR" w:bidi="fr-FR"/>
        </w:rPr>
        <w:t xml:space="preserve">Département du recensement et des statistiques rassemble </w:t>
      </w:r>
      <w:r w:rsidRPr="0046567B">
        <w:rPr>
          <w:rFonts w:hint="eastAsia"/>
          <w:lang w:val="fr-FR" w:bidi="fr-FR"/>
        </w:rPr>
        <w:t>et</w:t>
      </w:r>
      <w:r w:rsidRPr="0046567B">
        <w:rPr>
          <w:lang w:val="fr-FR" w:bidi="fr-FR"/>
        </w:rPr>
        <w:t xml:space="preserve"> compile diverses statistiques. Des exemples de ces statistiques figurent à l</w:t>
      </w:r>
      <w:r w:rsidR="00FB11B3" w:rsidRPr="0046567B">
        <w:rPr>
          <w:lang w:val="fr-FR" w:bidi="fr-FR"/>
        </w:rPr>
        <w:t>’</w:t>
      </w:r>
      <w:r w:rsidRPr="0046567B">
        <w:rPr>
          <w:lang w:val="fr-FR" w:bidi="fr-FR"/>
        </w:rPr>
        <w:t>annexe</w:t>
      </w:r>
      <w:r w:rsidR="002A20B0" w:rsidRPr="0046567B">
        <w:rPr>
          <w:lang w:val="fr-FR" w:bidi="fr-FR"/>
        </w:rPr>
        <w:t xml:space="preserve"> </w:t>
      </w:r>
      <w:r w:rsidRPr="0046567B">
        <w:rPr>
          <w:lang w:val="fr-FR" w:bidi="fr-FR"/>
        </w:rPr>
        <w:t>3A du présent rapport</w:t>
      </w:r>
      <w:bookmarkEnd w:id="8"/>
      <w:r w:rsidRPr="0046567B">
        <w:rPr>
          <w:lang w:val="fr-FR" w:bidi="fr-FR"/>
        </w:rPr>
        <w:t>.</w:t>
      </w:r>
    </w:p>
    <w:p w14:paraId="767E5698" w14:textId="2A6CA35F"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 xml:space="preserve">En outre, ce Département compile ces données chaque année dans une publication statistique </w:t>
      </w:r>
      <w:r w:rsidRPr="0046567B">
        <w:rPr>
          <w:rFonts w:hint="eastAsia"/>
          <w:lang w:val="fr-FR" w:bidi="fr-FR"/>
        </w:rPr>
        <w:t>intitulée « </w:t>
      </w:r>
      <w:r w:rsidRPr="0046567B">
        <w:rPr>
          <w:lang w:val="fr-FR" w:bidi="fr-FR"/>
        </w:rPr>
        <w:t xml:space="preserve">Women and Men in Hong Kong </w:t>
      </w:r>
      <w:r w:rsidR="00F2347E" w:rsidRPr="0046567B">
        <w:rPr>
          <w:lang w:val="fr-FR" w:bidi="fr-FR"/>
        </w:rPr>
        <w:t>–</w:t>
      </w:r>
      <w:r w:rsidRPr="0046567B">
        <w:rPr>
          <w:lang w:val="fr-FR" w:bidi="fr-FR"/>
        </w:rPr>
        <w:t xml:space="preserve"> Key Statistics ». Cette publication annuelle fournit des statistiques utiles, ventilées par sexe et issues de diverses sources, qui permettent de se faire une idée de la situation sociale et économique des femmes et des hommes dans la Région administrative spéciale de Hong Kong. En outre, une page Web thématique sur ces statistiques a été </w:t>
      </w:r>
      <w:r w:rsidRPr="0046567B">
        <w:rPr>
          <w:rFonts w:hint="eastAsia"/>
          <w:lang w:val="fr-FR" w:bidi="fr-FR"/>
        </w:rPr>
        <w:t>créée</w:t>
      </w:r>
      <w:r w:rsidRPr="0046567B">
        <w:rPr>
          <w:lang w:val="fr-FR" w:bidi="fr-FR"/>
        </w:rPr>
        <w:t xml:space="preserve"> sur le site Web</w:t>
      </w:r>
      <w:r w:rsidRPr="0046567B">
        <w:rPr>
          <w:rStyle w:val="FootnoteReference"/>
          <w:sz w:val="20"/>
          <w:szCs w:val="20"/>
          <w:lang w:val="fr-FR" w:bidi="fr-FR"/>
        </w:rPr>
        <w:footnoteReference w:id="1"/>
      </w:r>
      <w:r w:rsidRPr="0046567B">
        <w:rPr>
          <w:lang w:val="fr-FR" w:bidi="fr-FR"/>
        </w:rPr>
        <w:t xml:space="preserve"> du Département du recensement et des statistiques pour en faciliter l</w:t>
      </w:r>
      <w:r w:rsidR="00FB11B3" w:rsidRPr="0046567B">
        <w:rPr>
          <w:lang w:val="fr-FR" w:bidi="fr-FR"/>
        </w:rPr>
        <w:t>’</w:t>
      </w:r>
      <w:r w:rsidRPr="0046567B">
        <w:rPr>
          <w:lang w:val="fr-FR" w:bidi="fr-FR"/>
        </w:rPr>
        <w:t>utilisation par le public. Le contenu de cette page Web thématique fait l</w:t>
      </w:r>
      <w:r w:rsidR="00FB11B3" w:rsidRPr="0046567B">
        <w:rPr>
          <w:lang w:val="fr-FR" w:bidi="fr-FR"/>
        </w:rPr>
        <w:t>’</w:t>
      </w:r>
      <w:r w:rsidRPr="0046567B">
        <w:rPr>
          <w:lang w:val="fr-FR" w:bidi="fr-FR"/>
        </w:rPr>
        <w:t>objet d</w:t>
      </w:r>
      <w:r w:rsidR="00FB11B3" w:rsidRPr="0046567B">
        <w:rPr>
          <w:lang w:val="fr-FR" w:bidi="fr-FR"/>
        </w:rPr>
        <w:t>’</w:t>
      </w:r>
      <w:r w:rsidRPr="0046567B">
        <w:rPr>
          <w:lang w:val="fr-FR" w:bidi="fr-FR"/>
        </w:rPr>
        <w:t>une mise à jour périodique.</w:t>
      </w:r>
    </w:p>
    <w:p w14:paraId="4882DA75" w14:textId="5F03A833" w:rsidR="00FC36AA" w:rsidRPr="0046567B" w:rsidRDefault="00FC36AA" w:rsidP="00FC36AA">
      <w:pPr>
        <w:pStyle w:val="SingleTxt"/>
        <w:spacing w:after="0" w:line="120" w:lineRule="exact"/>
        <w:rPr>
          <w:sz w:val="10"/>
          <w:lang w:val="fr-FR" w:bidi="fr-FR"/>
        </w:rPr>
      </w:pPr>
    </w:p>
    <w:p w14:paraId="67CCFB61" w14:textId="20B49AFF" w:rsidR="00FC36AA" w:rsidRPr="0046567B" w:rsidRDefault="00FC36AA" w:rsidP="00FC36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Enquêtes et recherches menées par la Commission de la femme</w:t>
      </w:r>
    </w:p>
    <w:p w14:paraId="4BAAE70D" w14:textId="766EC353" w:rsidR="00FC36AA" w:rsidRPr="0046567B" w:rsidRDefault="00FC36AA" w:rsidP="00FC36AA">
      <w:pPr>
        <w:pStyle w:val="SingleTxt"/>
        <w:spacing w:after="0" w:line="120" w:lineRule="exact"/>
        <w:rPr>
          <w:sz w:val="10"/>
          <w:lang w:val="fr-FR" w:bidi="fr-FR"/>
        </w:rPr>
      </w:pPr>
    </w:p>
    <w:p w14:paraId="3DD4A350" w14:textId="3EC822AB"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Mener des recherches et conduire des enquêtes sur les questions relatives aux femmes fait partie intégrante du mandat confié à la Commission de la femme. Comme exposé dans le discours de politique du Gouvernement en</w:t>
      </w:r>
      <w:r w:rsidR="002A20B0" w:rsidRPr="0046567B">
        <w:rPr>
          <w:lang w:val="fr-FR" w:bidi="fr-FR"/>
        </w:rPr>
        <w:t xml:space="preserve"> </w:t>
      </w:r>
      <w:r w:rsidRPr="0046567B">
        <w:rPr>
          <w:lang w:val="fr-FR" w:bidi="fr-FR"/>
        </w:rPr>
        <w:t xml:space="preserve">2014, le </w:t>
      </w:r>
      <w:r w:rsidRPr="0046567B">
        <w:rPr>
          <w:rFonts w:hint="eastAsia"/>
          <w:lang w:val="fr-FR" w:bidi="fr-FR"/>
        </w:rPr>
        <w:t>Bureau du travail et de la protection sociale et la Commission de la femme ont chargé le Département du recensement et des statistiques de mener une enquête sur l</w:t>
      </w:r>
      <w:r w:rsidR="00FB11B3" w:rsidRPr="0046567B">
        <w:rPr>
          <w:lang w:val="fr-FR" w:bidi="fr-FR"/>
        </w:rPr>
        <w:t>’</w:t>
      </w:r>
      <w:r w:rsidRPr="0046567B">
        <w:rPr>
          <w:rFonts w:hint="eastAsia"/>
          <w:lang w:val="fr-FR" w:bidi="fr-FR"/>
        </w:rPr>
        <w:t>emploi des femmes et sur leur emploi du temps</w:t>
      </w:r>
      <w:r w:rsidRPr="0046567B">
        <w:rPr>
          <w:lang w:val="fr-FR" w:bidi="fr-FR"/>
        </w:rPr>
        <w:t>, dont les résultats ont été publiés en juillet</w:t>
      </w:r>
      <w:r w:rsidR="002A20B0" w:rsidRPr="0046567B">
        <w:rPr>
          <w:lang w:val="fr-FR" w:bidi="fr-FR"/>
        </w:rPr>
        <w:t xml:space="preserve"> </w:t>
      </w:r>
      <w:r w:rsidRPr="0046567B">
        <w:rPr>
          <w:lang w:val="fr-FR" w:bidi="fr-FR"/>
        </w:rPr>
        <w:t>2015.</w:t>
      </w:r>
    </w:p>
    <w:p w14:paraId="373F611E" w14:textId="157D9A3C" w:rsidR="00FC36AA" w:rsidRPr="0046567B" w:rsidRDefault="00FC36AA" w:rsidP="00FC36AA">
      <w:pPr>
        <w:pStyle w:val="SingleTxt"/>
        <w:spacing w:after="0" w:line="120" w:lineRule="exact"/>
        <w:rPr>
          <w:sz w:val="10"/>
          <w:lang w:val="fr-BE" w:bidi="fr-FR"/>
        </w:rPr>
      </w:pPr>
    </w:p>
    <w:p w14:paraId="2189FD32" w14:textId="15FA1197" w:rsidR="00FC36AA" w:rsidRPr="0046567B" w:rsidRDefault="00FC36AA" w:rsidP="00FC36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Enquêtes et recherches menées par la Commission de l</w:t>
      </w:r>
      <w:r w:rsidR="00FB11B3" w:rsidRPr="0046567B">
        <w:rPr>
          <w:lang w:val="fr-FR" w:bidi="fr-FR"/>
        </w:rPr>
        <w:t>’</w:t>
      </w:r>
      <w:r w:rsidRPr="0046567B">
        <w:rPr>
          <w:lang w:val="fr-FR" w:bidi="fr-FR"/>
        </w:rPr>
        <w:t>égalité des chances</w:t>
      </w:r>
    </w:p>
    <w:p w14:paraId="0EED1324" w14:textId="38040F71" w:rsidR="00FC36AA" w:rsidRPr="0046567B" w:rsidRDefault="00FC36AA" w:rsidP="00FC36AA">
      <w:pPr>
        <w:pStyle w:val="SingleTxt"/>
        <w:spacing w:after="0" w:line="120" w:lineRule="exact"/>
        <w:rPr>
          <w:sz w:val="10"/>
          <w:lang w:val="fr-FR" w:bidi="fr-FR"/>
        </w:rPr>
      </w:pPr>
    </w:p>
    <w:p w14:paraId="45C3256E" w14:textId="2BC8DC4A"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Depuis la présentation du précédent rapport, la Commission de l</w:t>
      </w:r>
      <w:r w:rsidR="00FB11B3" w:rsidRPr="0046567B">
        <w:rPr>
          <w:lang w:val="fr-FR" w:bidi="fr-FR"/>
        </w:rPr>
        <w:t>’</w:t>
      </w:r>
      <w:r w:rsidRPr="0046567B">
        <w:rPr>
          <w:lang w:val="fr-FR" w:bidi="fr-FR"/>
        </w:rPr>
        <w:t>égalité des chances a mené un certain nombre d</w:t>
      </w:r>
      <w:r w:rsidR="00FB11B3" w:rsidRPr="0046567B">
        <w:rPr>
          <w:lang w:val="fr-FR" w:bidi="fr-FR"/>
        </w:rPr>
        <w:t>’</w:t>
      </w:r>
      <w:r w:rsidRPr="0046567B">
        <w:rPr>
          <w:lang w:val="fr-FR" w:bidi="fr-FR"/>
        </w:rPr>
        <w:t xml:space="preserve">études portant sur un large éventail de sujets relatifs à la discrimination sexuelle, à la discrimination liée à la grossesse et au harcèlement sexuel. Parmi ces études récentes, il convient de citer « Sexual Harassment – Questionnaire Survey for Social Service Sector » (Harcèlement sexuel </w:t>
      </w:r>
      <w:r w:rsidR="00F2347E" w:rsidRPr="0046567B">
        <w:rPr>
          <w:lang w:val="fr-FR" w:bidi="fr-FR"/>
        </w:rPr>
        <w:t>– </w:t>
      </w:r>
      <w:r w:rsidRPr="0046567B">
        <w:rPr>
          <w:lang w:val="fr-FR" w:bidi="fr-FR"/>
        </w:rPr>
        <w:t>Questionnaire dans le secteur des services sociaux, 2017), et « Sexual Harassment and Discrimination in Employment – Questionnaire Survey for Flight Attendants » (Harcèlement sexuel et discrimination dans l</w:t>
      </w:r>
      <w:r w:rsidR="00FB11B3" w:rsidRPr="0046567B">
        <w:rPr>
          <w:lang w:val="fr-FR" w:bidi="fr-FR"/>
        </w:rPr>
        <w:t>’</w:t>
      </w:r>
      <w:r w:rsidRPr="0046567B">
        <w:rPr>
          <w:lang w:val="fr-FR" w:bidi="fr-FR"/>
        </w:rPr>
        <w:t xml:space="preserve">emploi </w:t>
      </w:r>
      <w:r w:rsidR="00F2347E" w:rsidRPr="0046567B">
        <w:rPr>
          <w:lang w:val="fr-FR" w:bidi="fr-FR"/>
        </w:rPr>
        <w:t>– </w:t>
      </w:r>
      <w:r w:rsidRPr="0046567B">
        <w:rPr>
          <w:lang w:val="fr-FR" w:bidi="fr-FR"/>
        </w:rPr>
        <w:t>Questionnaire dans le secteur des personnels navigants, 2014).</w:t>
      </w:r>
    </w:p>
    <w:p w14:paraId="1324945D" w14:textId="7D5C6DDA" w:rsidR="00FC36AA" w:rsidRPr="0046567B" w:rsidRDefault="00FC36AA" w:rsidP="00FC36AA">
      <w:pPr>
        <w:pStyle w:val="SingleTxt"/>
        <w:spacing w:after="0" w:line="120" w:lineRule="exact"/>
        <w:rPr>
          <w:sz w:val="10"/>
          <w:lang w:val="fr-FR" w:bidi="fr-FR"/>
        </w:rPr>
      </w:pPr>
    </w:p>
    <w:p w14:paraId="5DEF3BA1" w14:textId="3DCF7E02" w:rsidR="00FC36AA" w:rsidRPr="0046567B" w:rsidRDefault="00FC36AA" w:rsidP="00FC36AA">
      <w:pPr>
        <w:pStyle w:val="SingleTxt"/>
        <w:spacing w:after="0" w:line="120" w:lineRule="exact"/>
        <w:rPr>
          <w:sz w:val="10"/>
          <w:lang w:val="fr-FR"/>
        </w:rPr>
      </w:pPr>
    </w:p>
    <w:p w14:paraId="6A7FC4A0" w14:textId="1FDED562" w:rsidR="00FC36AA" w:rsidRPr="0046567B" w:rsidRDefault="00FC36AA" w:rsidP="00FC36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Article</w:t>
      </w:r>
      <w:r w:rsidR="002A20B0" w:rsidRPr="0046567B">
        <w:rPr>
          <w:lang w:val="fr-FR" w:bidi="fr-FR"/>
        </w:rPr>
        <w:t xml:space="preserve"> </w:t>
      </w:r>
      <w:r w:rsidRPr="0046567B">
        <w:rPr>
          <w:lang w:val="fr-FR" w:bidi="fr-FR"/>
        </w:rPr>
        <w:t xml:space="preserve">4 </w:t>
      </w:r>
      <w:r w:rsidR="008454D2" w:rsidRPr="0046567B">
        <w:rPr>
          <w:lang w:val="fr-FR" w:bidi="fr-FR"/>
        </w:rPr>
        <w:t>–</w:t>
      </w:r>
      <w:r w:rsidRPr="0046567B">
        <w:rPr>
          <w:lang w:val="fr-FR" w:bidi="fr-FR"/>
        </w:rPr>
        <w:t xml:space="preserve"> Mesures temporaires spéciales</w:t>
      </w:r>
    </w:p>
    <w:p w14:paraId="64066234" w14:textId="63F24A1E" w:rsidR="00FC36AA" w:rsidRPr="0046567B" w:rsidRDefault="00FC36AA" w:rsidP="00FC36AA">
      <w:pPr>
        <w:pStyle w:val="SingleTxt"/>
        <w:spacing w:after="0" w:line="120" w:lineRule="exact"/>
        <w:rPr>
          <w:sz w:val="10"/>
          <w:lang w:val="fr-FR" w:bidi="fr-FR"/>
        </w:rPr>
      </w:pPr>
    </w:p>
    <w:p w14:paraId="611249F2" w14:textId="15ABBC15" w:rsidR="00FC36AA" w:rsidRPr="0046567B" w:rsidRDefault="00FC36AA" w:rsidP="00FC36AA">
      <w:pPr>
        <w:pStyle w:val="SingleTxt"/>
        <w:spacing w:after="0" w:line="120" w:lineRule="exact"/>
        <w:rPr>
          <w:sz w:val="10"/>
          <w:lang w:val="fr-FR" w:bidi="fr-FR"/>
        </w:rPr>
      </w:pPr>
    </w:p>
    <w:p w14:paraId="42A71BE5" w14:textId="658315FA"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rFonts w:hint="eastAsia"/>
          <w:lang w:val="fr-FR" w:bidi="fr-FR"/>
        </w:rPr>
        <w:tab/>
      </w:r>
      <w:r w:rsidRPr="0046567B">
        <w:rPr>
          <w:rFonts w:hint="eastAsia"/>
          <w:lang w:val="fr-FR" w:bidi="fr-FR"/>
        </w:rPr>
        <w:tab/>
        <w:t>Réserve</w:t>
      </w:r>
    </w:p>
    <w:p w14:paraId="70EF0FDA" w14:textId="1E401DF3" w:rsidR="00FC36AA" w:rsidRPr="0046567B" w:rsidRDefault="00FC36AA" w:rsidP="00FC36AA">
      <w:pPr>
        <w:pStyle w:val="SingleTxt"/>
        <w:spacing w:after="0" w:line="120" w:lineRule="exact"/>
        <w:rPr>
          <w:sz w:val="10"/>
          <w:lang w:val="fr-FR" w:bidi="fr-FR"/>
        </w:rPr>
      </w:pPr>
    </w:p>
    <w:p w14:paraId="1CC9C194" w14:textId="03141D7E" w:rsidR="00FC36AA" w:rsidRPr="0046567B" w:rsidRDefault="00FC36AA" w:rsidP="00FC36AA">
      <w:pPr>
        <w:pStyle w:val="SingleTxt"/>
        <w:spacing w:after="0" w:line="120" w:lineRule="exact"/>
        <w:rPr>
          <w:sz w:val="10"/>
          <w:lang w:val="fr-FR" w:bidi="fr-FR"/>
        </w:rPr>
      </w:pPr>
    </w:p>
    <w:p w14:paraId="1FE5FE01" w14:textId="56E1A266"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Les positions du Gouvernement restent les mêmes que celles présentées au titre du même article du rapport précédent en ce qui concerne les mesures visant à améliorer les intérêts et le bien-être des femmes, ainsi que les mesures spéciales prévues dans le cadre de l</w:t>
      </w:r>
      <w:r w:rsidR="00FB11B3" w:rsidRPr="0046567B">
        <w:rPr>
          <w:lang w:val="fr-FR" w:bidi="fr-FR"/>
        </w:rPr>
        <w:t>’</w:t>
      </w:r>
      <w:r w:rsidRPr="0046567B">
        <w:rPr>
          <w:lang w:val="fr-FR" w:bidi="fr-FR"/>
        </w:rPr>
        <w:t>ordonnance sur la discrimination sexuelle et de la protection de la maternité.</w:t>
      </w:r>
    </w:p>
    <w:p w14:paraId="589A5E5E" w14:textId="35231A7C" w:rsidR="00FC36AA" w:rsidRPr="0046567B" w:rsidRDefault="00FC36AA" w:rsidP="00FC36AA">
      <w:pPr>
        <w:pStyle w:val="SingleTxt"/>
        <w:spacing w:after="0" w:line="120" w:lineRule="exact"/>
        <w:rPr>
          <w:sz w:val="10"/>
          <w:lang w:val="fr-FR" w:bidi="fr-FR"/>
        </w:rPr>
      </w:pPr>
    </w:p>
    <w:p w14:paraId="1EBBD4D3" w14:textId="26E06AF6" w:rsidR="00FC36AA" w:rsidRPr="0046567B" w:rsidRDefault="00FC36AA" w:rsidP="00FC36AA">
      <w:pPr>
        <w:pStyle w:val="SingleTxt"/>
        <w:spacing w:after="0" w:line="120" w:lineRule="exact"/>
        <w:rPr>
          <w:sz w:val="10"/>
          <w:lang w:val="fr-FR"/>
        </w:rPr>
      </w:pPr>
    </w:p>
    <w:p w14:paraId="554E2FB9" w14:textId="31CE255A" w:rsidR="00FC36AA" w:rsidRPr="0046567B" w:rsidRDefault="00FC36AA" w:rsidP="00FC36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Article</w:t>
      </w:r>
      <w:r w:rsidR="002A20B0" w:rsidRPr="0046567B">
        <w:rPr>
          <w:lang w:val="fr-FR" w:bidi="fr-FR"/>
        </w:rPr>
        <w:t xml:space="preserve"> </w:t>
      </w:r>
      <w:r w:rsidRPr="0046567B">
        <w:rPr>
          <w:lang w:val="fr-FR" w:bidi="fr-FR"/>
        </w:rPr>
        <w:t xml:space="preserve">5 </w:t>
      </w:r>
      <w:r w:rsidR="00A55DB4" w:rsidRPr="0046567B">
        <w:rPr>
          <w:lang w:val="fr-FR" w:bidi="fr-FR"/>
        </w:rPr>
        <w:t>–</w:t>
      </w:r>
      <w:r w:rsidRPr="0046567B">
        <w:rPr>
          <w:lang w:val="fr-FR" w:bidi="fr-FR"/>
        </w:rPr>
        <w:t xml:space="preserve"> Stéréotypes et préjugés</w:t>
      </w:r>
      <w:bookmarkStart w:id="9" w:name="_ARTICLE_6:_EXPLOITATION_OF_WOMEN"/>
      <w:bookmarkEnd w:id="9"/>
    </w:p>
    <w:p w14:paraId="794ABE31" w14:textId="77E76237" w:rsidR="00FC36AA" w:rsidRPr="0046567B" w:rsidRDefault="00FC36AA" w:rsidP="00FC36AA">
      <w:pPr>
        <w:pStyle w:val="SingleTxt"/>
        <w:spacing w:after="0" w:line="120" w:lineRule="exact"/>
        <w:rPr>
          <w:sz w:val="10"/>
          <w:lang w:val="fr-FR" w:bidi="fr-FR"/>
        </w:rPr>
      </w:pPr>
    </w:p>
    <w:p w14:paraId="02AFDFFB" w14:textId="3030475F" w:rsidR="00FC36AA" w:rsidRPr="0046567B" w:rsidRDefault="00FC36AA" w:rsidP="00FC36AA">
      <w:pPr>
        <w:pStyle w:val="SingleTxt"/>
        <w:spacing w:after="0" w:line="120" w:lineRule="exact"/>
        <w:rPr>
          <w:sz w:val="10"/>
          <w:lang w:val="fr-FR" w:bidi="fr-FR"/>
        </w:rPr>
      </w:pPr>
    </w:p>
    <w:p w14:paraId="3389B15C" w14:textId="6C85427F"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Révision des infractions sexuelles</w:t>
      </w:r>
    </w:p>
    <w:p w14:paraId="4F54FCF2" w14:textId="0A789EAB" w:rsidR="00FC36AA" w:rsidRPr="0046567B" w:rsidRDefault="00FC36AA" w:rsidP="00FC36AA">
      <w:pPr>
        <w:pStyle w:val="SingleTxt"/>
        <w:spacing w:after="0" w:line="120" w:lineRule="exact"/>
        <w:rPr>
          <w:sz w:val="10"/>
          <w:lang w:val="fr-FR" w:bidi="fr-FR"/>
        </w:rPr>
      </w:pPr>
    </w:p>
    <w:p w14:paraId="506BB5ED" w14:textId="4F2F1A97" w:rsidR="00FC36AA" w:rsidRPr="0046567B" w:rsidRDefault="00FC36AA" w:rsidP="00FC36AA">
      <w:pPr>
        <w:pStyle w:val="SingleTxt"/>
        <w:spacing w:after="0" w:line="120" w:lineRule="exact"/>
        <w:rPr>
          <w:sz w:val="10"/>
          <w:lang w:val="fr-FR" w:bidi="fr-FR"/>
        </w:rPr>
      </w:pPr>
    </w:p>
    <w:p w14:paraId="4465F881" w14:textId="4F51BF88" w:rsidR="00FC36AA" w:rsidRPr="0046567B" w:rsidRDefault="00FC36AA" w:rsidP="00FC36AA">
      <w:pPr>
        <w:pStyle w:val="SingleTxt"/>
        <w:numPr>
          <w:ilvl w:val="0"/>
          <w:numId w:val="32"/>
        </w:numPr>
        <w:spacing w:line="240" w:lineRule="exact"/>
        <w:ind w:left="1267" w:firstLine="0"/>
        <w:rPr>
          <w:lang w:val="fr-FR"/>
        </w:rPr>
      </w:pPr>
      <w:r w:rsidRPr="0046567B">
        <w:rPr>
          <w:lang w:val="fr-FR" w:bidi="fr-FR"/>
        </w:rPr>
        <w:t>Aux paragraphes</w:t>
      </w:r>
      <w:r w:rsidR="002A20B0" w:rsidRPr="0046567B">
        <w:rPr>
          <w:lang w:val="fr-FR" w:bidi="fr-FR"/>
        </w:rPr>
        <w:t xml:space="preserve"> </w:t>
      </w:r>
      <w:r w:rsidRPr="0046567B">
        <w:rPr>
          <w:lang w:val="fr-FR" w:bidi="fr-FR"/>
        </w:rPr>
        <w:t>55 et</w:t>
      </w:r>
      <w:r w:rsidR="002A20B0" w:rsidRPr="0046567B">
        <w:rPr>
          <w:lang w:val="fr-FR" w:bidi="fr-FR"/>
        </w:rPr>
        <w:t xml:space="preserve"> </w:t>
      </w:r>
      <w:r w:rsidRPr="0046567B">
        <w:rPr>
          <w:lang w:val="fr-FR" w:bidi="fr-FR"/>
        </w:rPr>
        <w:t>56 de ses observations finales précédentes, le Comité a fait part de ses préoccupations concernant la révision des infractions sexuelles par la Commission de la réforme législative. Les principaux points relatifs aux divers domaines concernés par cette révision sont présentés à l</w:t>
      </w:r>
      <w:r w:rsidR="00FB11B3" w:rsidRPr="0046567B">
        <w:rPr>
          <w:lang w:val="fr-FR" w:bidi="fr-FR"/>
        </w:rPr>
        <w:t>’</w:t>
      </w:r>
      <w:r w:rsidRPr="0046567B">
        <w:rPr>
          <w:lang w:val="fr-FR" w:bidi="fr-FR"/>
        </w:rPr>
        <w:t>annexe</w:t>
      </w:r>
      <w:r w:rsidR="002A20B0" w:rsidRPr="0046567B">
        <w:rPr>
          <w:lang w:val="fr-FR" w:bidi="fr-FR"/>
        </w:rPr>
        <w:t xml:space="preserve"> </w:t>
      </w:r>
      <w:r w:rsidRPr="0046567B">
        <w:rPr>
          <w:lang w:val="fr-FR" w:bidi="fr-FR"/>
        </w:rPr>
        <w:t>5A du présent rapport.</w:t>
      </w:r>
    </w:p>
    <w:p w14:paraId="32CA2A87" w14:textId="10CE553D" w:rsidR="00FC36AA" w:rsidRPr="0046567B" w:rsidRDefault="00FC36AA" w:rsidP="00FC36AA">
      <w:pPr>
        <w:pStyle w:val="SingleTxt"/>
        <w:spacing w:after="0" w:line="120" w:lineRule="exact"/>
        <w:rPr>
          <w:sz w:val="10"/>
          <w:lang w:val="fr-FR" w:bidi="fr-FR"/>
        </w:rPr>
      </w:pPr>
    </w:p>
    <w:p w14:paraId="56A8B09E" w14:textId="208C84BA" w:rsidR="00FC36AA" w:rsidRPr="0046567B" w:rsidRDefault="00FC36AA" w:rsidP="00FC36AA">
      <w:pPr>
        <w:pStyle w:val="SingleTxt"/>
        <w:spacing w:after="0" w:line="120" w:lineRule="exact"/>
        <w:rPr>
          <w:sz w:val="10"/>
          <w:lang w:val="fr-FR"/>
        </w:rPr>
      </w:pPr>
    </w:p>
    <w:p w14:paraId="16FB3DCA" w14:textId="788AE8C3" w:rsidR="00FC36AA" w:rsidRPr="0046567B" w:rsidRDefault="00FC36AA" w:rsidP="00FC36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Mesures visant à </w:t>
      </w:r>
      <w:r w:rsidRPr="0046567B">
        <w:rPr>
          <w:rFonts w:hint="eastAsia"/>
          <w:lang w:val="fr-FR" w:bidi="fr-FR"/>
        </w:rPr>
        <w:t>éliminer</w:t>
      </w:r>
      <w:r w:rsidRPr="0046567B">
        <w:rPr>
          <w:lang w:val="fr-FR" w:bidi="fr-FR"/>
        </w:rPr>
        <w:t xml:space="preserve"> la discrimination fondée</w:t>
      </w:r>
      <w:r w:rsidRPr="0046567B">
        <w:rPr>
          <w:lang w:val="fr-FR" w:bidi="fr-FR"/>
        </w:rPr>
        <w:br/>
        <w:t>sur l</w:t>
      </w:r>
      <w:r w:rsidR="00FB11B3" w:rsidRPr="0046567B">
        <w:rPr>
          <w:lang w:val="fr-FR" w:bidi="fr-FR"/>
        </w:rPr>
        <w:t>’</w:t>
      </w:r>
      <w:r w:rsidRPr="0046567B">
        <w:rPr>
          <w:lang w:val="fr-FR" w:bidi="fr-FR"/>
        </w:rPr>
        <w:t>orientation sexuelle et l</w:t>
      </w:r>
      <w:r w:rsidR="00FB11B3" w:rsidRPr="0046567B">
        <w:rPr>
          <w:lang w:val="fr-FR" w:bidi="fr-FR"/>
        </w:rPr>
        <w:t>’</w:t>
      </w:r>
      <w:r w:rsidRPr="0046567B">
        <w:rPr>
          <w:lang w:val="fr-FR" w:bidi="fr-FR"/>
        </w:rPr>
        <w:t>identité de genre</w:t>
      </w:r>
    </w:p>
    <w:p w14:paraId="526B8B09" w14:textId="02C1AEF7" w:rsidR="00B408C7" w:rsidRPr="0046567B" w:rsidRDefault="00B408C7" w:rsidP="00B408C7">
      <w:pPr>
        <w:pStyle w:val="SingleTxt"/>
        <w:spacing w:after="0" w:line="120" w:lineRule="exact"/>
        <w:rPr>
          <w:sz w:val="10"/>
          <w:lang w:val="fr-FR" w:bidi="fr-FR"/>
        </w:rPr>
      </w:pPr>
    </w:p>
    <w:p w14:paraId="5B61F346" w14:textId="57BEB174" w:rsidR="00B408C7" w:rsidRPr="0046567B" w:rsidRDefault="00B408C7" w:rsidP="00B408C7">
      <w:pPr>
        <w:pStyle w:val="SingleTxt"/>
        <w:spacing w:after="0" w:line="120" w:lineRule="exact"/>
        <w:rPr>
          <w:sz w:val="10"/>
          <w:lang w:val="fr-FR" w:bidi="fr-FR"/>
        </w:rPr>
      </w:pPr>
    </w:p>
    <w:p w14:paraId="3F7E2874" w14:textId="2042074F"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Aux paragraphes</w:t>
      </w:r>
      <w:r w:rsidR="002A20B0" w:rsidRPr="0046567B">
        <w:rPr>
          <w:lang w:val="fr-FR" w:bidi="fr-FR"/>
        </w:rPr>
        <w:t xml:space="preserve"> </w:t>
      </w:r>
      <w:r w:rsidRPr="0046567B">
        <w:rPr>
          <w:lang w:val="fr-FR" w:bidi="fr-FR"/>
        </w:rPr>
        <w:t>68 et</w:t>
      </w:r>
      <w:r w:rsidR="002A20B0" w:rsidRPr="0046567B">
        <w:rPr>
          <w:lang w:val="fr-FR" w:bidi="fr-FR"/>
        </w:rPr>
        <w:t xml:space="preserve"> </w:t>
      </w:r>
      <w:r w:rsidRPr="0046567B">
        <w:rPr>
          <w:lang w:val="fr-FR" w:bidi="fr-FR"/>
        </w:rPr>
        <w:t>69 de ses précédentes observations finales, le Comité a exhorté la Région administrative spéciale de Hong Kong à redoubler d</w:t>
      </w:r>
      <w:r w:rsidR="00FB11B3" w:rsidRPr="0046567B">
        <w:rPr>
          <w:lang w:val="fr-FR" w:bidi="fr-FR"/>
        </w:rPr>
        <w:t>’</w:t>
      </w:r>
      <w:r w:rsidRPr="0046567B">
        <w:rPr>
          <w:lang w:val="fr-FR" w:bidi="fr-FR"/>
        </w:rPr>
        <w:t xml:space="preserve">efforts pour </w:t>
      </w:r>
      <w:r w:rsidRPr="0046567B">
        <w:rPr>
          <w:rFonts w:hint="eastAsia"/>
          <w:lang w:val="fr-FR" w:bidi="fr-FR"/>
        </w:rPr>
        <w:t>éliminer</w:t>
      </w:r>
      <w:r w:rsidRPr="0046567B">
        <w:rPr>
          <w:lang w:val="fr-FR" w:bidi="fr-FR"/>
        </w:rPr>
        <w:t xml:space="preserve"> la discrimination à l</w:t>
      </w:r>
      <w:r w:rsidR="00FB11B3" w:rsidRPr="0046567B">
        <w:rPr>
          <w:lang w:val="fr-FR" w:bidi="fr-FR"/>
        </w:rPr>
        <w:t>’</w:t>
      </w:r>
      <w:r w:rsidRPr="0046567B">
        <w:rPr>
          <w:lang w:val="fr-FR" w:bidi="fr-FR"/>
        </w:rPr>
        <w:t xml:space="preserve">égard des femmes lesbiennes, </w:t>
      </w:r>
      <w:r w:rsidRPr="0046567B">
        <w:rPr>
          <w:rFonts w:hint="eastAsia"/>
          <w:lang w:val="fr-FR" w:bidi="fr-FR"/>
        </w:rPr>
        <w:t>transsexuelles</w:t>
      </w:r>
      <w:r w:rsidRPr="0046567B">
        <w:rPr>
          <w:lang w:val="fr-FR" w:bidi="fr-FR"/>
        </w:rPr>
        <w:t xml:space="preserve"> et transgenres dans l</w:t>
      </w:r>
      <w:r w:rsidR="00FB11B3" w:rsidRPr="0046567B">
        <w:rPr>
          <w:lang w:val="fr-FR" w:bidi="fr-FR"/>
        </w:rPr>
        <w:t>’</w:t>
      </w:r>
      <w:r w:rsidRPr="0046567B">
        <w:rPr>
          <w:lang w:val="fr-FR" w:bidi="fr-FR"/>
        </w:rPr>
        <w:t>emploi, l</w:t>
      </w:r>
      <w:r w:rsidR="00FB11B3" w:rsidRPr="0046567B">
        <w:rPr>
          <w:lang w:val="fr-FR" w:bidi="fr-FR"/>
        </w:rPr>
        <w:t>’</w:t>
      </w:r>
      <w:r w:rsidRPr="0046567B">
        <w:rPr>
          <w:lang w:val="fr-FR" w:bidi="fr-FR"/>
        </w:rPr>
        <w:t>éducation et l</w:t>
      </w:r>
      <w:r w:rsidR="00FB11B3" w:rsidRPr="0046567B">
        <w:rPr>
          <w:lang w:val="fr-FR" w:bidi="fr-FR"/>
        </w:rPr>
        <w:t>’</w:t>
      </w:r>
      <w:r w:rsidRPr="0046567B">
        <w:rPr>
          <w:lang w:val="fr-FR" w:bidi="fr-FR"/>
        </w:rPr>
        <w:t>accès aux soins de santé. Le Gouvernement s</w:t>
      </w:r>
      <w:r w:rsidR="00FB11B3" w:rsidRPr="0046567B">
        <w:rPr>
          <w:lang w:val="fr-FR" w:bidi="fr-FR"/>
        </w:rPr>
        <w:t>’</w:t>
      </w:r>
      <w:r w:rsidRPr="0046567B">
        <w:rPr>
          <w:lang w:val="fr-FR" w:bidi="fr-FR"/>
        </w:rPr>
        <w:t>est toujours engagé à promouvoir l</w:t>
      </w:r>
      <w:r w:rsidR="00FB11B3" w:rsidRPr="0046567B">
        <w:rPr>
          <w:lang w:val="fr-FR" w:bidi="fr-FR"/>
        </w:rPr>
        <w:t>’</w:t>
      </w:r>
      <w:r w:rsidRPr="0046567B">
        <w:rPr>
          <w:lang w:val="fr-FR" w:bidi="fr-FR"/>
        </w:rPr>
        <w:t>égalité des chances pour les personnes ayant une orientation sexuelle et une identité de genre différentes, y compris à l</w:t>
      </w:r>
      <w:r w:rsidR="00FB11B3" w:rsidRPr="0046567B">
        <w:rPr>
          <w:lang w:val="fr-FR" w:bidi="fr-FR"/>
        </w:rPr>
        <w:t>’</w:t>
      </w:r>
      <w:r w:rsidRPr="0046567B">
        <w:rPr>
          <w:lang w:val="fr-FR" w:bidi="fr-FR"/>
        </w:rPr>
        <w:t xml:space="preserve">égard </w:t>
      </w:r>
      <w:r w:rsidRPr="0046567B">
        <w:rPr>
          <w:rFonts w:hint="eastAsia"/>
          <w:lang w:val="fr-FR" w:bidi="fr-FR"/>
        </w:rPr>
        <w:t xml:space="preserve">des </w:t>
      </w:r>
      <w:r w:rsidRPr="0046567B">
        <w:rPr>
          <w:lang w:val="fr-FR" w:bidi="fr-FR"/>
        </w:rPr>
        <w:t xml:space="preserve">femmes </w:t>
      </w:r>
      <w:r w:rsidRPr="0046567B">
        <w:rPr>
          <w:rFonts w:hint="eastAsia"/>
          <w:lang w:val="fr-FR" w:bidi="fr-FR"/>
        </w:rPr>
        <w:t>lesbiennes</w:t>
      </w:r>
      <w:r w:rsidRPr="0046567B">
        <w:rPr>
          <w:lang w:val="fr-FR" w:bidi="fr-FR"/>
        </w:rPr>
        <w:t>, transsexuelles</w:t>
      </w:r>
      <w:r w:rsidRPr="0046567B">
        <w:rPr>
          <w:rFonts w:hint="eastAsia"/>
          <w:lang w:val="fr-FR" w:bidi="fr-FR"/>
        </w:rPr>
        <w:t xml:space="preserve"> et transgenres</w:t>
      </w:r>
      <w:r w:rsidRPr="0046567B">
        <w:rPr>
          <w:lang w:val="fr-FR" w:bidi="fr-FR"/>
        </w:rPr>
        <w:t>, avec pour objectif d</w:t>
      </w:r>
      <w:r w:rsidR="00FB11B3" w:rsidRPr="0046567B">
        <w:rPr>
          <w:lang w:val="fr-FR" w:bidi="fr-FR"/>
        </w:rPr>
        <w:t>’</w:t>
      </w:r>
      <w:r w:rsidRPr="0046567B">
        <w:rPr>
          <w:lang w:val="fr-FR" w:bidi="fr-FR"/>
        </w:rPr>
        <w:t>enrichir la culture, les valeurs d</w:t>
      </w:r>
      <w:r w:rsidR="00FB11B3" w:rsidRPr="0046567B">
        <w:rPr>
          <w:lang w:val="fr-FR" w:bidi="fr-FR"/>
        </w:rPr>
        <w:t>’</w:t>
      </w:r>
      <w:r w:rsidRPr="0046567B">
        <w:rPr>
          <w:lang w:val="fr-FR" w:bidi="fr-FR"/>
        </w:rPr>
        <w:t>inclusion et le respect mutuel au sein de la communauté.</w:t>
      </w:r>
    </w:p>
    <w:p w14:paraId="65E2BB36" w14:textId="4D3A6689"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Groupe consultatif sur l</w:t>
      </w:r>
      <w:r w:rsidR="00FB11B3" w:rsidRPr="0046567B">
        <w:rPr>
          <w:lang w:val="fr-FR" w:bidi="fr-FR"/>
        </w:rPr>
        <w:t>’</w:t>
      </w:r>
      <w:r w:rsidRPr="0046567B">
        <w:rPr>
          <w:lang w:val="fr-FR" w:bidi="fr-FR"/>
        </w:rPr>
        <w:t>élimination de la discrimination à l</w:t>
      </w:r>
      <w:r w:rsidR="00FB11B3" w:rsidRPr="0046567B">
        <w:rPr>
          <w:lang w:val="fr-FR" w:bidi="fr-FR"/>
        </w:rPr>
        <w:t>’</w:t>
      </w:r>
      <w:r w:rsidRPr="0046567B">
        <w:rPr>
          <w:lang w:val="fr-FR" w:bidi="fr-FR"/>
        </w:rPr>
        <w:t>égard des minorités sexuelles a été créé en juin</w:t>
      </w:r>
      <w:r w:rsidR="002A20B0" w:rsidRPr="0046567B">
        <w:rPr>
          <w:lang w:val="fr-FR" w:bidi="fr-FR"/>
        </w:rPr>
        <w:t xml:space="preserve"> </w:t>
      </w:r>
      <w:r w:rsidRPr="0046567B">
        <w:rPr>
          <w:lang w:val="fr-FR" w:bidi="fr-FR"/>
        </w:rPr>
        <w:t>2013 pour donner des conseils sur les questions de discriminations auxquelles sont confrontées les minorités sexuelles à Hong Kong, ainsi que sur les aspects et l</w:t>
      </w:r>
      <w:r w:rsidR="00FB11B3" w:rsidRPr="0046567B">
        <w:rPr>
          <w:lang w:val="fr-FR" w:bidi="fr-FR"/>
        </w:rPr>
        <w:t>’</w:t>
      </w:r>
      <w:r w:rsidRPr="0046567B">
        <w:rPr>
          <w:lang w:val="fr-FR" w:bidi="fr-FR"/>
        </w:rPr>
        <w:t>étendue de ces discriminations. Le Gouvernement a activement donné suite aux recommandations du Groupe consultatif, notamment en mettant en place des moyens de formation, en élaborant une charte volontaire sur la non-discrimination, en améliorant l</w:t>
      </w:r>
      <w:r w:rsidR="00FB11B3" w:rsidRPr="0046567B">
        <w:rPr>
          <w:lang w:val="fr-FR" w:bidi="fr-FR"/>
        </w:rPr>
        <w:t>’</w:t>
      </w:r>
      <w:r w:rsidRPr="0046567B">
        <w:rPr>
          <w:lang w:val="fr-FR" w:bidi="fr-FR"/>
        </w:rPr>
        <w:t>éducation et la sensibilisation du public, en renforçant les services d</w:t>
      </w:r>
      <w:r w:rsidR="00FB11B3" w:rsidRPr="0046567B">
        <w:rPr>
          <w:lang w:val="fr-FR" w:bidi="fr-FR"/>
        </w:rPr>
        <w:t>’</w:t>
      </w:r>
      <w:r w:rsidRPr="0046567B">
        <w:rPr>
          <w:lang w:val="fr-FR" w:bidi="fr-FR"/>
        </w:rPr>
        <w:t>aide et en menant une étude plus approfondie sur les mesures prises par d</w:t>
      </w:r>
      <w:r w:rsidR="00FB11B3" w:rsidRPr="0046567B">
        <w:rPr>
          <w:lang w:val="fr-FR" w:bidi="fr-FR"/>
        </w:rPr>
        <w:t>’</w:t>
      </w:r>
      <w:r w:rsidRPr="0046567B">
        <w:rPr>
          <w:lang w:val="fr-FR" w:bidi="fr-FR"/>
        </w:rPr>
        <w:t>autres autorités. Au cours des cinq dernières années, nous avons alloué un total de 9,8</w:t>
      </w:r>
      <w:r w:rsidR="002A20B0" w:rsidRPr="0046567B">
        <w:rPr>
          <w:lang w:val="fr-FR" w:bidi="fr-FR"/>
        </w:rPr>
        <w:t xml:space="preserve"> </w:t>
      </w:r>
      <w:r w:rsidRPr="0046567B">
        <w:rPr>
          <w:lang w:val="fr-FR" w:bidi="fr-FR"/>
        </w:rPr>
        <w:t>millions de dollars aux programmes de sensibilisation et d</w:t>
      </w:r>
      <w:r w:rsidR="00FB11B3" w:rsidRPr="0046567B">
        <w:rPr>
          <w:lang w:val="fr-FR" w:bidi="fr-FR"/>
        </w:rPr>
        <w:t>’</w:t>
      </w:r>
      <w:r w:rsidRPr="0046567B">
        <w:rPr>
          <w:lang w:val="fr-FR" w:bidi="fr-FR"/>
        </w:rPr>
        <w:t>éducation, ainsi que 4</w:t>
      </w:r>
      <w:r w:rsidR="002A20B0" w:rsidRPr="0046567B">
        <w:rPr>
          <w:lang w:val="fr-FR" w:bidi="fr-FR"/>
        </w:rPr>
        <w:t xml:space="preserve"> </w:t>
      </w:r>
      <w:r w:rsidRPr="0046567B">
        <w:rPr>
          <w:lang w:val="fr-FR" w:bidi="fr-FR"/>
        </w:rPr>
        <w:t>millions de dollars au programme de financement de l</w:t>
      </w:r>
      <w:r w:rsidR="00FB11B3" w:rsidRPr="0046567B">
        <w:rPr>
          <w:lang w:val="fr-FR" w:bidi="fr-FR"/>
        </w:rPr>
        <w:t>’</w:t>
      </w:r>
      <w:r w:rsidRPr="0046567B">
        <w:rPr>
          <w:lang w:val="fr-FR" w:bidi="fr-FR"/>
        </w:rPr>
        <w:t>égalité des chances (orientation sexuelle), afin de contribuer à des projets communautaires porteurs visant à promouvoir l</w:t>
      </w:r>
      <w:r w:rsidR="00FB11B3" w:rsidRPr="0046567B">
        <w:rPr>
          <w:lang w:val="fr-FR" w:bidi="fr-FR"/>
        </w:rPr>
        <w:t>’</w:t>
      </w:r>
      <w:r w:rsidRPr="0046567B">
        <w:rPr>
          <w:lang w:val="fr-FR" w:bidi="fr-FR"/>
        </w:rPr>
        <w:t>égalité des chances pour les minorités sexuelles. En outre, le Gouvernement poursuit ses efforts visant à promouvoir la non-discrimination sur le lieu de travail, en incitant les employeurs de Hong Kong à adopter le Code de bonnes pratiques contre la discrimination dans l</w:t>
      </w:r>
      <w:r w:rsidR="00FB11B3" w:rsidRPr="0046567B">
        <w:rPr>
          <w:lang w:val="fr-FR" w:bidi="fr-FR"/>
        </w:rPr>
        <w:t>’</w:t>
      </w:r>
      <w:r w:rsidRPr="0046567B">
        <w:rPr>
          <w:lang w:val="fr-FR" w:bidi="fr-FR"/>
        </w:rPr>
        <w:t>emploi fondée sur l</w:t>
      </w:r>
      <w:r w:rsidR="00FB11B3" w:rsidRPr="0046567B">
        <w:rPr>
          <w:lang w:val="fr-FR" w:bidi="fr-FR"/>
        </w:rPr>
        <w:t>’</w:t>
      </w:r>
      <w:r w:rsidRPr="0046567B">
        <w:rPr>
          <w:lang w:val="fr-FR" w:bidi="fr-FR"/>
        </w:rPr>
        <w:t>orientation sexuelle.</w:t>
      </w:r>
    </w:p>
    <w:p w14:paraId="4634F4FD" w14:textId="061A5538" w:rsidR="00FC36AA" w:rsidRPr="0046567B" w:rsidRDefault="00FC36AA" w:rsidP="00B408C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bidi="fr-FR"/>
        </w:rPr>
      </w:pPr>
      <w:r w:rsidRPr="0046567B">
        <w:rPr>
          <w:lang w:val="fr-FR" w:bidi="fr-FR"/>
        </w:rPr>
        <w:tab/>
      </w:r>
      <w:r w:rsidRPr="0046567B">
        <w:rPr>
          <w:lang w:val="fr-FR" w:bidi="fr-FR"/>
        </w:rPr>
        <w:tab/>
        <w:t>Sensibilisation</w:t>
      </w:r>
    </w:p>
    <w:p w14:paraId="3B43F0E1" w14:textId="2861F236" w:rsidR="00B408C7" w:rsidRPr="0046567B" w:rsidRDefault="00B408C7" w:rsidP="00B408C7">
      <w:pPr>
        <w:pStyle w:val="SingleTxt"/>
        <w:spacing w:after="0" w:line="120" w:lineRule="exact"/>
        <w:rPr>
          <w:sz w:val="10"/>
          <w:lang w:val="fr-FR" w:bidi="fr-FR"/>
        </w:rPr>
      </w:pPr>
    </w:p>
    <w:p w14:paraId="5095C307" w14:textId="1C67D357" w:rsidR="00B408C7" w:rsidRPr="0046567B" w:rsidRDefault="00B408C7" w:rsidP="00B408C7">
      <w:pPr>
        <w:pStyle w:val="SingleTxt"/>
        <w:spacing w:after="0" w:line="120" w:lineRule="exact"/>
        <w:rPr>
          <w:sz w:val="10"/>
          <w:lang w:val="fr-FR" w:bidi="fr-FR"/>
        </w:rPr>
      </w:pPr>
    </w:p>
    <w:p w14:paraId="78A756BD" w14:textId="318ED8D3"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Promotion de la Convention</w:t>
      </w:r>
    </w:p>
    <w:p w14:paraId="5020D451" w14:textId="167E1413" w:rsidR="00B408C7" w:rsidRPr="0046567B" w:rsidRDefault="00B408C7" w:rsidP="00B408C7">
      <w:pPr>
        <w:pStyle w:val="SingleTxt"/>
        <w:spacing w:after="0" w:line="120" w:lineRule="exact"/>
        <w:rPr>
          <w:sz w:val="10"/>
          <w:lang w:val="fr-FR" w:bidi="fr-FR"/>
        </w:rPr>
      </w:pPr>
    </w:p>
    <w:p w14:paraId="46B77FC7" w14:textId="3069FCB3" w:rsidR="00FC36AA" w:rsidRPr="0046567B" w:rsidRDefault="00FC36AA" w:rsidP="00B408C7">
      <w:pPr>
        <w:pStyle w:val="SingleTxt"/>
        <w:numPr>
          <w:ilvl w:val="0"/>
          <w:numId w:val="32"/>
        </w:numPr>
        <w:spacing w:line="240" w:lineRule="exact"/>
        <w:ind w:left="1267" w:firstLine="0"/>
        <w:rPr>
          <w:lang w:val="fr-FR"/>
        </w:rPr>
      </w:pPr>
      <w:r w:rsidRPr="0046567B">
        <w:rPr>
          <w:rFonts w:hint="eastAsia"/>
          <w:lang w:val="fr-FR" w:bidi="fr-FR"/>
        </w:rPr>
        <w:t>Le Comité a recommandé, au paragraphe</w:t>
      </w:r>
      <w:r w:rsidR="002A20B0" w:rsidRPr="0046567B">
        <w:rPr>
          <w:lang w:val="fr-FR" w:bidi="fr-FR"/>
        </w:rPr>
        <w:t xml:space="preserve"> </w:t>
      </w:r>
      <w:r w:rsidRPr="0046567B">
        <w:rPr>
          <w:rFonts w:hint="eastAsia"/>
          <w:lang w:val="fr-FR" w:bidi="fr-FR"/>
        </w:rPr>
        <w:t>11 de ses précédentes</w:t>
      </w:r>
      <w:r w:rsidR="00F2347E" w:rsidRPr="0046567B">
        <w:rPr>
          <w:rFonts w:hint="eastAsia"/>
          <w:lang w:val="fr-FR" w:bidi="fr-FR"/>
        </w:rPr>
        <w:t xml:space="preserve"> </w:t>
      </w:r>
      <w:r w:rsidRPr="0046567B">
        <w:rPr>
          <w:rFonts w:hint="eastAsia"/>
          <w:lang w:val="fr-FR" w:bidi="fr-FR"/>
        </w:rPr>
        <w:t xml:space="preserve">observations </w:t>
      </w:r>
      <w:r w:rsidRPr="0046567B">
        <w:rPr>
          <w:lang w:val="fr-FR" w:bidi="fr-FR"/>
        </w:rPr>
        <w:t>finales,</w:t>
      </w:r>
      <w:r w:rsidRPr="0046567B">
        <w:rPr>
          <w:rFonts w:hint="eastAsia"/>
          <w:lang w:val="fr-FR" w:bidi="fr-FR"/>
        </w:rPr>
        <w:t xml:space="preserve"> que des efforts </w:t>
      </w:r>
      <w:r w:rsidRPr="0046567B">
        <w:rPr>
          <w:lang w:val="fr-FR" w:bidi="fr-FR"/>
        </w:rPr>
        <w:t>soient</w:t>
      </w:r>
      <w:r w:rsidRPr="0046567B">
        <w:rPr>
          <w:rFonts w:hint="eastAsia"/>
          <w:lang w:val="fr-FR" w:bidi="fr-FR"/>
        </w:rPr>
        <w:t xml:space="preserve"> faits pour intensifier la diffusion de la Convention et </w:t>
      </w:r>
      <w:r w:rsidRPr="0046567B">
        <w:rPr>
          <w:lang w:val="fr-FR" w:bidi="fr-FR"/>
        </w:rPr>
        <w:t xml:space="preserve">des recommandations </w:t>
      </w:r>
      <w:r w:rsidRPr="0046567B">
        <w:rPr>
          <w:rFonts w:hint="eastAsia"/>
          <w:lang w:val="fr-FR" w:bidi="fr-FR"/>
        </w:rPr>
        <w:t xml:space="preserve">générales </w:t>
      </w:r>
      <w:r w:rsidRPr="0046567B">
        <w:rPr>
          <w:lang w:val="fr-FR" w:bidi="fr-FR"/>
        </w:rPr>
        <w:t>du</w:t>
      </w:r>
      <w:r w:rsidRPr="0046567B">
        <w:rPr>
          <w:rFonts w:hint="eastAsia"/>
          <w:lang w:val="fr-FR" w:bidi="fr-FR"/>
        </w:rPr>
        <w:t xml:space="preserve"> Comité</w:t>
      </w:r>
      <w:r w:rsidRPr="0046567B">
        <w:rPr>
          <w:lang w:val="fr-FR" w:bidi="fr-FR"/>
        </w:rPr>
        <w:t>.</w:t>
      </w:r>
      <w:r w:rsidRPr="0046567B">
        <w:rPr>
          <w:rFonts w:hint="eastAsia"/>
          <w:lang w:val="fr-FR" w:bidi="fr-FR"/>
        </w:rPr>
        <w:t xml:space="preserve"> Le </w:t>
      </w:r>
      <w:r w:rsidRPr="0046567B">
        <w:rPr>
          <w:lang w:val="fr-FR" w:bidi="fr-FR"/>
        </w:rPr>
        <w:t>Gouvernement attache une grande importance à la promotion de la Convention et à la diffusion des observations finales du Comité. Ces activités font l</w:t>
      </w:r>
      <w:r w:rsidR="00FB11B3" w:rsidRPr="0046567B">
        <w:rPr>
          <w:lang w:val="fr-FR" w:bidi="fr-FR"/>
        </w:rPr>
        <w:t>’</w:t>
      </w:r>
      <w:r w:rsidRPr="0046567B">
        <w:rPr>
          <w:lang w:val="fr-FR" w:bidi="fr-FR"/>
        </w:rPr>
        <w:t>objet de</w:t>
      </w:r>
      <w:r w:rsidRPr="0046567B">
        <w:rPr>
          <w:rFonts w:hint="eastAsia"/>
          <w:lang w:val="fr-FR" w:bidi="fr-FR"/>
        </w:rPr>
        <w:t xml:space="preserve"> l</w:t>
      </w:r>
      <w:r w:rsidR="00FB11B3" w:rsidRPr="0046567B">
        <w:rPr>
          <w:lang w:val="fr-FR" w:bidi="fr-FR"/>
        </w:rPr>
        <w:t>’</w:t>
      </w:r>
      <w:r w:rsidRPr="0046567B">
        <w:rPr>
          <w:rFonts w:hint="eastAsia"/>
          <w:lang w:val="fr-FR" w:bidi="fr-FR"/>
        </w:rPr>
        <w:t>annexe 5B du présent rapport.</w:t>
      </w:r>
    </w:p>
    <w:p w14:paraId="44D4CEA8" w14:textId="47D2CE35" w:rsidR="00B408C7" w:rsidRPr="0046567B" w:rsidRDefault="00B408C7" w:rsidP="00B408C7">
      <w:pPr>
        <w:pStyle w:val="SingleTxt"/>
        <w:spacing w:after="0" w:line="120" w:lineRule="exact"/>
        <w:rPr>
          <w:sz w:val="10"/>
          <w:lang w:val="fr-FR" w:bidi="fr-FR"/>
        </w:rPr>
      </w:pPr>
    </w:p>
    <w:p w14:paraId="7D3DA057" w14:textId="403D28AF" w:rsidR="00B408C7" w:rsidRPr="0046567B" w:rsidRDefault="00B408C7" w:rsidP="00B408C7">
      <w:pPr>
        <w:pStyle w:val="SingleTxt"/>
        <w:spacing w:after="0" w:line="120" w:lineRule="exact"/>
        <w:rPr>
          <w:sz w:val="10"/>
          <w:lang w:val="fr-FR"/>
        </w:rPr>
      </w:pPr>
    </w:p>
    <w:p w14:paraId="08ADDD86" w14:textId="1C540062"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Lutte contre la pornographie et les éléments de discrimination sexuelle dans les médias</w:t>
      </w:r>
    </w:p>
    <w:p w14:paraId="5D9F7F66" w14:textId="27DC37A3" w:rsidR="00B408C7" w:rsidRPr="0046567B" w:rsidRDefault="00B408C7" w:rsidP="00B408C7">
      <w:pPr>
        <w:pStyle w:val="SingleTxt"/>
        <w:spacing w:after="0" w:line="120" w:lineRule="exact"/>
        <w:rPr>
          <w:sz w:val="10"/>
          <w:lang w:val="fr-FR" w:bidi="fr-FR"/>
        </w:rPr>
      </w:pPr>
    </w:p>
    <w:p w14:paraId="464F3F82" w14:textId="69442927" w:rsidR="00B408C7" w:rsidRPr="0046567B" w:rsidRDefault="00B408C7" w:rsidP="00B408C7">
      <w:pPr>
        <w:pStyle w:val="SingleTxt"/>
        <w:spacing w:after="0" w:line="120" w:lineRule="exact"/>
        <w:rPr>
          <w:sz w:val="10"/>
          <w:lang w:val="fr-FR" w:bidi="fr-FR"/>
        </w:rPr>
      </w:pPr>
    </w:p>
    <w:p w14:paraId="11180432" w14:textId="4D904E6A"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En ce qui concerne la lutte contre la pornographie et les éléments de discrimination sexuelle dans les médias, la position du Gouvernement reste globalement la même que celle exposée aux paragraphes</w:t>
      </w:r>
      <w:r w:rsidR="002A20B0" w:rsidRPr="0046567B">
        <w:rPr>
          <w:lang w:val="fr-FR" w:bidi="fr-FR"/>
        </w:rPr>
        <w:t xml:space="preserve"> </w:t>
      </w:r>
      <w:r w:rsidRPr="0046567B">
        <w:rPr>
          <w:lang w:val="fr-FR" w:bidi="fr-FR"/>
        </w:rPr>
        <w:t>49 à</w:t>
      </w:r>
      <w:r w:rsidR="002A20B0" w:rsidRPr="0046567B">
        <w:rPr>
          <w:lang w:val="fr-FR" w:bidi="fr-FR"/>
        </w:rPr>
        <w:t xml:space="preserve"> </w:t>
      </w:r>
      <w:r w:rsidRPr="0046567B">
        <w:rPr>
          <w:lang w:val="fr-FR" w:bidi="fr-FR"/>
        </w:rPr>
        <w:t>50 de la partie</w:t>
      </w:r>
      <w:r w:rsidR="002A20B0" w:rsidRPr="0046567B">
        <w:rPr>
          <w:lang w:val="fr-FR" w:bidi="fr-FR"/>
        </w:rPr>
        <w:t xml:space="preserve"> </w:t>
      </w:r>
      <w:r w:rsidRPr="0046567B">
        <w:rPr>
          <w:lang w:val="fr-FR" w:bidi="fr-FR"/>
        </w:rPr>
        <w:t>II du deuxième rapport et au paragraphe</w:t>
      </w:r>
      <w:r w:rsidR="002A20B0" w:rsidRPr="0046567B">
        <w:rPr>
          <w:lang w:val="fr-FR" w:bidi="fr-FR"/>
        </w:rPr>
        <w:t xml:space="preserve"> </w:t>
      </w:r>
      <w:r w:rsidRPr="0046567B">
        <w:rPr>
          <w:lang w:val="fr-FR" w:bidi="fr-FR"/>
        </w:rPr>
        <w:t>84 du rapport précédent, sauf à remplacer la référence à la régie de la radiodiffusion et de la télévision au paragraphe</w:t>
      </w:r>
      <w:r w:rsidR="002A20B0" w:rsidRPr="0046567B">
        <w:rPr>
          <w:lang w:val="fr-FR" w:bidi="fr-FR"/>
        </w:rPr>
        <w:t xml:space="preserve"> </w:t>
      </w:r>
      <w:r w:rsidRPr="0046567B">
        <w:rPr>
          <w:lang w:val="fr-FR" w:bidi="fr-FR"/>
        </w:rPr>
        <w:t>50 de la partie</w:t>
      </w:r>
      <w:r w:rsidR="00F2347E" w:rsidRPr="0046567B">
        <w:rPr>
          <w:lang w:val="fr-FR" w:bidi="fr-FR"/>
        </w:rPr>
        <w:t> </w:t>
      </w:r>
      <w:r w:rsidRPr="0046567B">
        <w:rPr>
          <w:lang w:val="fr-FR" w:bidi="fr-FR"/>
        </w:rPr>
        <w:t>II du deuxième rapport par l</w:t>
      </w:r>
      <w:r w:rsidR="00FB11B3" w:rsidRPr="0046567B">
        <w:rPr>
          <w:lang w:val="fr-FR" w:bidi="fr-FR"/>
        </w:rPr>
        <w:t>’</w:t>
      </w:r>
      <w:r w:rsidRPr="0046567B">
        <w:rPr>
          <w:lang w:val="fr-FR" w:bidi="fr-FR"/>
        </w:rPr>
        <w:t>autorité de la communication, créée en</w:t>
      </w:r>
      <w:r w:rsidR="002A20B0" w:rsidRPr="0046567B">
        <w:rPr>
          <w:lang w:val="fr-FR" w:bidi="fr-FR"/>
        </w:rPr>
        <w:t xml:space="preserve"> </w:t>
      </w:r>
      <w:r w:rsidRPr="0046567B">
        <w:rPr>
          <w:lang w:val="fr-FR" w:bidi="fr-FR"/>
        </w:rPr>
        <w:t>2012 en tant qu</w:t>
      </w:r>
      <w:r w:rsidR="00FB11B3" w:rsidRPr="0046567B">
        <w:rPr>
          <w:lang w:val="fr-FR" w:bidi="fr-FR"/>
        </w:rPr>
        <w:t>’</w:t>
      </w:r>
      <w:r w:rsidRPr="0046567B">
        <w:rPr>
          <w:lang w:val="fr-FR" w:bidi="fr-FR"/>
        </w:rPr>
        <w:t>organe régulateur des industries de la radiodiffusion et des télécommunications à Hong Kong.</w:t>
      </w:r>
    </w:p>
    <w:p w14:paraId="6165B393" w14:textId="42DFF20A"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En ce qui concerne la révision de l</w:t>
      </w:r>
      <w:r w:rsidR="00FB11B3" w:rsidRPr="0046567B">
        <w:rPr>
          <w:lang w:val="fr-FR" w:bidi="fr-FR"/>
        </w:rPr>
        <w:t>’</w:t>
      </w:r>
      <w:r w:rsidRPr="0046567B">
        <w:rPr>
          <w:lang w:val="fr-FR" w:bidi="fr-FR"/>
        </w:rPr>
        <w:t>ordonnance sur la lutte contre les articles obscènes et indécents (chap.</w:t>
      </w:r>
      <w:r w:rsidR="002A20B0" w:rsidRPr="0046567B">
        <w:rPr>
          <w:lang w:val="fr-FR" w:bidi="fr-FR"/>
        </w:rPr>
        <w:t> </w:t>
      </w:r>
      <w:r w:rsidRPr="0046567B">
        <w:rPr>
          <w:lang w:val="fr-FR" w:bidi="fr-FR"/>
        </w:rPr>
        <w:t>390) mentionnée dans le rapport précédent, le Gouvernement a mené une deuxième série de consultations publiques en</w:t>
      </w:r>
      <w:r w:rsidR="002A20B0" w:rsidRPr="0046567B">
        <w:rPr>
          <w:lang w:val="fr-FR" w:bidi="fr-FR"/>
        </w:rPr>
        <w:t xml:space="preserve"> </w:t>
      </w:r>
      <w:r w:rsidRPr="0046567B">
        <w:rPr>
          <w:lang w:val="fr-FR" w:bidi="fr-FR"/>
        </w:rPr>
        <w:t>2012. Après avoir tenu compte des avis reçus lors des deux séries de consultations publiques, le Gouvernement a proposé en</w:t>
      </w:r>
      <w:r w:rsidR="002A20B0" w:rsidRPr="0046567B">
        <w:rPr>
          <w:lang w:val="fr-FR" w:bidi="fr-FR"/>
        </w:rPr>
        <w:t xml:space="preserve"> </w:t>
      </w:r>
      <w:r w:rsidRPr="0046567B">
        <w:rPr>
          <w:lang w:val="fr-FR" w:bidi="fr-FR"/>
        </w:rPr>
        <w:t>2015 de mettre en œuvre un certain nombre de mesures législatives et administratives pour renforcer le dispositif de l</w:t>
      </w:r>
      <w:r w:rsidR="00FB11B3" w:rsidRPr="0046567B">
        <w:rPr>
          <w:lang w:val="fr-FR" w:bidi="fr-FR"/>
        </w:rPr>
        <w:t>’</w:t>
      </w:r>
      <w:r w:rsidRPr="0046567B">
        <w:rPr>
          <w:lang w:val="fr-FR" w:bidi="fr-FR"/>
        </w:rPr>
        <w:t>ordonnance sur la lutte contre les articles obscènes et indécents. Par exemple, en ce qui concerne la composition du tribunal chargé de statuer sur les articles obscènes, il a proposé d</w:t>
      </w:r>
      <w:r w:rsidR="00FB11B3" w:rsidRPr="0046567B">
        <w:rPr>
          <w:lang w:val="fr-FR" w:bidi="fr-FR"/>
        </w:rPr>
        <w:t>’</w:t>
      </w:r>
      <w:r w:rsidRPr="0046567B">
        <w:rPr>
          <w:lang w:val="fr-FR" w:bidi="fr-FR"/>
        </w:rPr>
        <w:t>augmenter le nombre de juges à chaque audience du tribunal afin d</w:t>
      </w:r>
      <w:r w:rsidR="00FB11B3" w:rsidRPr="0046567B">
        <w:rPr>
          <w:lang w:val="fr-FR" w:bidi="fr-FR"/>
        </w:rPr>
        <w:t>’</w:t>
      </w:r>
      <w:r w:rsidRPr="0046567B">
        <w:rPr>
          <w:lang w:val="fr-FR" w:bidi="fr-FR"/>
        </w:rPr>
        <w:t xml:space="preserve">en élargir la représentativité. </w:t>
      </w:r>
      <w:r w:rsidRPr="0046567B">
        <w:rPr>
          <w:rFonts w:hint="eastAsia"/>
          <w:lang w:val="fr-FR" w:bidi="fr-FR"/>
        </w:rPr>
        <w:t>En outre</w:t>
      </w:r>
      <w:r w:rsidRPr="0046567B">
        <w:rPr>
          <w:lang w:val="fr-FR" w:bidi="fr-FR"/>
        </w:rPr>
        <w:t>, il a proposé d</w:t>
      </w:r>
      <w:r w:rsidR="00FB11B3" w:rsidRPr="0046567B">
        <w:rPr>
          <w:lang w:val="fr-FR" w:bidi="fr-FR"/>
        </w:rPr>
        <w:t>’</w:t>
      </w:r>
      <w:r w:rsidRPr="0046567B">
        <w:rPr>
          <w:lang w:val="fr-FR" w:bidi="fr-FR"/>
        </w:rPr>
        <w:t>augmenter la peine maximale prévue par la loi afin de renforcer son effet dissuasif. Il travaille actuellement sur des amendements législatifs à l</w:t>
      </w:r>
      <w:r w:rsidR="00FB11B3" w:rsidRPr="0046567B">
        <w:rPr>
          <w:lang w:val="fr-FR" w:bidi="fr-FR"/>
        </w:rPr>
        <w:t>’</w:t>
      </w:r>
      <w:r w:rsidRPr="0046567B">
        <w:rPr>
          <w:lang w:val="fr-FR" w:bidi="fr-FR"/>
        </w:rPr>
        <w:t>ordonnance sur la lutte contre les articles obscènes et indécents.</w:t>
      </w:r>
    </w:p>
    <w:p w14:paraId="6C4D2A24" w14:textId="675693A6" w:rsidR="00B408C7" w:rsidRPr="0046567B" w:rsidRDefault="00B408C7" w:rsidP="00B408C7">
      <w:pPr>
        <w:pStyle w:val="SingleTxt"/>
        <w:spacing w:after="0" w:line="120" w:lineRule="exact"/>
        <w:rPr>
          <w:sz w:val="10"/>
          <w:lang w:val="fr-FR" w:bidi="fr-FR"/>
        </w:rPr>
      </w:pPr>
    </w:p>
    <w:p w14:paraId="15A6FE33" w14:textId="7404E1E8"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w:t>
      </w:r>
      <w:r w:rsidR="00FB11B3" w:rsidRPr="0046567B">
        <w:rPr>
          <w:lang w:val="fr-FR" w:bidi="fr-FR"/>
        </w:rPr>
        <w:t>’</w:t>
      </w:r>
      <w:r w:rsidRPr="0046567B">
        <w:rPr>
          <w:lang w:val="fr-FR" w:bidi="fr-FR"/>
        </w:rPr>
        <w:t>ordonnance sur la prévention de la pédopornographie (chap. 579)</w:t>
      </w:r>
    </w:p>
    <w:p w14:paraId="2A426413" w14:textId="5005F43C" w:rsidR="00B408C7" w:rsidRPr="0046567B" w:rsidRDefault="00B408C7" w:rsidP="00B408C7">
      <w:pPr>
        <w:pStyle w:val="SingleTxt"/>
        <w:spacing w:after="0" w:line="120" w:lineRule="exact"/>
        <w:rPr>
          <w:sz w:val="10"/>
          <w:lang w:val="fr-FR" w:bidi="fr-FR"/>
        </w:rPr>
      </w:pPr>
    </w:p>
    <w:p w14:paraId="42729E4E" w14:textId="5D6F0E4F"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La position du Gouvernement reste globalement la même que celle présentée aux paragraphes</w:t>
      </w:r>
      <w:r w:rsidR="002A20B0" w:rsidRPr="0046567B">
        <w:rPr>
          <w:lang w:val="fr-FR" w:bidi="fr-FR"/>
        </w:rPr>
        <w:t xml:space="preserve"> </w:t>
      </w:r>
      <w:r w:rsidRPr="0046567B">
        <w:rPr>
          <w:lang w:val="fr-FR" w:bidi="fr-FR"/>
        </w:rPr>
        <w:t>84 à 89 du rapport précédent. Afin de garantir que toutes les affaires de pédopornographie soient traitées de manière professionnelle, la police a publié en</w:t>
      </w:r>
      <w:r w:rsidR="00F2347E" w:rsidRPr="0046567B">
        <w:rPr>
          <w:lang w:val="fr-FR" w:bidi="fr-FR"/>
        </w:rPr>
        <w:t xml:space="preserve"> </w:t>
      </w:r>
      <w:r w:rsidRPr="0046567B">
        <w:rPr>
          <w:lang w:val="fr-FR" w:bidi="fr-FR"/>
        </w:rPr>
        <w:t>2015 le « Manuel pratique de l</w:t>
      </w:r>
      <w:r w:rsidR="00FB11B3" w:rsidRPr="0046567B">
        <w:rPr>
          <w:lang w:val="fr-FR" w:bidi="fr-FR"/>
        </w:rPr>
        <w:t>’</w:t>
      </w:r>
      <w:r w:rsidRPr="0046567B">
        <w:rPr>
          <w:lang w:val="fr-FR" w:bidi="fr-FR"/>
        </w:rPr>
        <w:t>ordonnance sur la prévention de la pédopornographie », à l</w:t>
      </w:r>
      <w:r w:rsidR="00FB11B3" w:rsidRPr="0046567B">
        <w:rPr>
          <w:lang w:val="fr-FR" w:bidi="fr-FR"/>
        </w:rPr>
        <w:t>’</w:t>
      </w:r>
      <w:r w:rsidRPr="0046567B">
        <w:rPr>
          <w:lang w:val="fr-FR" w:bidi="fr-FR"/>
        </w:rPr>
        <w:t>intention de l</w:t>
      </w:r>
      <w:r w:rsidR="00FB11B3" w:rsidRPr="0046567B">
        <w:rPr>
          <w:lang w:val="fr-FR" w:bidi="fr-FR"/>
        </w:rPr>
        <w:t>’</w:t>
      </w:r>
      <w:r w:rsidRPr="0046567B">
        <w:rPr>
          <w:lang w:val="fr-FR" w:bidi="fr-FR"/>
        </w:rPr>
        <w:t>ensemble de ses membres.</w:t>
      </w:r>
    </w:p>
    <w:p w14:paraId="77DB1489" w14:textId="2AAFD531" w:rsidR="00B408C7" w:rsidRPr="0046567B" w:rsidRDefault="00B408C7" w:rsidP="00B408C7">
      <w:pPr>
        <w:pStyle w:val="SingleTxt"/>
        <w:spacing w:after="0" w:line="120" w:lineRule="exact"/>
        <w:rPr>
          <w:sz w:val="10"/>
          <w:lang w:val="fr-FR" w:bidi="fr-FR"/>
        </w:rPr>
      </w:pPr>
    </w:p>
    <w:p w14:paraId="3692715F" w14:textId="2B1428AC" w:rsidR="00B408C7" w:rsidRPr="0046567B" w:rsidRDefault="00B408C7" w:rsidP="00B408C7">
      <w:pPr>
        <w:pStyle w:val="SingleTxt"/>
        <w:spacing w:after="0" w:line="120" w:lineRule="exact"/>
        <w:rPr>
          <w:sz w:val="10"/>
          <w:lang w:val="fr-FR"/>
        </w:rPr>
      </w:pPr>
    </w:p>
    <w:p w14:paraId="422FDD85" w14:textId="3E6B1EC7" w:rsidR="00FC36AA" w:rsidRPr="0046567B" w:rsidRDefault="00FC36AA" w:rsidP="00B408C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bidi="fr-FR"/>
        </w:rPr>
      </w:pPr>
      <w:r w:rsidRPr="0046567B">
        <w:rPr>
          <w:lang w:val="fr-FR" w:bidi="fr-FR"/>
        </w:rPr>
        <w:tab/>
      </w:r>
      <w:r w:rsidRPr="0046567B">
        <w:rPr>
          <w:lang w:val="fr-FR" w:bidi="fr-FR"/>
        </w:rPr>
        <w:tab/>
        <w:t>Protection des femmes contre la violence</w:t>
      </w:r>
    </w:p>
    <w:p w14:paraId="2E887AC1" w14:textId="44DA1C60" w:rsidR="00B408C7" w:rsidRPr="0046567B" w:rsidRDefault="00B408C7" w:rsidP="00B408C7">
      <w:pPr>
        <w:pStyle w:val="SingleTxt"/>
        <w:spacing w:after="0" w:line="120" w:lineRule="exact"/>
        <w:rPr>
          <w:sz w:val="10"/>
          <w:lang w:val="fr-FR" w:bidi="fr-FR"/>
        </w:rPr>
      </w:pPr>
    </w:p>
    <w:p w14:paraId="7E7F55AE" w14:textId="7596ABBE" w:rsidR="00B408C7" w:rsidRPr="0046567B" w:rsidRDefault="00B408C7" w:rsidP="00B408C7">
      <w:pPr>
        <w:pStyle w:val="SingleTxt"/>
        <w:spacing w:after="0" w:line="120" w:lineRule="exact"/>
        <w:rPr>
          <w:sz w:val="10"/>
          <w:lang w:val="fr-FR" w:bidi="fr-FR"/>
        </w:rPr>
      </w:pPr>
    </w:p>
    <w:p w14:paraId="41520039" w14:textId="212FC83A"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Traités internationaux</w:t>
      </w:r>
    </w:p>
    <w:p w14:paraId="41211B3B" w14:textId="2E1E8F2F" w:rsidR="00B408C7" w:rsidRPr="0046567B" w:rsidRDefault="00B408C7" w:rsidP="00B408C7">
      <w:pPr>
        <w:pStyle w:val="SingleTxt"/>
        <w:spacing w:after="0" w:line="120" w:lineRule="exact"/>
        <w:rPr>
          <w:sz w:val="10"/>
          <w:lang w:val="fr-FR" w:bidi="fr-FR"/>
        </w:rPr>
      </w:pPr>
    </w:p>
    <w:p w14:paraId="01DF5A6F" w14:textId="6AB5974D" w:rsidR="00FC36AA" w:rsidRPr="0046567B" w:rsidRDefault="00FC36AA" w:rsidP="00B408C7">
      <w:pPr>
        <w:pStyle w:val="SingleTxt"/>
        <w:numPr>
          <w:ilvl w:val="0"/>
          <w:numId w:val="32"/>
        </w:numPr>
        <w:spacing w:line="240" w:lineRule="exact"/>
        <w:ind w:left="1267" w:firstLine="0"/>
        <w:rPr>
          <w:lang w:val="fr-FR"/>
        </w:rPr>
      </w:pPr>
      <w:r w:rsidRPr="0046567B">
        <w:rPr>
          <w:rFonts w:hint="eastAsia"/>
          <w:lang w:val="fr-FR" w:bidi="fr-FR"/>
        </w:rPr>
        <w:t>Au paragraphe 55 de ses précédentes observations finales, le Comité a exhorté le Gouvernement à allouer des ressources adéquates pour permettre une lutte efficace contre toutes les formes de violences à l</w:t>
      </w:r>
      <w:r w:rsidR="00FB11B3" w:rsidRPr="0046567B">
        <w:rPr>
          <w:lang w:val="fr-FR" w:bidi="fr-FR"/>
        </w:rPr>
        <w:t>’</w:t>
      </w:r>
      <w:r w:rsidRPr="0046567B">
        <w:rPr>
          <w:rFonts w:hint="eastAsia"/>
          <w:lang w:val="fr-FR" w:bidi="fr-FR"/>
        </w:rPr>
        <w:t xml:space="preserve">égard des femmes, y compris la violence familiale. </w:t>
      </w:r>
      <w:r w:rsidRPr="0046567B">
        <w:rPr>
          <w:lang w:val="fr-FR" w:bidi="fr-FR"/>
        </w:rPr>
        <w:t>Le Gouvernement s</w:t>
      </w:r>
      <w:r w:rsidR="00FB11B3" w:rsidRPr="0046567B">
        <w:rPr>
          <w:lang w:val="fr-FR" w:bidi="fr-FR"/>
        </w:rPr>
        <w:t>’</w:t>
      </w:r>
      <w:r w:rsidRPr="0046567B">
        <w:rPr>
          <w:lang w:val="fr-FR" w:bidi="fr-FR"/>
        </w:rPr>
        <w:t>est engagé à protéger les femmes contre toutes les formes de violences en vertu de la Convention sur l</w:t>
      </w:r>
      <w:r w:rsidR="00FB11B3" w:rsidRPr="0046567B">
        <w:rPr>
          <w:lang w:val="fr-FR" w:bidi="fr-FR"/>
        </w:rPr>
        <w:t>’</w:t>
      </w:r>
      <w:r w:rsidRPr="0046567B">
        <w:rPr>
          <w:lang w:val="fr-FR" w:bidi="fr-FR"/>
        </w:rPr>
        <w:t>élimination</w:t>
      </w:r>
      <w:r w:rsidR="00F2347E" w:rsidRPr="0046567B">
        <w:rPr>
          <w:lang w:val="fr-FR" w:bidi="fr-FR"/>
        </w:rPr>
        <w:t xml:space="preserve"> </w:t>
      </w:r>
      <w:r w:rsidRPr="0046567B">
        <w:rPr>
          <w:lang w:val="fr-FR" w:bidi="fr-FR"/>
        </w:rPr>
        <w:t>de toutes les formes de discrimination à l</w:t>
      </w:r>
      <w:r w:rsidR="00FB11B3" w:rsidRPr="0046567B">
        <w:rPr>
          <w:lang w:val="fr-FR" w:bidi="fr-FR"/>
        </w:rPr>
        <w:t>’</w:t>
      </w:r>
      <w:r w:rsidRPr="0046567B">
        <w:rPr>
          <w:lang w:val="fr-FR" w:bidi="fr-FR"/>
        </w:rPr>
        <w:t>égard des femmes, de la Convention contre la torture, de la Convention relative aux droits de l</w:t>
      </w:r>
      <w:r w:rsidR="00FB11B3" w:rsidRPr="0046567B">
        <w:rPr>
          <w:lang w:val="fr-FR" w:bidi="fr-FR"/>
        </w:rPr>
        <w:t>’</w:t>
      </w:r>
      <w:r w:rsidRPr="0046567B">
        <w:rPr>
          <w:lang w:val="fr-FR" w:bidi="fr-FR"/>
        </w:rPr>
        <w:t>enfant et de la Convention relative aux droits des personnes handicapées, qui continuent de s</w:t>
      </w:r>
      <w:r w:rsidR="00FB11B3" w:rsidRPr="0046567B">
        <w:rPr>
          <w:lang w:val="fr-FR" w:bidi="fr-FR"/>
        </w:rPr>
        <w:t>’</w:t>
      </w:r>
      <w:r w:rsidRPr="0046567B">
        <w:rPr>
          <w:lang w:val="fr-FR" w:bidi="fr-FR"/>
        </w:rPr>
        <w:t>appliquer à la Région administrative spéciale de Hong Kong.</w:t>
      </w:r>
    </w:p>
    <w:p w14:paraId="3E3898B7" w14:textId="1C478C1C" w:rsidR="00B408C7" w:rsidRPr="0046567B" w:rsidRDefault="00B408C7" w:rsidP="00B408C7">
      <w:pPr>
        <w:pStyle w:val="SingleTxt"/>
        <w:spacing w:after="0" w:line="120" w:lineRule="exact"/>
        <w:rPr>
          <w:sz w:val="10"/>
          <w:lang w:val="fr-FR" w:bidi="fr-FR"/>
        </w:rPr>
      </w:pPr>
    </w:p>
    <w:p w14:paraId="709D11FD" w14:textId="6163197B"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Protections législatives des femmes contre la violence</w:t>
      </w:r>
    </w:p>
    <w:p w14:paraId="31D57F77" w14:textId="6687D4C4" w:rsidR="00B408C7" w:rsidRPr="0046567B" w:rsidRDefault="00B408C7" w:rsidP="00B408C7">
      <w:pPr>
        <w:pStyle w:val="SingleTxt"/>
        <w:spacing w:after="0" w:line="120" w:lineRule="exact"/>
        <w:rPr>
          <w:sz w:val="10"/>
          <w:lang w:val="fr-FR" w:bidi="fr-FR"/>
        </w:rPr>
      </w:pPr>
    </w:p>
    <w:p w14:paraId="54C8038F" w14:textId="6F9B94BB"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La loi relative à la violence familiale et la violence sexuelle prévoit des sanctions pénales pour les auteurs d</w:t>
      </w:r>
      <w:r w:rsidR="00FB11B3" w:rsidRPr="0046567B">
        <w:rPr>
          <w:lang w:val="fr-FR" w:bidi="fr-FR"/>
        </w:rPr>
        <w:t>’</w:t>
      </w:r>
      <w:r w:rsidRPr="0046567B">
        <w:rPr>
          <w:lang w:val="fr-FR" w:bidi="fr-FR"/>
        </w:rPr>
        <w:t>actes de violence et des recours civils pour les victimes. Ce dispositif légal figure à l</w:t>
      </w:r>
      <w:r w:rsidR="00FB11B3" w:rsidRPr="0046567B">
        <w:rPr>
          <w:lang w:val="fr-FR" w:bidi="fr-FR"/>
        </w:rPr>
        <w:t>’</w:t>
      </w:r>
      <w:r w:rsidRPr="0046567B">
        <w:rPr>
          <w:lang w:val="fr-FR" w:bidi="fr-FR"/>
        </w:rPr>
        <w:t>annexe</w:t>
      </w:r>
      <w:r w:rsidR="002A20B0" w:rsidRPr="0046567B">
        <w:rPr>
          <w:lang w:val="fr-FR" w:bidi="fr-FR"/>
        </w:rPr>
        <w:t xml:space="preserve"> </w:t>
      </w:r>
      <w:r w:rsidRPr="0046567B">
        <w:rPr>
          <w:lang w:val="fr-FR" w:bidi="fr-FR"/>
        </w:rPr>
        <w:t>5</w:t>
      </w:r>
      <w:r w:rsidRPr="0046567B">
        <w:rPr>
          <w:rFonts w:hint="eastAsia"/>
          <w:lang w:val="fr-FR" w:bidi="fr-FR"/>
        </w:rPr>
        <w:t xml:space="preserve">C </w:t>
      </w:r>
      <w:r w:rsidRPr="0046567B">
        <w:rPr>
          <w:lang w:val="fr-FR" w:bidi="fr-FR"/>
        </w:rPr>
        <w:t>du présent rapport.</w:t>
      </w:r>
    </w:p>
    <w:p w14:paraId="261C481E" w14:textId="72A80E70" w:rsidR="00B408C7" w:rsidRPr="0046567B" w:rsidRDefault="00B408C7" w:rsidP="00B408C7">
      <w:pPr>
        <w:pStyle w:val="SingleTxt"/>
        <w:spacing w:after="0" w:line="120" w:lineRule="exact"/>
        <w:rPr>
          <w:sz w:val="10"/>
          <w:lang w:val="fr-FR" w:bidi="fr-FR"/>
        </w:rPr>
      </w:pPr>
    </w:p>
    <w:p w14:paraId="183D5E0B" w14:textId="3C99EC4D"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Mesures de prévention et de lutte contre la violence familiale</w:t>
      </w:r>
    </w:p>
    <w:p w14:paraId="780B2AF9" w14:textId="5F7C8CF7" w:rsidR="00B408C7" w:rsidRPr="0046567B" w:rsidRDefault="00B408C7" w:rsidP="00B408C7">
      <w:pPr>
        <w:pStyle w:val="SingleTxt"/>
        <w:spacing w:after="0" w:line="120" w:lineRule="exact"/>
        <w:rPr>
          <w:sz w:val="10"/>
          <w:lang w:val="fr-FR" w:bidi="fr-FR"/>
        </w:rPr>
      </w:pPr>
    </w:p>
    <w:p w14:paraId="054D7E5A" w14:textId="1A5E0D00" w:rsidR="00FC36AA" w:rsidRPr="0046567B" w:rsidRDefault="00FC36AA" w:rsidP="00B4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Mesures préventives</w:t>
      </w:r>
    </w:p>
    <w:p w14:paraId="25257ADD" w14:textId="29E73D2A" w:rsidR="00B408C7" w:rsidRPr="0046567B" w:rsidRDefault="00B408C7" w:rsidP="00B408C7">
      <w:pPr>
        <w:pStyle w:val="SingleTxt"/>
        <w:spacing w:after="0" w:line="120" w:lineRule="exact"/>
        <w:rPr>
          <w:sz w:val="10"/>
          <w:lang w:val="fr-FR" w:bidi="fr-FR"/>
        </w:rPr>
      </w:pPr>
    </w:p>
    <w:p w14:paraId="08F4F893" w14:textId="790095C4"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Gouvernement poursuit une approche triple avec la fourniture de services de prévention, de services de soutien et de services spécialisés visant à prévenir et à traiter les cas de violence familiale. À cette fin, nous avons alloué d</w:t>
      </w:r>
      <w:r w:rsidR="00FB11B3" w:rsidRPr="0046567B">
        <w:rPr>
          <w:lang w:val="fr-FR" w:bidi="fr-FR"/>
        </w:rPr>
        <w:t>’</w:t>
      </w:r>
      <w:r w:rsidRPr="0046567B">
        <w:rPr>
          <w:lang w:val="fr-FR" w:bidi="fr-FR"/>
        </w:rPr>
        <w:t xml:space="preserve">importantes ressources </w:t>
      </w:r>
      <w:r w:rsidRPr="0046567B">
        <w:rPr>
          <w:rFonts w:hint="eastAsia"/>
          <w:lang w:val="fr-FR" w:bidi="fr-FR"/>
        </w:rPr>
        <w:t xml:space="preserve">au </w:t>
      </w:r>
      <w:r w:rsidRPr="0046567B">
        <w:rPr>
          <w:lang w:val="fr-FR" w:bidi="fr-FR"/>
        </w:rPr>
        <w:t>Département de la protection sociale pour la mise en œuvre de services dans le cadre de cette triple approche, à destination des personnes et des familles dans le besoin. À cet égard, les dépenses du Département de la protection sociale sont passées de quelque 1,3</w:t>
      </w:r>
      <w:r w:rsidR="002A20B0" w:rsidRPr="0046567B">
        <w:rPr>
          <w:lang w:val="fr-FR" w:bidi="fr-FR"/>
        </w:rPr>
        <w:t xml:space="preserve"> </w:t>
      </w:r>
      <w:r w:rsidRPr="0046567B">
        <w:rPr>
          <w:lang w:val="fr-FR" w:bidi="fr-FR"/>
        </w:rPr>
        <w:t>milliard de dollars hongkongais en</w:t>
      </w:r>
      <w:r w:rsidR="002A20B0" w:rsidRPr="0046567B">
        <w:rPr>
          <w:lang w:val="fr-FR" w:bidi="fr-FR"/>
        </w:rPr>
        <w:t xml:space="preserve"> </w:t>
      </w:r>
      <w:r w:rsidRPr="0046567B">
        <w:rPr>
          <w:lang w:val="fr-FR" w:bidi="fr-FR"/>
        </w:rPr>
        <w:t>2004-2005 à 3,1</w:t>
      </w:r>
      <w:r w:rsidR="002A20B0" w:rsidRPr="0046567B">
        <w:rPr>
          <w:lang w:val="fr-FR" w:bidi="fr-FR"/>
        </w:rPr>
        <w:t xml:space="preserve"> </w:t>
      </w:r>
      <w:r w:rsidRPr="0046567B">
        <w:rPr>
          <w:lang w:val="fr-FR" w:bidi="fr-FR"/>
        </w:rPr>
        <w:t>milliards de dollars hongkongais en</w:t>
      </w:r>
      <w:r w:rsidR="002A20B0" w:rsidRPr="0046567B">
        <w:rPr>
          <w:lang w:val="fr-FR" w:bidi="fr-FR"/>
        </w:rPr>
        <w:t xml:space="preserve"> </w:t>
      </w:r>
      <w:r w:rsidRPr="0046567B">
        <w:rPr>
          <w:lang w:val="fr-FR" w:bidi="fr-FR"/>
        </w:rPr>
        <w:t>2016-2017.</w:t>
      </w:r>
    </w:p>
    <w:p w14:paraId="38F0C385" w14:textId="5517AFB5"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Pour renforcer la capacité du Département de la protection sociale à traiter les cas de violence familiale, le nombre de travailleurs sociaux dans ses unités de services de protection de la famille et de l</w:t>
      </w:r>
      <w:r w:rsidR="00FB11B3" w:rsidRPr="0046567B">
        <w:rPr>
          <w:lang w:val="fr-FR" w:bidi="fr-FR"/>
        </w:rPr>
        <w:t>’</w:t>
      </w:r>
      <w:r w:rsidRPr="0046567B">
        <w:rPr>
          <w:lang w:val="fr-FR" w:bidi="fr-FR"/>
        </w:rPr>
        <w:t>enfance est passé de</w:t>
      </w:r>
      <w:r w:rsidR="002A20B0" w:rsidRPr="0046567B">
        <w:rPr>
          <w:lang w:val="fr-FR" w:bidi="fr-FR"/>
        </w:rPr>
        <w:t xml:space="preserve"> </w:t>
      </w:r>
      <w:r w:rsidRPr="0046567B">
        <w:rPr>
          <w:lang w:val="fr-FR" w:bidi="fr-FR"/>
        </w:rPr>
        <w:t>105 en 2004-2005 à</w:t>
      </w:r>
      <w:r w:rsidR="002A20B0" w:rsidRPr="0046567B">
        <w:rPr>
          <w:lang w:val="fr-FR" w:bidi="fr-FR"/>
        </w:rPr>
        <w:t xml:space="preserve"> </w:t>
      </w:r>
      <w:r w:rsidRPr="0046567B">
        <w:rPr>
          <w:lang w:val="fr-FR" w:bidi="fr-FR"/>
        </w:rPr>
        <w:t>168 en</w:t>
      </w:r>
      <w:r w:rsidR="002A20B0" w:rsidRPr="0046567B">
        <w:rPr>
          <w:lang w:val="fr-FR" w:bidi="fr-FR"/>
        </w:rPr>
        <w:t xml:space="preserve"> </w:t>
      </w:r>
      <w:r w:rsidRPr="0046567B">
        <w:rPr>
          <w:lang w:val="fr-FR" w:bidi="fr-FR"/>
        </w:rPr>
        <w:t>2010-2011, soit une augmentation de 60</w:t>
      </w:r>
      <w:r w:rsidR="00FB11B3" w:rsidRPr="0046567B">
        <w:rPr>
          <w:lang w:val="fr-FR" w:bidi="fr-FR"/>
        </w:rPr>
        <w:t> %</w:t>
      </w:r>
      <w:r w:rsidRPr="0046567B">
        <w:rPr>
          <w:lang w:val="fr-FR" w:bidi="fr-FR"/>
        </w:rPr>
        <w:t xml:space="preserve">. Comme annoncé dans </w:t>
      </w:r>
      <w:r w:rsidRPr="0046567B">
        <w:rPr>
          <w:rFonts w:hint="eastAsia"/>
          <w:lang w:val="fr-FR" w:bidi="fr-FR"/>
        </w:rPr>
        <w:t xml:space="preserve">le </w:t>
      </w:r>
      <w:r w:rsidRPr="0046567B">
        <w:rPr>
          <w:lang w:val="fr-FR" w:bidi="fr-FR"/>
        </w:rPr>
        <w:t>budget</w:t>
      </w:r>
      <w:r w:rsidR="002A20B0" w:rsidRPr="0046567B">
        <w:rPr>
          <w:lang w:val="fr-FR" w:bidi="fr-FR"/>
        </w:rPr>
        <w:t xml:space="preserve"> </w:t>
      </w:r>
      <w:r w:rsidRPr="0046567B">
        <w:rPr>
          <w:rFonts w:hint="eastAsia"/>
          <w:lang w:val="fr-FR" w:bidi="fr-FR"/>
        </w:rPr>
        <w:t>2018-2019</w:t>
      </w:r>
      <w:r w:rsidRPr="0046567B">
        <w:rPr>
          <w:lang w:val="fr-FR" w:bidi="fr-FR"/>
        </w:rPr>
        <w:t>, le Gouvernement allouera des ressources supplémentaires à partir de</w:t>
      </w:r>
      <w:r w:rsidR="002A20B0" w:rsidRPr="0046567B">
        <w:rPr>
          <w:lang w:val="fr-FR" w:bidi="fr-FR"/>
        </w:rPr>
        <w:t xml:space="preserve"> </w:t>
      </w:r>
      <w:r w:rsidRPr="0046567B">
        <w:rPr>
          <w:lang w:val="fr-FR" w:bidi="fr-FR"/>
        </w:rPr>
        <w:t>2018-2019 pour augmenter les effectifs des unités de services de protection de la famille et de l</w:t>
      </w:r>
      <w:r w:rsidR="00FB11B3" w:rsidRPr="0046567B">
        <w:rPr>
          <w:lang w:val="fr-FR" w:bidi="fr-FR"/>
        </w:rPr>
        <w:t>’</w:t>
      </w:r>
      <w:r w:rsidRPr="0046567B">
        <w:rPr>
          <w:lang w:val="fr-FR" w:bidi="fr-FR"/>
        </w:rPr>
        <w:t>enfance du Département de la protection sociale afin d</w:t>
      </w:r>
      <w:r w:rsidR="00FB11B3" w:rsidRPr="0046567B">
        <w:rPr>
          <w:lang w:val="fr-FR" w:bidi="fr-FR"/>
        </w:rPr>
        <w:t>’</w:t>
      </w:r>
      <w:r w:rsidRPr="0046567B">
        <w:rPr>
          <w:lang w:val="fr-FR" w:bidi="fr-FR"/>
        </w:rPr>
        <w:t>améliorer les services de protection de l</w:t>
      </w:r>
      <w:r w:rsidR="00FB11B3" w:rsidRPr="0046567B">
        <w:rPr>
          <w:lang w:val="fr-FR" w:bidi="fr-FR"/>
        </w:rPr>
        <w:t>’</w:t>
      </w:r>
      <w:r w:rsidRPr="0046567B">
        <w:rPr>
          <w:lang w:val="fr-FR" w:bidi="fr-FR"/>
        </w:rPr>
        <w:t>enfance et de soutien aux familles, y compris les services de proximité, les services d</w:t>
      </w:r>
      <w:r w:rsidR="00FB11B3" w:rsidRPr="0046567B">
        <w:rPr>
          <w:lang w:val="fr-FR" w:bidi="fr-FR"/>
        </w:rPr>
        <w:t>’</w:t>
      </w:r>
      <w:r w:rsidRPr="0046567B">
        <w:rPr>
          <w:lang w:val="fr-FR" w:bidi="fr-FR"/>
        </w:rPr>
        <w:t>orientation et les activités de groupe. En outre, des fonds supplémentaires seront alloués au renforcement du programme éducatif de prévention de la violence familiale, afin d</w:t>
      </w:r>
      <w:r w:rsidR="00FB11B3" w:rsidRPr="0046567B">
        <w:rPr>
          <w:lang w:val="fr-FR" w:bidi="fr-FR"/>
        </w:rPr>
        <w:t>’</w:t>
      </w:r>
      <w:r w:rsidRPr="0046567B">
        <w:rPr>
          <w:lang w:val="fr-FR" w:bidi="fr-FR"/>
        </w:rPr>
        <w:t>apporter un soutien aux enfants victimes ou témoins de violences familiales et aux victimes de violence familiale et d</w:t>
      </w:r>
      <w:r w:rsidR="00FB11B3" w:rsidRPr="0046567B">
        <w:rPr>
          <w:lang w:val="fr-FR" w:bidi="fr-FR"/>
        </w:rPr>
        <w:t>’</w:t>
      </w:r>
      <w:r w:rsidRPr="0046567B">
        <w:rPr>
          <w:lang w:val="fr-FR" w:bidi="fr-FR"/>
        </w:rPr>
        <w:t>aider les agresseurs ou les personnes qui risqueraient d</w:t>
      </w:r>
      <w:r w:rsidR="00FB11B3" w:rsidRPr="0046567B">
        <w:rPr>
          <w:lang w:val="fr-FR" w:bidi="fr-FR"/>
        </w:rPr>
        <w:t>’</w:t>
      </w:r>
      <w:r w:rsidRPr="0046567B">
        <w:rPr>
          <w:lang w:val="fr-FR" w:bidi="fr-FR"/>
        </w:rPr>
        <w:t>avoir recours à la violence à renoncer à la violence, en vue de protéger les enfants. L</w:t>
      </w:r>
      <w:r w:rsidR="00FB11B3" w:rsidRPr="0046567B">
        <w:rPr>
          <w:lang w:val="fr-FR" w:bidi="fr-FR"/>
        </w:rPr>
        <w:t>’</w:t>
      </w:r>
      <w:r w:rsidRPr="0046567B">
        <w:rPr>
          <w:lang w:val="fr-FR" w:bidi="fr-FR"/>
        </w:rPr>
        <w:t>amélioration de ces deux services implique une dépense supplémentaire d</w:t>
      </w:r>
      <w:r w:rsidR="00FB11B3" w:rsidRPr="0046567B">
        <w:rPr>
          <w:lang w:val="fr-FR" w:bidi="fr-FR"/>
        </w:rPr>
        <w:t>’</w:t>
      </w:r>
      <w:r w:rsidRPr="0046567B">
        <w:rPr>
          <w:lang w:val="fr-FR" w:bidi="fr-FR"/>
        </w:rPr>
        <w:t>environ 43</w:t>
      </w:r>
      <w:r w:rsidR="002A20B0" w:rsidRPr="0046567B">
        <w:rPr>
          <w:lang w:val="fr-FR" w:bidi="fr-FR"/>
        </w:rPr>
        <w:t xml:space="preserve"> </w:t>
      </w:r>
      <w:r w:rsidRPr="0046567B">
        <w:rPr>
          <w:lang w:val="fr-FR" w:bidi="fr-FR"/>
        </w:rPr>
        <w:t>millions de dollars hongkongais chaque année. D</w:t>
      </w:r>
      <w:r w:rsidR="00FB11B3" w:rsidRPr="0046567B">
        <w:rPr>
          <w:lang w:val="fr-FR" w:bidi="fr-FR"/>
        </w:rPr>
        <w:t>’</w:t>
      </w:r>
      <w:r w:rsidRPr="0046567B">
        <w:rPr>
          <w:lang w:val="fr-FR" w:bidi="fr-FR"/>
        </w:rPr>
        <w:t>autres services d</w:t>
      </w:r>
      <w:r w:rsidR="00FB11B3" w:rsidRPr="0046567B">
        <w:rPr>
          <w:lang w:val="fr-FR" w:bidi="fr-FR"/>
        </w:rPr>
        <w:t>’</w:t>
      </w:r>
      <w:r w:rsidRPr="0046567B">
        <w:rPr>
          <w:lang w:val="fr-FR" w:bidi="fr-FR"/>
        </w:rPr>
        <w:t>aide proposés par le Département de la protection sociale sont présentés à l</w:t>
      </w:r>
      <w:r w:rsidR="00FB11B3" w:rsidRPr="0046567B">
        <w:rPr>
          <w:lang w:val="fr-FR" w:bidi="fr-FR"/>
        </w:rPr>
        <w:t>’</w:t>
      </w:r>
      <w:r w:rsidRPr="0046567B">
        <w:rPr>
          <w:lang w:val="fr-FR" w:bidi="fr-FR"/>
        </w:rPr>
        <w:t>annexe</w:t>
      </w:r>
      <w:r w:rsidR="002A20B0" w:rsidRPr="0046567B">
        <w:rPr>
          <w:lang w:val="fr-FR" w:bidi="fr-FR"/>
        </w:rPr>
        <w:t xml:space="preserve"> </w:t>
      </w:r>
      <w:r w:rsidRPr="0046567B">
        <w:rPr>
          <w:lang w:val="fr-FR" w:bidi="fr-FR"/>
        </w:rPr>
        <w:t>5D du présent rapport.</w:t>
      </w:r>
    </w:p>
    <w:p w14:paraId="20314656" w14:textId="1D641787" w:rsidR="00B408C7" w:rsidRPr="0046567B" w:rsidRDefault="00B408C7" w:rsidP="00B408C7">
      <w:pPr>
        <w:pStyle w:val="SingleTxt"/>
        <w:spacing w:after="0" w:line="120" w:lineRule="exact"/>
        <w:rPr>
          <w:sz w:val="10"/>
          <w:lang w:val="fr-FR" w:bidi="fr-FR"/>
        </w:rPr>
      </w:pPr>
    </w:p>
    <w:p w14:paraId="07898DED" w14:textId="0F955A9D" w:rsidR="00FC36AA" w:rsidRPr="0046567B" w:rsidRDefault="00FC36AA" w:rsidP="00B4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Application de la loi</w:t>
      </w:r>
    </w:p>
    <w:p w14:paraId="6FC1ECBC" w14:textId="7DA3CEDF" w:rsidR="00B408C7" w:rsidRPr="0046567B" w:rsidRDefault="00B408C7" w:rsidP="00B408C7">
      <w:pPr>
        <w:pStyle w:val="SingleTxt"/>
        <w:spacing w:after="0" w:line="120" w:lineRule="exact"/>
        <w:rPr>
          <w:sz w:val="10"/>
          <w:lang w:val="fr-FR" w:bidi="fr-FR"/>
        </w:rPr>
      </w:pPr>
    </w:p>
    <w:p w14:paraId="431670F3" w14:textId="10E759C5"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La police s</w:t>
      </w:r>
      <w:r w:rsidR="00FB11B3" w:rsidRPr="0046567B">
        <w:rPr>
          <w:lang w:val="fr-FR" w:bidi="fr-FR"/>
        </w:rPr>
        <w:t>’</w:t>
      </w:r>
      <w:r w:rsidRPr="0046567B">
        <w:rPr>
          <w:lang w:val="fr-FR" w:bidi="fr-FR"/>
        </w:rPr>
        <w:t>est engagée à prévenir et à combattre la violence familiale. Elle a formulé un ensemble de politiques et de procédures pour traiter les cas de violence, afin de réduire le risque et de renforcer la protection des victimes.</w:t>
      </w:r>
    </w:p>
    <w:p w14:paraId="4EF7E86D" w14:textId="0F79E412"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Dans l</w:t>
      </w:r>
      <w:r w:rsidR="00FB11B3" w:rsidRPr="0046567B">
        <w:rPr>
          <w:lang w:val="fr-FR" w:bidi="fr-FR"/>
        </w:rPr>
        <w:t>’</w:t>
      </w:r>
      <w:r w:rsidRPr="0046567B">
        <w:rPr>
          <w:lang w:val="fr-FR" w:bidi="fr-FR"/>
        </w:rPr>
        <w:t>intérêt des victimes et pour leur sécurité, la police a adopté depuis 2006 une approche « une famille, une équipe », qui consiste à détacher la même unité d</w:t>
      </w:r>
      <w:r w:rsidR="00FB11B3" w:rsidRPr="0046567B">
        <w:rPr>
          <w:lang w:val="fr-FR" w:bidi="fr-FR"/>
        </w:rPr>
        <w:t>’</w:t>
      </w:r>
      <w:r w:rsidRPr="0046567B">
        <w:rPr>
          <w:lang w:val="fr-FR" w:bidi="fr-FR"/>
        </w:rPr>
        <w:t>enquête pour suivre les dossiers d</w:t>
      </w:r>
      <w:r w:rsidR="00FB11B3" w:rsidRPr="0046567B">
        <w:rPr>
          <w:lang w:val="fr-FR" w:bidi="fr-FR"/>
        </w:rPr>
        <w:t>’</w:t>
      </w:r>
      <w:r w:rsidRPr="0046567B">
        <w:rPr>
          <w:lang w:val="fr-FR" w:bidi="fr-FR"/>
        </w:rPr>
        <w:t>une même famille. Tous les districts de police disposent d</w:t>
      </w:r>
      <w:r w:rsidR="00FB11B3" w:rsidRPr="0046567B">
        <w:rPr>
          <w:lang w:val="fr-FR" w:bidi="fr-FR"/>
        </w:rPr>
        <w:t>’</w:t>
      </w:r>
      <w:r w:rsidRPr="0046567B">
        <w:rPr>
          <w:lang w:val="fr-FR" w:bidi="fr-FR"/>
        </w:rPr>
        <w:t>unités spécialisées dans la violence domestique pour enquêter sur les cas les plus graves, tandis que les autres cas de violence qualifiés « à haut risque » sont traités par les unités d</w:t>
      </w:r>
      <w:r w:rsidR="00FB11B3" w:rsidRPr="0046567B">
        <w:rPr>
          <w:lang w:val="fr-FR" w:bidi="fr-FR"/>
        </w:rPr>
        <w:t>’</w:t>
      </w:r>
      <w:r w:rsidRPr="0046567B">
        <w:rPr>
          <w:lang w:val="fr-FR" w:bidi="fr-FR"/>
        </w:rPr>
        <w:t>enquête criminelles.</w:t>
      </w:r>
    </w:p>
    <w:p w14:paraId="179C88BF" w14:textId="271B5868"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La police a également mis en place un système de gestion des victimes (Victim Management Workflow), qui permet d</w:t>
      </w:r>
      <w:r w:rsidR="00FB11B3" w:rsidRPr="0046567B">
        <w:rPr>
          <w:lang w:val="fr-FR" w:bidi="fr-FR"/>
        </w:rPr>
        <w:t>’</w:t>
      </w:r>
      <w:r w:rsidRPr="0046567B">
        <w:rPr>
          <w:lang w:val="fr-FR" w:bidi="fr-FR"/>
        </w:rPr>
        <w:t>adopter une approche cohérente et coordonnée dans le traitement des victimes de violences et de prendre des mesures proportionnelles au risque et à la gravité de chaque cas. En outre, la « base de données centrale améliorée sur la violence familiale », qui contient des informations sur les antécédents de violences ou d</w:t>
      </w:r>
      <w:r w:rsidR="00FB11B3" w:rsidRPr="0046567B">
        <w:rPr>
          <w:lang w:val="fr-FR" w:bidi="fr-FR"/>
        </w:rPr>
        <w:t>’</w:t>
      </w:r>
      <w:r w:rsidRPr="0046567B">
        <w:rPr>
          <w:lang w:val="fr-FR" w:bidi="fr-FR"/>
        </w:rPr>
        <w:t>incidents, pourrait aider les membres de la police à repérer et à évaluer les facteurs de risque au sein d</w:t>
      </w:r>
      <w:r w:rsidR="00FB11B3" w:rsidRPr="0046567B">
        <w:rPr>
          <w:lang w:val="fr-FR" w:bidi="fr-FR"/>
        </w:rPr>
        <w:t>’</w:t>
      </w:r>
      <w:r w:rsidRPr="0046567B">
        <w:rPr>
          <w:lang w:val="fr-FR" w:bidi="fr-FR"/>
        </w:rPr>
        <w:t>une même famille. Sur la base de ces résultats, la police prendra les mesures appropriées pour diminuer le risque, telles que le placement de l</w:t>
      </w:r>
      <w:r w:rsidR="00FB11B3" w:rsidRPr="0046567B">
        <w:rPr>
          <w:lang w:val="fr-FR" w:bidi="fr-FR"/>
        </w:rPr>
        <w:t>’</w:t>
      </w:r>
      <w:r w:rsidRPr="0046567B">
        <w:rPr>
          <w:lang w:val="fr-FR" w:bidi="fr-FR"/>
        </w:rPr>
        <w:t>auteur en détention, la mise à disposition d</w:t>
      </w:r>
      <w:r w:rsidR="00FB11B3" w:rsidRPr="0046567B">
        <w:rPr>
          <w:lang w:val="fr-FR" w:bidi="fr-FR"/>
        </w:rPr>
        <w:t>’</w:t>
      </w:r>
      <w:r w:rsidRPr="0046567B">
        <w:rPr>
          <w:lang w:val="fr-FR" w:bidi="fr-FR"/>
        </w:rPr>
        <w:t>un hébergement ou de services de conseils, ou toute autre assistance aux victimes et à leurs familles en collaboration avec le Département de la protection sociale ou d</w:t>
      </w:r>
      <w:r w:rsidR="00FB11B3" w:rsidRPr="0046567B">
        <w:rPr>
          <w:lang w:val="fr-FR" w:bidi="fr-FR"/>
        </w:rPr>
        <w:t>’</w:t>
      </w:r>
      <w:r w:rsidRPr="0046567B">
        <w:rPr>
          <w:lang w:val="fr-FR" w:bidi="fr-FR"/>
        </w:rPr>
        <w:t>autres organismes compétents.</w:t>
      </w:r>
    </w:p>
    <w:p w14:paraId="67F22927" w14:textId="5021BB59" w:rsidR="00B408C7" w:rsidRPr="0046567B" w:rsidRDefault="00B408C7" w:rsidP="00B408C7">
      <w:pPr>
        <w:pStyle w:val="SingleTxt"/>
        <w:spacing w:after="0" w:line="120" w:lineRule="exact"/>
        <w:rPr>
          <w:sz w:val="10"/>
          <w:lang w:val="fr-FR" w:bidi="fr-FR"/>
        </w:rPr>
      </w:pPr>
    </w:p>
    <w:p w14:paraId="6B36D77C" w14:textId="2F7A6B4B" w:rsidR="00FC36AA" w:rsidRPr="0046567B" w:rsidRDefault="00FC36AA" w:rsidP="00B4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Poursuites</w:t>
      </w:r>
    </w:p>
    <w:p w14:paraId="0672FB7C" w14:textId="0426725B" w:rsidR="00B408C7" w:rsidRPr="0046567B" w:rsidRDefault="00B408C7" w:rsidP="00B408C7">
      <w:pPr>
        <w:pStyle w:val="SingleTxt"/>
        <w:spacing w:after="0" w:line="120" w:lineRule="exact"/>
        <w:rPr>
          <w:sz w:val="10"/>
          <w:lang w:val="fr-FR" w:bidi="fr-FR"/>
        </w:rPr>
      </w:pPr>
    </w:p>
    <w:p w14:paraId="31F5908E" w14:textId="2E324A3B"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Ministère de la justice s</w:t>
      </w:r>
      <w:r w:rsidR="00FB11B3" w:rsidRPr="0046567B">
        <w:rPr>
          <w:lang w:val="fr-FR" w:bidi="fr-FR"/>
        </w:rPr>
        <w:t>’</w:t>
      </w:r>
      <w:r w:rsidRPr="0046567B">
        <w:rPr>
          <w:lang w:val="fr-FR" w:bidi="fr-FR"/>
        </w:rPr>
        <w:t>est engagé à améliorer la manière dont sont menées les affaires de violence familiale, ainsi qu</w:t>
      </w:r>
      <w:r w:rsidR="00FB11B3" w:rsidRPr="0046567B">
        <w:rPr>
          <w:lang w:val="fr-FR" w:bidi="fr-FR"/>
        </w:rPr>
        <w:t>’</w:t>
      </w:r>
      <w:r w:rsidRPr="0046567B">
        <w:rPr>
          <w:lang w:val="fr-FR" w:bidi="fr-FR"/>
        </w:rPr>
        <w:t>à protéger les besoins et intérêts spécifiques des témoins vulnérables. Un procureur ayant rang de directeur a été désigné pour coordonner les dossiers de témoins vulnérables et faire en sorte qu</w:t>
      </w:r>
      <w:r w:rsidR="00FB11B3" w:rsidRPr="0046567B">
        <w:rPr>
          <w:lang w:val="fr-FR" w:bidi="fr-FR"/>
        </w:rPr>
        <w:t>’</w:t>
      </w:r>
      <w:r w:rsidRPr="0046567B">
        <w:rPr>
          <w:lang w:val="fr-FR" w:bidi="fr-FR"/>
        </w:rPr>
        <w:t>il y ait un nombre suffisant de procureurs expérimentés pour défendre les intérêts des victimes et des témoins à chaque étape de la procédure pénale.</w:t>
      </w:r>
    </w:p>
    <w:p w14:paraId="34B76FA1" w14:textId="458FD4AA"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 xml:space="preserve">Le </w:t>
      </w:r>
      <w:r w:rsidRPr="0046567B">
        <w:rPr>
          <w:i/>
          <w:lang w:val="fr-FR" w:bidi="fr-FR"/>
        </w:rPr>
        <w:t>Code des poursuites</w:t>
      </w:r>
      <w:r w:rsidRPr="0046567B">
        <w:rPr>
          <w:lang w:val="fr-FR" w:bidi="fr-FR"/>
        </w:rPr>
        <w:t xml:space="preserve"> du Ministère de la justice fournit des lignes directrices aux procureurs sur la manière de traiter les cas de violence familiale. Les procureurs doivent également tenir compte des «</w:t>
      </w:r>
      <w:r w:rsidR="002A20B0" w:rsidRPr="0046567B">
        <w:rPr>
          <w:lang w:val="fr-FR" w:bidi="fr-FR"/>
        </w:rPr>
        <w:t> </w:t>
      </w:r>
      <w:r w:rsidRPr="0046567B">
        <w:rPr>
          <w:lang w:val="fr-FR" w:bidi="fr-FR"/>
        </w:rPr>
        <w:t>Directives pour la poursuite des affaires de violence familiale</w:t>
      </w:r>
      <w:r w:rsidR="002A20B0" w:rsidRPr="0046567B">
        <w:rPr>
          <w:lang w:val="fr-FR" w:bidi="fr-FR"/>
        </w:rPr>
        <w:t> </w:t>
      </w:r>
      <w:r w:rsidRPr="0046567B">
        <w:rPr>
          <w:lang w:val="fr-FR" w:bidi="fr-FR"/>
        </w:rPr>
        <w:t>» publiées par la Division des poursuites du Ministère.</w:t>
      </w:r>
    </w:p>
    <w:p w14:paraId="7C42375F" w14:textId="6DE2F309"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 xml:space="preserve">En outre, la Division des poursuites a publié la </w:t>
      </w:r>
      <w:r w:rsidRPr="0046567B">
        <w:rPr>
          <w:iCs/>
          <w:lang w:val="fr-FR" w:bidi="fr-FR"/>
        </w:rPr>
        <w:t>«</w:t>
      </w:r>
      <w:r w:rsidR="002A20B0" w:rsidRPr="0046567B">
        <w:rPr>
          <w:i/>
          <w:lang w:val="fr-FR" w:bidi="fr-FR"/>
        </w:rPr>
        <w:t> </w:t>
      </w:r>
      <w:r w:rsidRPr="0046567B">
        <w:rPr>
          <w:lang w:val="fr-FR" w:bidi="fr-FR"/>
        </w:rPr>
        <w:t>Politique relative aux poursuites dans les affaires de violence familiale</w:t>
      </w:r>
      <w:r w:rsidR="002A20B0" w:rsidRPr="0046567B">
        <w:rPr>
          <w:lang w:val="fr-FR" w:bidi="fr-FR"/>
        </w:rPr>
        <w:t> </w:t>
      </w:r>
      <w:r w:rsidRPr="0046567B">
        <w:rPr>
          <w:lang w:val="fr-FR" w:bidi="fr-FR"/>
        </w:rPr>
        <w:t>»</w:t>
      </w:r>
      <w:r w:rsidR="002A20B0" w:rsidRPr="0046567B">
        <w:rPr>
          <w:i/>
          <w:lang w:val="fr-FR" w:bidi="fr-FR"/>
        </w:rPr>
        <w:t xml:space="preserve"> </w:t>
      </w:r>
      <w:r w:rsidRPr="0046567B">
        <w:rPr>
          <w:lang w:val="fr-FR" w:bidi="fr-FR"/>
        </w:rPr>
        <w:t>(2009), qui donne aux procureurs des lignes directrices précises sur la manière dont les victimes de ces violences doivent être traitées et leurs intérêts protégés. La «</w:t>
      </w:r>
      <w:r w:rsidR="002A20B0" w:rsidRPr="0046567B">
        <w:rPr>
          <w:lang w:val="fr-FR" w:bidi="fr-FR"/>
        </w:rPr>
        <w:t> </w:t>
      </w:r>
      <w:r w:rsidRPr="0046567B">
        <w:rPr>
          <w:lang w:val="fr-FR" w:bidi="fr-FR"/>
        </w:rPr>
        <w:t>Déclaration sur le traitement des victimes et des témoins</w:t>
      </w:r>
      <w:r w:rsidR="002A20B0" w:rsidRPr="0046567B">
        <w:rPr>
          <w:lang w:val="fr-FR" w:bidi="fr-FR"/>
        </w:rPr>
        <w:t> </w:t>
      </w:r>
      <w:r w:rsidRPr="0046567B">
        <w:rPr>
          <w:lang w:val="fr-FR" w:bidi="fr-FR"/>
        </w:rPr>
        <w:t>»</w:t>
      </w:r>
      <w:r w:rsidR="002A20B0" w:rsidRPr="0046567B">
        <w:rPr>
          <w:i/>
          <w:lang w:val="fr-FR" w:bidi="fr-FR"/>
        </w:rPr>
        <w:t xml:space="preserve"> </w:t>
      </w:r>
      <w:r w:rsidRPr="0046567B">
        <w:rPr>
          <w:lang w:val="fr-FR" w:bidi="fr-FR"/>
        </w:rPr>
        <w:t>(2009) a également été publiée</w:t>
      </w:r>
      <w:r w:rsidR="00FB11B3" w:rsidRPr="0046567B">
        <w:rPr>
          <w:lang w:val="fr-FR" w:bidi="fr-FR"/>
        </w:rPr>
        <w:t> :</w:t>
      </w:r>
      <w:r w:rsidRPr="0046567B">
        <w:rPr>
          <w:lang w:val="fr-FR" w:bidi="fr-FR"/>
        </w:rPr>
        <w:t xml:space="preserve"> elle définit la position du Ministère de la justice sur la manière dont les victimes et les témoins doivent être traités et sur les moyens par lesquels les procureurs doivent préserver leurs intérêts.</w:t>
      </w:r>
    </w:p>
    <w:p w14:paraId="13532715" w14:textId="0C948EF7"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Diverses procédures administratives ont été adoptées pour garantir que les affaires de violence familiale soient traitées avec célérité et pour que les besoins spécifiques des témoins soient également pris en compte. Les procureurs sont habilités le cas échéant à prendre les mesures appropriées destinées à protéger la vie privée des victimes et des témoins et à traiter les conséquences psychologiques sur les victimes dans les affaires d</w:t>
      </w:r>
      <w:r w:rsidR="00FB11B3" w:rsidRPr="0046567B">
        <w:rPr>
          <w:lang w:val="fr-FR" w:bidi="fr-FR"/>
        </w:rPr>
        <w:t>’</w:t>
      </w:r>
      <w:r w:rsidRPr="0046567B">
        <w:rPr>
          <w:lang w:val="fr-FR" w:bidi="fr-FR"/>
        </w:rPr>
        <w:t>infractions sexuelles. Le tribunal peut être saisi de demandes circonstanciées tendant à protéger les témoins, notamment par l</w:t>
      </w:r>
      <w:r w:rsidR="00FB11B3" w:rsidRPr="0046567B">
        <w:rPr>
          <w:lang w:val="fr-FR" w:bidi="fr-FR"/>
        </w:rPr>
        <w:t>’</w:t>
      </w:r>
      <w:r w:rsidRPr="0046567B">
        <w:rPr>
          <w:lang w:val="fr-FR" w:bidi="fr-FR"/>
        </w:rPr>
        <w:t>utilisation d</w:t>
      </w:r>
      <w:r w:rsidR="00FB11B3" w:rsidRPr="0046567B">
        <w:rPr>
          <w:lang w:val="fr-FR" w:bidi="fr-FR"/>
        </w:rPr>
        <w:t>’</w:t>
      </w:r>
      <w:r w:rsidRPr="0046567B">
        <w:rPr>
          <w:lang w:val="fr-FR" w:bidi="fr-FR"/>
        </w:rPr>
        <w:t>écrans de protection durant leur déposition, par l</w:t>
      </w:r>
      <w:r w:rsidR="00FB11B3" w:rsidRPr="0046567B">
        <w:rPr>
          <w:lang w:val="fr-FR" w:bidi="fr-FR"/>
        </w:rPr>
        <w:t>’</w:t>
      </w:r>
      <w:r w:rsidRPr="0046567B">
        <w:rPr>
          <w:lang w:val="fr-FR" w:bidi="fr-FR"/>
        </w:rPr>
        <w:t>utilisation de la vidéoconférence pour permettre aux témoins d</w:t>
      </w:r>
      <w:r w:rsidR="00FB11B3" w:rsidRPr="0046567B">
        <w:rPr>
          <w:lang w:val="fr-FR" w:bidi="fr-FR"/>
        </w:rPr>
        <w:t>’</w:t>
      </w:r>
      <w:r w:rsidRPr="0046567B">
        <w:rPr>
          <w:lang w:val="fr-FR" w:bidi="fr-FR"/>
        </w:rPr>
        <w:t>être entendus en dehors de la salle d</w:t>
      </w:r>
      <w:r w:rsidR="00FB11B3" w:rsidRPr="0046567B">
        <w:rPr>
          <w:lang w:val="fr-FR" w:bidi="fr-FR"/>
        </w:rPr>
        <w:t>’</w:t>
      </w:r>
      <w:r w:rsidRPr="0046567B">
        <w:rPr>
          <w:lang w:val="fr-FR" w:bidi="fr-FR"/>
        </w:rPr>
        <w:t>audience ou par la tenue de l</w:t>
      </w:r>
      <w:r w:rsidR="00FB11B3" w:rsidRPr="0046567B">
        <w:rPr>
          <w:lang w:val="fr-FR" w:bidi="fr-FR"/>
        </w:rPr>
        <w:t>’</w:t>
      </w:r>
      <w:r w:rsidRPr="0046567B">
        <w:rPr>
          <w:lang w:val="fr-FR" w:bidi="fr-FR"/>
        </w:rPr>
        <w:t>audience à huis clos. En juin</w:t>
      </w:r>
      <w:r w:rsidR="002A20B0" w:rsidRPr="0046567B">
        <w:rPr>
          <w:lang w:val="fr-FR" w:bidi="fr-FR"/>
        </w:rPr>
        <w:t xml:space="preserve"> </w:t>
      </w:r>
      <w:r w:rsidRPr="0046567B">
        <w:rPr>
          <w:lang w:val="fr-FR" w:bidi="fr-FR"/>
        </w:rPr>
        <w:t>2017, le Gouvernement a introduit un projet de loi auprès du Conseil législatif visant à permettre au tribunal d</w:t>
      </w:r>
      <w:r w:rsidR="00FB11B3" w:rsidRPr="0046567B">
        <w:rPr>
          <w:lang w:val="fr-FR" w:bidi="fr-FR"/>
        </w:rPr>
        <w:t>’</w:t>
      </w:r>
      <w:r w:rsidRPr="0046567B">
        <w:rPr>
          <w:lang w:val="fr-FR" w:bidi="fr-FR"/>
        </w:rPr>
        <w:t>autoriser les victimes de certaines infractions sexuelles (comme le viol, l</w:t>
      </w:r>
      <w:r w:rsidR="00FB11B3" w:rsidRPr="0046567B">
        <w:rPr>
          <w:lang w:val="fr-FR" w:bidi="fr-FR"/>
        </w:rPr>
        <w:t>’</w:t>
      </w:r>
      <w:r w:rsidRPr="0046567B">
        <w:rPr>
          <w:lang w:val="fr-FR" w:bidi="fr-FR"/>
        </w:rPr>
        <w:t>attentat à la pudeur, etc.) à témoigner en direct par vidéoconférence, afin de préserver leur dignité et de leur épargner l</w:t>
      </w:r>
      <w:r w:rsidR="00FB11B3" w:rsidRPr="0046567B">
        <w:rPr>
          <w:lang w:val="fr-FR" w:bidi="fr-FR"/>
        </w:rPr>
        <w:t>’</w:t>
      </w:r>
      <w:r w:rsidRPr="0046567B">
        <w:rPr>
          <w:lang w:val="fr-FR" w:bidi="fr-FR"/>
        </w:rPr>
        <w:t>épreuve d</w:t>
      </w:r>
      <w:r w:rsidR="00FB11B3" w:rsidRPr="0046567B">
        <w:rPr>
          <w:lang w:val="fr-FR" w:bidi="fr-FR"/>
        </w:rPr>
        <w:t>’</w:t>
      </w:r>
      <w:r w:rsidRPr="0046567B">
        <w:rPr>
          <w:lang w:val="fr-FR" w:bidi="fr-FR"/>
        </w:rPr>
        <w:t>être exposées à la vue du public, devant la nécessité face à laquelle elles se trouvent de devoir être confrontés physiquement à leurs agresseurs durant le procès. Le projet de loi a été adopté par le Conseil législatif en avril</w:t>
      </w:r>
      <w:r w:rsidR="002A20B0" w:rsidRPr="0046567B">
        <w:rPr>
          <w:lang w:val="fr-FR" w:bidi="fr-FR"/>
        </w:rPr>
        <w:t xml:space="preserve"> </w:t>
      </w:r>
      <w:r w:rsidRPr="0046567B">
        <w:rPr>
          <w:lang w:val="fr-FR" w:bidi="fr-FR"/>
        </w:rPr>
        <w:t>2018.</w:t>
      </w:r>
    </w:p>
    <w:p w14:paraId="0DC39994" w14:textId="23E7798A" w:rsidR="00B408C7" w:rsidRPr="0046567B" w:rsidRDefault="00B408C7" w:rsidP="00B408C7">
      <w:pPr>
        <w:pStyle w:val="SingleTxt"/>
        <w:spacing w:after="0" w:line="120" w:lineRule="exact"/>
        <w:rPr>
          <w:sz w:val="10"/>
          <w:lang w:val="fr-FR" w:bidi="fr-FR"/>
        </w:rPr>
      </w:pPr>
    </w:p>
    <w:p w14:paraId="780F15EF" w14:textId="5B0D0FD7"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Services </w:t>
      </w:r>
      <w:r w:rsidRPr="0046567B">
        <w:rPr>
          <w:szCs w:val="20"/>
          <w:lang w:val="fr-FR" w:bidi="fr-FR"/>
        </w:rPr>
        <w:t>proposés</w:t>
      </w:r>
      <w:r w:rsidRPr="0046567B">
        <w:rPr>
          <w:lang w:val="fr-FR" w:bidi="fr-FR"/>
        </w:rPr>
        <w:t xml:space="preserve"> aux victimes de violences sexuelles</w:t>
      </w:r>
      <w:r w:rsidRPr="0046567B">
        <w:rPr>
          <w:rFonts w:hint="eastAsia"/>
          <w:lang w:val="fr-FR" w:bidi="fr-FR"/>
        </w:rPr>
        <w:t>, système d</w:t>
      </w:r>
      <w:r w:rsidR="00FB11B3" w:rsidRPr="0046567B">
        <w:rPr>
          <w:lang w:val="fr-FR" w:bidi="fr-FR"/>
        </w:rPr>
        <w:t>’</w:t>
      </w:r>
      <w:r w:rsidRPr="0046567B">
        <w:rPr>
          <w:rFonts w:hint="eastAsia"/>
          <w:lang w:val="fr-FR" w:bidi="fr-FR"/>
        </w:rPr>
        <w:t>information</w:t>
      </w:r>
      <w:r w:rsidR="00B408C7" w:rsidRPr="0046567B">
        <w:rPr>
          <w:lang w:val="fr-FR" w:bidi="fr-FR"/>
        </w:rPr>
        <w:br/>
      </w:r>
      <w:r w:rsidRPr="0046567B">
        <w:rPr>
          <w:rFonts w:hint="eastAsia"/>
          <w:lang w:val="fr-FR" w:bidi="fr-FR"/>
        </w:rPr>
        <w:t>et formation professionnelle</w:t>
      </w:r>
    </w:p>
    <w:p w14:paraId="26A3EC96" w14:textId="79B7F79A" w:rsidR="00B408C7" w:rsidRPr="0046567B" w:rsidRDefault="00B408C7" w:rsidP="00B408C7">
      <w:pPr>
        <w:pStyle w:val="SingleTxt"/>
        <w:spacing w:after="0" w:line="120" w:lineRule="exact"/>
        <w:rPr>
          <w:sz w:val="10"/>
          <w:lang w:val="fr-FR" w:bidi="fr-FR"/>
        </w:rPr>
      </w:pPr>
    </w:p>
    <w:p w14:paraId="75C972B3" w14:textId="1FECFC2C"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Afin de garantir que les victimes de violences sexuelles bénéficient d</w:t>
      </w:r>
      <w:r w:rsidR="00FB11B3" w:rsidRPr="0046567B">
        <w:rPr>
          <w:lang w:val="fr-FR" w:bidi="fr-FR"/>
        </w:rPr>
        <w:t>’</w:t>
      </w:r>
      <w:r w:rsidRPr="0046567B">
        <w:rPr>
          <w:lang w:val="fr-FR" w:bidi="fr-FR"/>
        </w:rPr>
        <w:t>une attention particulière et de conseils dans l</w:t>
      </w:r>
      <w:r w:rsidR="00FB11B3" w:rsidRPr="0046567B">
        <w:rPr>
          <w:lang w:val="fr-FR" w:bidi="fr-FR"/>
        </w:rPr>
        <w:t>’</w:t>
      </w:r>
      <w:r w:rsidRPr="0046567B">
        <w:rPr>
          <w:lang w:val="fr-FR" w:bidi="fr-FR"/>
        </w:rPr>
        <w:t>anonymat le plus total, le Gouvernement a introduit en</w:t>
      </w:r>
      <w:r w:rsidR="002A20B0" w:rsidRPr="0046567B">
        <w:rPr>
          <w:lang w:val="fr-FR" w:bidi="fr-FR"/>
        </w:rPr>
        <w:t xml:space="preserve"> </w:t>
      </w:r>
      <w:r w:rsidRPr="0046567B">
        <w:rPr>
          <w:lang w:val="fr-FR" w:bidi="fr-FR"/>
        </w:rPr>
        <w:t>2007 un nouveau modèle de service complet à guichet unique comprenant une assistance multidisciplinaire pour les victimes de violences sexuelles. Dans le cadre de ce modèle, le Département de la protection sociale travaille en concertation avec la police, le</w:t>
      </w:r>
      <w:r w:rsidRPr="0046567B">
        <w:rPr>
          <w:rFonts w:hint="eastAsia"/>
          <w:lang w:val="fr-FR" w:bidi="fr-FR"/>
        </w:rPr>
        <w:t xml:space="preserve"> Ministère</w:t>
      </w:r>
      <w:r w:rsidRPr="0046567B">
        <w:rPr>
          <w:lang w:val="fr-FR" w:bidi="fr-FR"/>
        </w:rPr>
        <w:t xml:space="preserve"> de la</w:t>
      </w:r>
      <w:r w:rsidRPr="0046567B">
        <w:rPr>
          <w:rFonts w:hint="eastAsia"/>
          <w:lang w:val="fr-FR" w:bidi="fr-FR"/>
        </w:rPr>
        <w:t xml:space="preserve"> santé</w:t>
      </w:r>
      <w:r w:rsidRPr="0046567B">
        <w:rPr>
          <w:lang w:val="fr-FR" w:bidi="fr-FR"/>
        </w:rPr>
        <w:t xml:space="preserve"> et la </w:t>
      </w:r>
      <w:r w:rsidRPr="0046567B">
        <w:rPr>
          <w:rFonts w:hint="eastAsia"/>
          <w:lang w:val="fr-FR" w:bidi="fr-FR"/>
        </w:rPr>
        <w:t>Direction</w:t>
      </w:r>
      <w:r w:rsidRPr="0046567B">
        <w:rPr>
          <w:lang w:val="fr-FR" w:bidi="fr-FR"/>
        </w:rPr>
        <w:t xml:space="preserve"> </w:t>
      </w:r>
      <w:r w:rsidRPr="0046567B">
        <w:rPr>
          <w:rFonts w:hint="eastAsia"/>
          <w:lang w:val="fr-FR" w:bidi="fr-FR"/>
        </w:rPr>
        <w:t xml:space="preserve">générale des hôpitaux </w:t>
      </w:r>
      <w:r w:rsidRPr="0046567B">
        <w:rPr>
          <w:lang w:val="fr-FR" w:bidi="fr-FR"/>
        </w:rPr>
        <w:t>pour fournir aux victimes une assistance professionnelle, coordonnée et adaptée. Une ONG est chargée de gérer le Centre polyvalent d</w:t>
      </w:r>
      <w:r w:rsidR="00FB11B3" w:rsidRPr="0046567B">
        <w:rPr>
          <w:lang w:val="fr-FR" w:bidi="fr-FR"/>
        </w:rPr>
        <w:t>’</w:t>
      </w:r>
      <w:r w:rsidRPr="0046567B">
        <w:rPr>
          <w:lang w:val="fr-FR" w:bidi="fr-FR"/>
        </w:rPr>
        <w:t>intervention et de soutien dans des situations de crise qui charge alors des travailleuses et travailleurs sociaux de coordonner et de fournir des services d</w:t>
      </w:r>
      <w:r w:rsidR="00FB11B3" w:rsidRPr="0046567B">
        <w:rPr>
          <w:lang w:val="fr-FR" w:bidi="fr-FR"/>
        </w:rPr>
        <w:t>’</w:t>
      </w:r>
      <w:r w:rsidRPr="0046567B">
        <w:rPr>
          <w:lang w:val="fr-FR" w:bidi="fr-FR"/>
        </w:rPr>
        <w:t>aide et de suivi immédiats aux victimes. Ces</w:t>
      </w:r>
      <w:r w:rsidRPr="0046567B">
        <w:rPr>
          <w:rFonts w:hint="eastAsia"/>
          <w:lang w:val="fr-FR" w:bidi="fr-FR"/>
        </w:rPr>
        <w:t xml:space="preserve"> services, le système d</w:t>
      </w:r>
      <w:r w:rsidR="00FB11B3" w:rsidRPr="0046567B">
        <w:rPr>
          <w:lang w:val="fr-FR" w:bidi="fr-FR"/>
        </w:rPr>
        <w:t>’</w:t>
      </w:r>
      <w:r w:rsidRPr="0046567B">
        <w:rPr>
          <w:rFonts w:hint="eastAsia"/>
          <w:lang w:val="fr-FR" w:bidi="fr-FR"/>
        </w:rPr>
        <w:t xml:space="preserve">information permettant de saisir certaines informations sur les cas de violence familiale ainsi que la formation des professionnels </w:t>
      </w:r>
      <w:r w:rsidRPr="0046567B">
        <w:rPr>
          <w:lang w:val="fr-FR" w:bidi="fr-FR"/>
        </w:rPr>
        <w:t>font l</w:t>
      </w:r>
      <w:r w:rsidR="00FB11B3" w:rsidRPr="0046567B">
        <w:rPr>
          <w:lang w:val="fr-FR" w:bidi="fr-FR"/>
        </w:rPr>
        <w:t>’</w:t>
      </w:r>
      <w:r w:rsidRPr="0046567B">
        <w:rPr>
          <w:lang w:val="fr-FR" w:bidi="fr-FR"/>
        </w:rPr>
        <w:t>objet de</w:t>
      </w:r>
      <w:r w:rsidRPr="0046567B">
        <w:rPr>
          <w:rFonts w:hint="eastAsia"/>
          <w:lang w:val="fr-FR" w:bidi="fr-FR"/>
        </w:rPr>
        <w:t xml:space="preserve"> l</w:t>
      </w:r>
      <w:r w:rsidR="00FB11B3" w:rsidRPr="0046567B">
        <w:rPr>
          <w:lang w:val="fr-FR" w:bidi="fr-FR"/>
        </w:rPr>
        <w:t>’</w:t>
      </w:r>
      <w:r w:rsidRPr="0046567B">
        <w:rPr>
          <w:rFonts w:hint="eastAsia"/>
          <w:lang w:val="fr-FR" w:bidi="fr-FR"/>
        </w:rPr>
        <w:t>annexe 5E du présent rapport</w:t>
      </w:r>
      <w:r w:rsidRPr="0046567B">
        <w:rPr>
          <w:lang w:val="fr-FR" w:bidi="fr-FR"/>
        </w:rPr>
        <w:t>.</w:t>
      </w:r>
    </w:p>
    <w:p w14:paraId="4C42270D" w14:textId="47623DC1"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Département de la protection sociale a récemment commencé à examiner les services proposés dans le cadre du guichet unique pour identifier les points à améliorer. Il s</w:t>
      </w:r>
      <w:r w:rsidR="00FB11B3" w:rsidRPr="0046567B">
        <w:rPr>
          <w:lang w:val="fr-FR" w:bidi="fr-FR"/>
        </w:rPr>
        <w:t>’</w:t>
      </w:r>
      <w:r w:rsidRPr="0046567B">
        <w:rPr>
          <w:lang w:val="fr-FR" w:bidi="fr-FR"/>
        </w:rPr>
        <w:t>agit notamment de renforcer la coordination multidisciplinaire entre les services d</w:t>
      </w:r>
      <w:r w:rsidR="00FB11B3" w:rsidRPr="0046567B">
        <w:rPr>
          <w:lang w:val="fr-FR" w:bidi="fr-FR"/>
        </w:rPr>
        <w:t>’</w:t>
      </w:r>
      <w:r w:rsidRPr="0046567B">
        <w:rPr>
          <w:lang w:val="fr-FR" w:bidi="fr-FR"/>
        </w:rPr>
        <w:t>orientation et d</w:t>
      </w:r>
      <w:r w:rsidR="00FB11B3" w:rsidRPr="0046567B">
        <w:rPr>
          <w:lang w:val="fr-FR" w:bidi="fr-FR"/>
        </w:rPr>
        <w:t>’</w:t>
      </w:r>
      <w:r w:rsidRPr="0046567B">
        <w:rPr>
          <w:lang w:val="fr-FR" w:bidi="fr-FR"/>
        </w:rPr>
        <w:t xml:space="preserve">assistance dans le cadre de </w:t>
      </w:r>
      <w:r w:rsidRPr="0046567B">
        <w:rPr>
          <w:rFonts w:hint="eastAsia"/>
          <w:lang w:val="fr-FR" w:bidi="fr-FR"/>
        </w:rPr>
        <w:t>manifestations</w:t>
      </w:r>
      <w:r w:rsidRPr="0046567B">
        <w:rPr>
          <w:lang w:val="fr-FR" w:bidi="fr-FR"/>
        </w:rPr>
        <w:t xml:space="preserve"> interservices et de réunions régulières</w:t>
      </w:r>
      <w:r w:rsidR="00FB11B3" w:rsidRPr="0046567B">
        <w:rPr>
          <w:lang w:val="fr-FR" w:bidi="fr-FR"/>
        </w:rPr>
        <w:t> ;</w:t>
      </w:r>
      <w:r w:rsidRPr="0046567B">
        <w:rPr>
          <w:lang w:val="fr-FR" w:bidi="fr-FR"/>
        </w:rPr>
        <w:t xml:space="preserve"> d</w:t>
      </w:r>
      <w:r w:rsidR="00FB11B3" w:rsidRPr="0046567B">
        <w:rPr>
          <w:lang w:val="fr-FR" w:bidi="fr-FR"/>
        </w:rPr>
        <w:t>’</w:t>
      </w:r>
      <w:r w:rsidRPr="0046567B">
        <w:rPr>
          <w:lang w:val="fr-FR" w:bidi="fr-FR"/>
        </w:rPr>
        <w:t>intensifier l</w:t>
      </w:r>
      <w:r w:rsidR="00FB11B3" w:rsidRPr="0046567B">
        <w:rPr>
          <w:lang w:val="fr-FR" w:bidi="fr-FR"/>
        </w:rPr>
        <w:t>’</w:t>
      </w:r>
      <w:r w:rsidRPr="0046567B">
        <w:rPr>
          <w:lang w:val="fr-FR" w:bidi="fr-FR"/>
        </w:rPr>
        <w:t>information au sein des services par tous les bureaux, départements et agences concernés</w:t>
      </w:r>
      <w:r w:rsidR="00FB11B3" w:rsidRPr="0046567B">
        <w:rPr>
          <w:lang w:val="fr-FR" w:bidi="fr-FR"/>
        </w:rPr>
        <w:t> ;</w:t>
      </w:r>
      <w:r w:rsidRPr="0046567B">
        <w:rPr>
          <w:lang w:val="fr-FR" w:bidi="fr-FR"/>
        </w:rPr>
        <w:t xml:space="preserve"> de revoir et de mettre à jour la liste des lieux désignés dans les hôpitaux publics ainsi que d</w:t>
      </w:r>
      <w:r w:rsidR="00FB11B3" w:rsidRPr="0046567B">
        <w:rPr>
          <w:lang w:val="fr-FR" w:bidi="fr-FR"/>
        </w:rPr>
        <w:t>’</w:t>
      </w:r>
      <w:r w:rsidRPr="0046567B">
        <w:rPr>
          <w:rFonts w:hint="eastAsia"/>
          <w:lang w:val="fr-FR" w:bidi="fr-FR"/>
        </w:rPr>
        <w:t xml:space="preserve">explorer de nouveaux sites </w:t>
      </w:r>
      <w:r w:rsidRPr="0046567B">
        <w:rPr>
          <w:lang w:val="fr-FR" w:bidi="fr-FR"/>
        </w:rPr>
        <w:t>permettant d</w:t>
      </w:r>
      <w:r w:rsidR="00FB11B3" w:rsidRPr="0046567B">
        <w:rPr>
          <w:lang w:val="fr-FR" w:bidi="fr-FR"/>
        </w:rPr>
        <w:t>’</w:t>
      </w:r>
      <w:r w:rsidRPr="0046567B">
        <w:rPr>
          <w:lang w:val="fr-FR" w:bidi="fr-FR"/>
        </w:rPr>
        <w:t>offrir un espace dédié aux services du guichet unique</w:t>
      </w:r>
      <w:r w:rsidR="00FB11B3" w:rsidRPr="0046567B">
        <w:rPr>
          <w:lang w:val="fr-FR" w:bidi="fr-FR"/>
        </w:rPr>
        <w:t> ;</w:t>
      </w:r>
      <w:r w:rsidRPr="0046567B">
        <w:rPr>
          <w:lang w:val="fr-FR" w:bidi="fr-FR"/>
        </w:rPr>
        <w:t xml:space="preserve"> de revoir la collecte des données et le mécanisme de signalement des </w:t>
      </w:r>
      <w:r w:rsidRPr="0046567B">
        <w:rPr>
          <w:rFonts w:hint="eastAsia"/>
          <w:lang w:val="fr-FR" w:bidi="fr-FR"/>
        </w:rPr>
        <w:t xml:space="preserve">cas </w:t>
      </w:r>
      <w:r w:rsidRPr="0046567B">
        <w:rPr>
          <w:lang w:val="fr-FR" w:bidi="fr-FR"/>
        </w:rPr>
        <w:t>de violence sexuelle pour une meilleure planification des services. L</w:t>
      </w:r>
      <w:r w:rsidR="00FB11B3" w:rsidRPr="0046567B">
        <w:rPr>
          <w:lang w:val="fr-FR" w:bidi="fr-FR"/>
        </w:rPr>
        <w:t>’</w:t>
      </w:r>
      <w:r w:rsidRPr="0046567B">
        <w:rPr>
          <w:lang w:val="fr-FR" w:bidi="fr-FR"/>
        </w:rPr>
        <w:t>examen de ce dispositif devrait être achevé d</w:t>
      </w:r>
      <w:r w:rsidR="00FB11B3" w:rsidRPr="0046567B">
        <w:rPr>
          <w:lang w:val="fr-FR" w:bidi="fr-FR"/>
        </w:rPr>
        <w:t>’</w:t>
      </w:r>
      <w:r w:rsidRPr="0046567B">
        <w:rPr>
          <w:lang w:val="fr-FR" w:bidi="fr-FR"/>
        </w:rPr>
        <w:t>ici à la fin de</w:t>
      </w:r>
      <w:r w:rsidR="002A20B0" w:rsidRPr="0046567B">
        <w:rPr>
          <w:lang w:val="fr-FR" w:bidi="fr-FR"/>
        </w:rPr>
        <w:t xml:space="preserve"> </w:t>
      </w:r>
      <w:r w:rsidRPr="0046567B">
        <w:rPr>
          <w:lang w:val="fr-FR" w:bidi="fr-FR"/>
        </w:rPr>
        <w:t>2018.</w:t>
      </w:r>
    </w:p>
    <w:p w14:paraId="7936295F" w14:textId="2DDE1B0C" w:rsidR="00B408C7" w:rsidRPr="0046567B" w:rsidRDefault="00B408C7" w:rsidP="00B408C7">
      <w:pPr>
        <w:pStyle w:val="SingleTxt"/>
        <w:spacing w:after="0" w:line="120" w:lineRule="exact"/>
        <w:rPr>
          <w:sz w:val="10"/>
          <w:lang w:val="fr-FR" w:bidi="fr-FR"/>
        </w:rPr>
      </w:pPr>
    </w:p>
    <w:p w14:paraId="3CC066D0" w14:textId="3C351008" w:rsidR="00B408C7" w:rsidRPr="0046567B" w:rsidRDefault="00B408C7" w:rsidP="00B408C7">
      <w:pPr>
        <w:pStyle w:val="SingleTxt"/>
        <w:spacing w:after="0" w:line="120" w:lineRule="exact"/>
        <w:rPr>
          <w:sz w:val="10"/>
          <w:lang w:val="fr-FR"/>
        </w:rPr>
      </w:pPr>
    </w:p>
    <w:p w14:paraId="20E0F877" w14:textId="157D6F94" w:rsidR="00FC36AA" w:rsidRPr="0046567B" w:rsidRDefault="00FC36AA" w:rsidP="00B408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6 </w:t>
      </w:r>
      <w:r w:rsidR="00F2347E" w:rsidRPr="0046567B">
        <w:rPr>
          <w:lang w:val="fr-FR" w:bidi="fr-FR"/>
        </w:rPr>
        <w:t>–</w:t>
      </w:r>
      <w:r w:rsidRPr="0046567B">
        <w:rPr>
          <w:lang w:val="fr-FR" w:bidi="fr-FR"/>
        </w:rPr>
        <w:t xml:space="preserve"> Exploitation des femmes</w:t>
      </w:r>
    </w:p>
    <w:p w14:paraId="31C6CC92" w14:textId="32A2D65B" w:rsidR="00B408C7" w:rsidRPr="0046567B" w:rsidRDefault="00B408C7" w:rsidP="00B408C7">
      <w:pPr>
        <w:pStyle w:val="SingleTxt"/>
        <w:spacing w:after="0" w:line="120" w:lineRule="exact"/>
        <w:rPr>
          <w:sz w:val="10"/>
          <w:lang w:val="fr-FR" w:bidi="fr-FR"/>
        </w:rPr>
      </w:pPr>
    </w:p>
    <w:p w14:paraId="2C062851" w14:textId="31F45FCF" w:rsidR="00B408C7" w:rsidRPr="0046567B" w:rsidRDefault="00B408C7" w:rsidP="00B408C7">
      <w:pPr>
        <w:pStyle w:val="SingleTxt"/>
        <w:spacing w:after="0" w:line="120" w:lineRule="exact"/>
        <w:rPr>
          <w:sz w:val="10"/>
          <w:lang w:val="fr-FR" w:bidi="fr-FR"/>
        </w:rPr>
      </w:pPr>
    </w:p>
    <w:p w14:paraId="71A89F6E" w14:textId="68F4A597"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Prostitution et traite des femmes</w:t>
      </w:r>
    </w:p>
    <w:p w14:paraId="0C81931C" w14:textId="61F5594F" w:rsidR="00B408C7" w:rsidRPr="0046567B" w:rsidRDefault="00B408C7" w:rsidP="00B408C7">
      <w:pPr>
        <w:pStyle w:val="SingleTxt"/>
        <w:spacing w:after="0" w:line="120" w:lineRule="exact"/>
        <w:rPr>
          <w:sz w:val="10"/>
          <w:lang w:val="fr-FR" w:bidi="fr-FR"/>
        </w:rPr>
      </w:pPr>
    </w:p>
    <w:p w14:paraId="1C70181F" w14:textId="235CD995" w:rsidR="00B408C7" w:rsidRPr="0046567B" w:rsidRDefault="00B408C7" w:rsidP="00B408C7">
      <w:pPr>
        <w:pStyle w:val="SingleTxt"/>
        <w:spacing w:after="0" w:line="120" w:lineRule="exact"/>
        <w:rPr>
          <w:sz w:val="10"/>
          <w:lang w:val="fr-FR" w:bidi="fr-FR"/>
        </w:rPr>
      </w:pPr>
    </w:p>
    <w:p w14:paraId="6CF9339F" w14:textId="5705BCA8"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bookmarkStart w:id="10" w:name="_Prostitution_and_trafficking_of_wom"/>
      <w:bookmarkEnd w:id="10"/>
      <w:r w:rsidRPr="0046567B">
        <w:rPr>
          <w:lang w:val="fr-FR" w:bidi="fr-FR"/>
        </w:rPr>
        <w:tab/>
      </w:r>
      <w:r w:rsidRPr="0046567B">
        <w:rPr>
          <w:lang w:val="fr-FR" w:bidi="fr-FR"/>
        </w:rPr>
        <w:tab/>
        <w:t>Mesures contre la traite des femmes et la prostitution des filles et des enfants</w:t>
      </w:r>
    </w:p>
    <w:p w14:paraId="12234E14" w14:textId="6F770EF5" w:rsidR="00B408C7" w:rsidRPr="0046567B" w:rsidRDefault="00B408C7" w:rsidP="00B408C7">
      <w:pPr>
        <w:pStyle w:val="SingleTxt"/>
        <w:spacing w:after="0" w:line="120" w:lineRule="exact"/>
        <w:rPr>
          <w:sz w:val="10"/>
          <w:lang w:val="fr-FR" w:bidi="fr-FR"/>
        </w:rPr>
      </w:pPr>
    </w:p>
    <w:p w14:paraId="2F3E53EC" w14:textId="1F7BB474"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Actuellement, le Protocole additionnel à la Convention des Nations Unies contre la criminalité transnationale organisée visant à prévenir, réprimer et punir la traite des personnes, en particulier des femmes et des enfants (Protocole de Palerme) ne s</w:t>
      </w:r>
      <w:r w:rsidR="00FB11B3" w:rsidRPr="0046567B">
        <w:rPr>
          <w:lang w:val="fr-FR" w:bidi="fr-FR"/>
        </w:rPr>
        <w:t>’</w:t>
      </w:r>
      <w:r w:rsidRPr="0046567B">
        <w:rPr>
          <w:lang w:val="fr-FR" w:bidi="fr-FR"/>
        </w:rPr>
        <w:t>applique pas à la Région administrative spéciale de Hong Kong. Tout en prenant note de la recommandation du Comité, reprise aux paragraphes</w:t>
      </w:r>
      <w:r w:rsidR="002A20B0" w:rsidRPr="0046567B">
        <w:rPr>
          <w:lang w:val="fr-FR" w:bidi="fr-FR"/>
        </w:rPr>
        <w:t> </w:t>
      </w:r>
      <w:r w:rsidRPr="0046567B">
        <w:rPr>
          <w:lang w:val="fr-FR" w:bidi="fr-FR"/>
        </w:rPr>
        <w:t>56 et</w:t>
      </w:r>
      <w:r w:rsidR="002A20B0" w:rsidRPr="0046567B">
        <w:rPr>
          <w:lang w:val="fr-FR" w:bidi="fr-FR"/>
        </w:rPr>
        <w:t xml:space="preserve"> </w:t>
      </w:r>
      <w:r w:rsidRPr="0046567B">
        <w:rPr>
          <w:lang w:val="fr-FR" w:bidi="fr-FR"/>
        </w:rPr>
        <w:t>57 de ses précédentes observations finales, d</w:t>
      </w:r>
      <w:r w:rsidR="00FB11B3" w:rsidRPr="0046567B">
        <w:rPr>
          <w:lang w:val="fr-FR" w:bidi="fr-FR"/>
        </w:rPr>
        <w:t>’</w:t>
      </w:r>
      <w:r w:rsidRPr="0046567B">
        <w:rPr>
          <w:lang w:val="fr-FR" w:bidi="fr-FR"/>
        </w:rPr>
        <w:t>envisager entre autres d</w:t>
      </w:r>
      <w:r w:rsidR="00FB11B3" w:rsidRPr="0046567B">
        <w:rPr>
          <w:lang w:val="fr-FR" w:bidi="fr-FR"/>
        </w:rPr>
        <w:t>’</w:t>
      </w:r>
      <w:r w:rsidRPr="0046567B">
        <w:rPr>
          <w:lang w:val="fr-FR" w:bidi="fr-FR"/>
        </w:rPr>
        <w:t>étendre l</w:t>
      </w:r>
      <w:r w:rsidR="00FB11B3" w:rsidRPr="0046567B">
        <w:rPr>
          <w:lang w:val="fr-FR" w:bidi="fr-FR"/>
        </w:rPr>
        <w:t>’</w:t>
      </w:r>
      <w:r w:rsidRPr="0046567B">
        <w:rPr>
          <w:lang w:val="fr-FR" w:bidi="fr-FR"/>
        </w:rPr>
        <w:t>applicabilité du Protocole de Palerme à Hong Kong, nous sommes conscients, compte tenu du régime libéral de la Région administrative spéciale de Hong Kong en matière de visas, des conséquences négatives que le Protocole de Palerme pourrait entraîner sur l</w:t>
      </w:r>
      <w:r w:rsidR="00FB11B3" w:rsidRPr="0046567B">
        <w:rPr>
          <w:lang w:val="fr-FR" w:bidi="fr-FR"/>
        </w:rPr>
        <w:t>’</w:t>
      </w:r>
      <w:r w:rsidRPr="0046567B">
        <w:rPr>
          <w:lang w:val="fr-FR" w:bidi="fr-FR"/>
        </w:rPr>
        <w:t>efficacité de nos contrôles à l</w:t>
      </w:r>
      <w:r w:rsidR="00FB11B3" w:rsidRPr="0046567B">
        <w:rPr>
          <w:lang w:val="fr-FR" w:bidi="fr-FR"/>
        </w:rPr>
        <w:t>’</w:t>
      </w:r>
      <w:r w:rsidRPr="0046567B">
        <w:rPr>
          <w:lang w:val="fr-FR" w:bidi="fr-FR"/>
        </w:rPr>
        <w:t>immigration et sur les abus possibles de la part des personnes qui dépassent la durée légale de séjour autorisée et des migrants clandestins, en cas d</w:t>
      </w:r>
      <w:r w:rsidR="00FB11B3" w:rsidRPr="0046567B">
        <w:rPr>
          <w:lang w:val="fr-FR" w:bidi="fr-FR"/>
        </w:rPr>
        <w:t>’</w:t>
      </w:r>
      <w:r w:rsidRPr="0046567B">
        <w:rPr>
          <w:lang w:val="fr-FR" w:bidi="fr-FR"/>
        </w:rPr>
        <w:t>application de ce Protocole à la Région administrative spéciale de Hong Kong, en particulier la disposition exigeant des États parties qu</w:t>
      </w:r>
      <w:r w:rsidR="00FB11B3" w:rsidRPr="0046567B">
        <w:rPr>
          <w:lang w:val="fr-FR" w:bidi="fr-FR"/>
        </w:rPr>
        <w:t>’</w:t>
      </w:r>
      <w:r w:rsidRPr="0046567B">
        <w:rPr>
          <w:lang w:val="fr-FR" w:bidi="fr-FR"/>
        </w:rPr>
        <w:t>ils adoptent des mesures permettant aux victimes de la traite des personnes de rester sur le territoire. Après avoir examiné ces incidences, nous n</w:t>
      </w:r>
      <w:r w:rsidR="00FB11B3" w:rsidRPr="0046567B">
        <w:rPr>
          <w:lang w:val="fr-FR" w:bidi="fr-FR"/>
        </w:rPr>
        <w:t>’</w:t>
      </w:r>
      <w:r w:rsidRPr="0046567B">
        <w:rPr>
          <w:lang w:val="fr-FR" w:bidi="fr-FR"/>
        </w:rPr>
        <w:t>avons pas l</w:t>
      </w:r>
      <w:r w:rsidR="00FB11B3" w:rsidRPr="0046567B">
        <w:rPr>
          <w:lang w:val="fr-FR" w:bidi="fr-FR"/>
        </w:rPr>
        <w:t>’</w:t>
      </w:r>
      <w:r w:rsidRPr="0046567B">
        <w:rPr>
          <w:lang w:val="fr-FR" w:bidi="fr-FR"/>
        </w:rPr>
        <w:t>intention d</w:t>
      </w:r>
      <w:r w:rsidR="00FB11B3" w:rsidRPr="0046567B">
        <w:rPr>
          <w:lang w:val="fr-FR" w:bidi="fr-FR"/>
        </w:rPr>
        <w:t>’</w:t>
      </w:r>
      <w:r w:rsidRPr="0046567B">
        <w:rPr>
          <w:lang w:val="fr-FR" w:bidi="fr-FR"/>
        </w:rPr>
        <w:t>étendre le Protocole de Palerme à la Région administrative spéciale de Hong Kong.</w:t>
      </w:r>
    </w:p>
    <w:p w14:paraId="25E1DA85" w14:textId="6488D54A" w:rsidR="00B408C7" w:rsidRPr="0046567B" w:rsidRDefault="00B408C7" w:rsidP="00B408C7">
      <w:pPr>
        <w:pStyle w:val="SingleTxt"/>
        <w:spacing w:after="0" w:line="120" w:lineRule="exact"/>
        <w:rPr>
          <w:sz w:val="10"/>
          <w:lang w:val="fr-FR" w:bidi="fr-FR"/>
        </w:rPr>
      </w:pPr>
    </w:p>
    <w:p w14:paraId="052653A3" w14:textId="2CB397AE"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r>
      <w:r w:rsidRPr="0046567B">
        <w:rPr>
          <w:szCs w:val="20"/>
          <w:lang w:val="fr-FR" w:bidi="fr-FR"/>
        </w:rPr>
        <w:t>Approche</w:t>
      </w:r>
      <w:r w:rsidRPr="0046567B">
        <w:rPr>
          <w:lang w:val="fr-FR" w:bidi="fr-FR"/>
        </w:rPr>
        <w:t xml:space="preserve"> « à législations multiples » de la traite des personnes</w:t>
      </w:r>
    </w:p>
    <w:p w14:paraId="00CEBFF6" w14:textId="16A6FA5D" w:rsidR="00B408C7" w:rsidRPr="0046567B" w:rsidRDefault="00B408C7" w:rsidP="00B408C7">
      <w:pPr>
        <w:pStyle w:val="SingleTxt"/>
        <w:spacing w:after="0" w:line="120" w:lineRule="exact"/>
        <w:rPr>
          <w:sz w:val="10"/>
          <w:lang w:val="fr-FR" w:bidi="fr-FR"/>
        </w:rPr>
      </w:pPr>
    </w:p>
    <w:p w14:paraId="2A6351F5" w14:textId="6BC979A7"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En ce qui concerne la recommandation du Comité visant à adopter une législation complète contre la traite des personnes, le Comité est invité à prendre note du fait que la Région administrative spéciale de Hong Kong règle déjà cette question à travers plusieurs textes législatifs locaux, tels que l</w:t>
      </w:r>
      <w:r w:rsidR="00FB11B3" w:rsidRPr="0046567B">
        <w:rPr>
          <w:lang w:val="fr-FR" w:bidi="fr-FR"/>
        </w:rPr>
        <w:t>’</w:t>
      </w:r>
      <w:r w:rsidRPr="0046567B">
        <w:rPr>
          <w:lang w:val="fr-FR" w:bidi="fr-FR"/>
        </w:rPr>
        <w:t>ordonnance relative aux infractions pénales (chap. 200), qui interdit la traite des personnes à destination ou en provenance de Hong Kong à des fins de prostitution, entre autres</w:t>
      </w:r>
      <w:r w:rsidR="00FB11B3" w:rsidRPr="0046567B">
        <w:rPr>
          <w:lang w:val="fr-FR" w:bidi="fr-FR"/>
        </w:rPr>
        <w:t> ;</w:t>
      </w:r>
      <w:r w:rsidRPr="0046567B">
        <w:rPr>
          <w:lang w:val="fr-FR" w:bidi="fr-FR"/>
        </w:rPr>
        <w:t xml:space="preserve"> l</w:t>
      </w:r>
      <w:r w:rsidR="00FB11B3" w:rsidRPr="0046567B">
        <w:rPr>
          <w:lang w:val="fr-FR" w:bidi="fr-FR"/>
        </w:rPr>
        <w:t>’</w:t>
      </w:r>
      <w:r w:rsidRPr="0046567B">
        <w:rPr>
          <w:lang w:val="fr-FR" w:bidi="fr-FR"/>
        </w:rPr>
        <w:t>ordonnance sur la transplantation d</w:t>
      </w:r>
      <w:r w:rsidR="00FB11B3" w:rsidRPr="0046567B">
        <w:rPr>
          <w:lang w:val="fr-FR" w:bidi="fr-FR"/>
        </w:rPr>
        <w:t>’</w:t>
      </w:r>
      <w:r w:rsidRPr="0046567B">
        <w:rPr>
          <w:lang w:val="fr-FR" w:bidi="fr-FR"/>
        </w:rPr>
        <w:t>organes humains (chap. 465) qui interdit les transactions portant sur des organes humains</w:t>
      </w:r>
      <w:r w:rsidR="00FB11B3" w:rsidRPr="0046567B">
        <w:rPr>
          <w:lang w:val="fr-FR" w:bidi="fr-FR"/>
        </w:rPr>
        <w:t> ;</w:t>
      </w:r>
      <w:r w:rsidRPr="0046567B">
        <w:rPr>
          <w:lang w:val="fr-FR" w:bidi="fr-FR"/>
        </w:rPr>
        <w:t xml:space="preserve"> l</w:t>
      </w:r>
      <w:r w:rsidR="00FB11B3" w:rsidRPr="0046567B">
        <w:rPr>
          <w:lang w:val="fr-FR" w:bidi="fr-FR"/>
        </w:rPr>
        <w:t>’</w:t>
      </w:r>
      <w:r w:rsidRPr="0046567B">
        <w:rPr>
          <w:lang w:val="fr-FR" w:bidi="fr-FR"/>
        </w:rPr>
        <w:t>ordonnance sur la prévention de la pédopornographie (chap. 579), qui interdit la pornographie mettant en scène des enfants</w:t>
      </w:r>
      <w:r w:rsidR="00FB11B3" w:rsidRPr="0046567B">
        <w:rPr>
          <w:lang w:val="fr-FR" w:bidi="fr-FR"/>
        </w:rPr>
        <w:t> ;</w:t>
      </w:r>
      <w:r w:rsidRPr="0046567B">
        <w:rPr>
          <w:lang w:val="fr-FR" w:bidi="fr-FR"/>
        </w:rPr>
        <w:t xml:space="preserve"> l</w:t>
      </w:r>
      <w:r w:rsidR="00FB11B3" w:rsidRPr="0046567B">
        <w:rPr>
          <w:lang w:val="fr-FR" w:bidi="fr-FR"/>
        </w:rPr>
        <w:t>’</w:t>
      </w:r>
      <w:r w:rsidRPr="0046567B">
        <w:rPr>
          <w:lang w:val="fr-FR" w:bidi="fr-FR"/>
        </w:rPr>
        <w:t>ordonnance relative à l</w:t>
      </w:r>
      <w:r w:rsidR="00FB11B3" w:rsidRPr="0046567B">
        <w:rPr>
          <w:lang w:val="fr-FR" w:bidi="fr-FR"/>
        </w:rPr>
        <w:t>’</w:t>
      </w:r>
      <w:r w:rsidRPr="0046567B">
        <w:rPr>
          <w:lang w:val="fr-FR" w:bidi="fr-FR"/>
        </w:rPr>
        <w:t>immigration (chap.</w:t>
      </w:r>
      <w:r w:rsidR="002A20B0" w:rsidRPr="0046567B">
        <w:rPr>
          <w:lang w:val="fr-FR" w:bidi="fr-FR"/>
        </w:rPr>
        <w:t> </w:t>
      </w:r>
      <w:r w:rsidRPr="0046567B">
        <w:rPr>
          <w:lang w:val="fr-FR" w:bidi="fr-FR"/>
        </w:rPr>
        <w:t>115) qui interdit tout arrangement portant sur une entrée non autorisée sur le territoire de Hong Kong et le recrutement de travailleurs illégaux</w:t>
      </w:r>
      <w:r w:rsidR="00FB11B3" w:rsidRPr="0046567B">
        <w:rPr>
          <w:lang w:val="fr-FR" w:bidi="fr-FR"/>
        </w:rPr>
        <w:t> ;</w:t>
      </w:r>
      <w:r w:rsidR="002A20B0" w:rsidRPr="0046567B">
        <w:rPr>
          <w:lang w:val="fr-FR" w:bidi="fr-FR"/>
        </w:rPr>
        <w:t xml:space="preserve"> </w:t>
      </w:r>
      <w:r w:rsidRPr="0046567B">
        <w:rPr>
          <w:lang w:val="fr-FR" w:bidi="fr-FR"/>
        </w:rPr>
        <w:t>l</w:t>
      </w:r>
      <w:r w:rsidR="00FB11B3" w:rsidRPr="0046567B">
        <w:rPr>
          <w:lang w:val="fr-FR" w:bidi="fr-FR"/>
        </w:rPr>
        <w:t>’</w:t>
      </w:r>
      <w:r w:rsidRPr="0046567B">
        <w:rPr>
          <w:lang w:val="fr-FR" w:bidi="fr-FR"/>
        </w:rPr>
        <w:t>ordonnance relative à l</w:t>
      </w:r>
      <w:r w:rsidR="00FB11B3" w:rsidRPr="0046567B">
        <w:rPr>
          <w:lang w:val="fr-FR" w:bidi="fr-FR"/>
        </w:rPr>
        <w:t>’</w:t>
      </w:r>
      <w:r w:rsidRPr="0046567B">
        <w:rPr>
          <w:lang w:val="fr-FR" w:bidi="fr-FR"/>
        </w:rPr>
        <w:t>emploi (chap.</w:t>
      </w:r>
      <w:r w:rsidR="002A20B0" w:rsidRPr="0046567B">
        <w:rPr>
          <w:lang w:val="fr-FR" w:bidi="fr-FR"/>
        </w:rPr>
        <w:t> </w:t>
      </w:r>
      <w:r w:rsidRPr="0046567B">
        <w:rPr>
          <w:lang w:val="fr-FR" w:bidi="fr-FR"/>
        </w:rPr>
        <w:t>57) qui pose le principe de la responsabilité pénale des employeurs pour le non-paiement, le sous-paiement ou le retard de paiement des salaires, le défaut d</w:t>
      </w:r>
      <w:r w:rsidR="00FB11B3" w:rsidRPr="0046567B">
        <w:rPr>
          <w:lang w:val="fr-FR" w:bidi="fr-FR"/>
        </w:rPr>
        <w:t>’</w:t>
      </w:r>
      <w:r w:rsidRPr="0046567B">
        <w:rPr>
          <w:lang w:val="fr-FR" w:bidi="fr-FR"/>
        </w:rPr>
        <w:t>octroi de jours de repos et de jours fériés aux employés</w:t>
      </w:r>
      <w:r w:rsidR="00FB11B3" w:rsidRPr="0046567B">
        <w:rPr>
          <w:lang w:val="fr-FR" w:bidi="fr-FR"/>
        </w:rPr>
        <w:t> ;</w:t>
      </w:r>
      <w:r w:rsidRPr="0046567B">
        <w:rPr>
          <w:lang w:val="fr-FR" w:bidi="fr-FR"/>
        </w:rPr>
        <w:t xml:space="preserve"> et d</w:t>
      </w:r>
      <w:r w:rsidR="00FB11B3" w:rsidRPr="0046567B">
        <w:rPr>
          <w:lang w:val="fr-FR" w:bidi="fr-FR"/>
        </w:rPr>
        <w:t>’</w:t>
      </w:r>
      <w:r w:rsidRPr="0046567B">
        <w:rPr>
          <w:lang w:val="fr-FR" w:bidi="fr-FR"/>
        </w:rPr>
        <w:t>autres ordonnances qui sanctionnent des infractions telles que les voies de fait, l</w:t>
      </w:r>
      <w:r w:rsidR="00FB11B3" w:rsidRPr="0046567B">
        <w:rPr>
          <w:lang w:val="fr-FR" w:bidi="fr-FR"/>
        </w:rPr>
        <w:t>’</w:t>
      </w:r>
      <w:r w:rsidRPr="0046567B">
        <w:rPr>
          <w:lang w:val="fr-FR" w:bidi="fr-FR"/>
        </w:rPr>
        <w:t>enlèvement ou la détention forcée de personnes dans l</w:t>
      </w:r>
      <w:r w:rsidR="00FB11B3" w:rsidRPr="0046567B">
        <w:rPr>
          <w:lang w:val="fr-FR" w:bidi="fr-FR"/>
        </w:rPr>
        <w:t>’</w:t>
      </w:r>
      <w:r w:rsidRPr="0046567B">
        <w:rPr>
          <w:lang w:val="fr-FR" w:bidi="fr-FR"/>
        </w:rPr>
        <w:t>intention d</w:t>
      </w:r>
      <w:r w:rsidR="00FB11B3" w:rsidRPr="0046567B">
        <w:rPr>
          <w:lang w:val="fr-FR" w:bidi="fr-FR"/>
        </w:rPr>
        <w:t>’</w:t>
      </w:r>
      <w:r w:rsidRPr="0046567B">
        <w:rPr>
          <w:lang w:val="fr-FR" w:bidi="fr-FR"/>
        </w:rPr>
        <w:t>en faire commerce, l</w:t>
      </w:r>
      <w:r w:rsidR="00FB11B3" w:rsidRPr="0046567B">
        <w:rPr>
          <w:lang w:val="fr-FR" w:bidi="fr-FR"/>
        </w:rPr>
        <w:t>’</w:t>
      </w:r>
      <w:r w:rsidRPr="0046567B">
        <w:rPr>
          <w:lang w:val="fr-FR" w:bidi="fr-FR"/>
        </w:rPr>
        <w:t>enlèvement d</w:t>
      </w:r>
      <w:r w:rsidR="00FB11B3" w:rsidRPr="0046567B">
        <w:rPr>
          <w:lang w:val="fr-FR" w:bidi="fr-FR"/>
        </w:rPr>
        <w:t>’</w:t>
      </w:r>
      <w:r w:rsidRPr="0046567B">
        <w:rPr>
          <w:lang w:val="fr-FR" w:bidi="fr-FR"/>
        </w:rPr>
        <w:t>enfants, la tromperie et le chantage, etc. Cette approche «</w:t>
      </w:r>
      <w:r w:rsidR="002A20B0" w:rsidRPr="0046567B">
        <w:rPr>
          <w:lang w:val="fr-FR" w:bidi="fr-FR"/>
        </w:rPr>
        <w:t xml:space="preserve"> </w:t>
      </w:r>
      <w:r w:rsidRPr="0046567B">
        <w:rPr>
          <w:lang w:val="fr-FR" w:bidi="fr-FR"/>
        </w:rPr>
        <w:t>à législations multiples</w:t>
      </w:r>
      <w:r w:rsidR="002A20B0" w:rsidRPr="0046567B">
        <w:rPr>
          <w:lang w:val="fr-FR" w:bidi="fr-FR"/>
        </w:rPr>
        <w:t xml:space="preserve"> </w:t>
      </w:r>
      <w:r w:rsidRPr="0046567B">
        <w:rPr>
          <w:lang w:val="fr-FR" w:bidi="fr-FR"/>
        </w:rPr>
        <w:t>» offre aux services chargés de l</w:t>
      </w:r>
      <w:r w:rsidR="00FB11B3" w:rsidRPr="0046567B">
        <w:rPr>
          <w:lang w:val="fr-FR" w:bidi="fr-FR"/>
        </w:rPr>
        <w:t>’</w:t>
      </w:r>
      <w:r w:rsidRPr="0046567B">
        <w:rPr>
          <w:lang w:val="fr-FR" w:bidi="fr-FR"/>
        </w:rPr>
        <w:t>application des lois et aux procureurs une plus grande souplesse dans les enquêtes et les poursuites pénales des affaires de traite.</w:t>
      </w:r>
    </w:p>
    <w:p w14:paraId="3F4BF141" w14:textId="0BE79DC8"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Par ailleurs, le Code des poursuites publié en</w:t>
      </w:r>
      <w:r w:rsidR="002A20B0" w:rsidRPr="0046567B">
        <w:rPr>
          <w:lang w:val="fr-FR" w:bidi="fr-FR"/>
        </w:rPr>
        <w:t xml:space="preserve"> </w:t>
      </w:r>
      <w:r w:rsidRPr="0046567B">
        <w:rPr>
          <w:lang w:val="fr-FR" w:bidi="fr-FR"/>
        </w:rPr>
        <w:t>2013 par le Ministère de la justice contient un nouveau paragraphe sur les «</w:t>
      </w:r>
      <w:r w:rsidR="002A20B0" w:rsidRPr="0046567B">
        <w:rPr>
          <w:lang w:val="fr-FR" w:bidi="fr-FR"/>
        </w:rPr>
        <w:t> </w:t>
      </w:r>
      <w:r w:rsidRPr="0046567B">
        <w:rPr>
          <w:lang w:val="fr-FR" w:bidi="fr-FR"/>
        </w:rPr>
        <w:t>affaires d</w:t>
      </w:r>
      <w:r w:rsidR="00FB11B3" w:rsidRPr="0046567B">
        <w:rPr>
          <w:lang w:val="fr-FR" w:bidi="fr-FR"/>
        </w:rPr>
        <w:t>’</w:t>
      </w:r>
      <w:r w:rsidRPr="0046567B">
        <w:rPr>
          <w:lang w:val="fr-FR" w:bidi="fr-FR"/>
        </w:rPr>
        <w:t>exploitation humaine</w:t>
      </w:r>
      <w:r w:rsidR="002A20B0" w:rsidRPr="0046567B">
        <w:rPr>
          <w:lang w:val="fr-FR" w:bidi="fr-FR"/>
        </w:rPr>
        <w:t> </w:t>
      </w:r>
      <w:r w:rsidRPr="0046567B">
        <w:rPr>
          <w:lang w:val="fr-FR" w:bidi="fr-FR"/>
        </w:rPr>
        <w:t>», afin de donner aux procureurs des critères d</w:t>
      </w:r>
      <w:r w:rsidR="00FB11B3" w:rsidRPr="0046567B">
        <w:rPr>
          <w:lang w:val="fr-FR" w:bidi="fr-FR"/>
        </w:rPr>
        <w:t>’</w:t>
      </w:r>
      <w:r w:rsidRPr="0046567B">
        <w:rPr>
          <w:lang w:val="fr-FR" w:bidi="fr-FR"/>
        </w:rPr>
        <w:t>appréciation sur les faits de nature à constituer une traite des personnes et sur l</w:t>
      </w:r>
      <w:r w:rsidR="00FB11B3" w:rsidRPr="0046567B">
        <w:rPr>
          <w:lang w:val="fr-FR" w:bidi="fr-FR"/>
        </w:rPr>
        <w:t>’</w:t>
      </w:r>
      <w:r w:rsidRPr="0046567B">
        <w:rPr>
          <w:lang w:val="fr-FR" w:bidi="fr-FR"/>
        </w:rPr>
        <w:t>approche à adopter dans ces affaires. La définition de la traite des personnes telle qu</w:t>
      </w:r>
      <w:r w:rsidR="00FB11B3" w:rsidRPr="0046567B">
        <w:rPr>
          <w:lang w:val="fr-FR" w:bidi="fr-FR"/>
        </w:rPr>
        <w:t>’</w:t>
      </w:r>
      <w:r w:rsidRPr="0046567B">
        <w:rPr>
          <w:lang w:val="fr-FR" w:bidi="fr-FR"/>
        </w:rPr>
        <w:t>elle figure dans le Protocole de Palerme a été reprise dans ce Code. Un nouveau chapitre consacré à l</w:t>
      </w:r>
      <w:r w:rsidR="00FB11B3" w:rsidRPr="0046567B">
        <w:rPr>
          <w:lang w:val="fr-FR" w:bidi="fr-FR"/>
        </w:rPr>
        <w:t>’</w:t>
      </w:r>
      <w:r w:rsidRPr="0046567B">
        <w:rPr>
          <w:lang w:val="fr-FR" w:bidi="fr-FR"/>
        </w:rPr>
        <w:t>exploitation humaine a également été ajouté au Manuel des poursuites de</w:t>
      </w:r>
      <w:r w:rsidR="002A20B0" w:rsidRPr="0046567B">
        <w:rPr>
          <w:lang w:val="fr-FR" w:bidi="fr-FR"/>
        </w:rPr>
        <w:t xml:space="preserve"> </w:t>
      </w:r>
      <w:r w:rsidRPr="0046567B">
        <w:rPr>
          <w:lang w:val="fr-FR" w:bidi="fr-FR"/>
        </w:rPr>
        <w:t>2017.</w:t>
      </w:r>
    </w:p>
    <w:p w14:paraId="5F732EDE" w14:textId="26B2E4F0"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Nos efforts en cours pour lutter contre la traite des personnes sont exposés dans les paragraphes suivants.</w:t>
      </w:r>
    </w:p>
    <w:p w14:paraId="445E4CB6" w14:textId="70B1C0F9" w:rsidR="00B408C7" w:rsidRPr="0046567B" w:rsidRDefault="00B408C7" w:rsidP="00B408C7">
      <w:pPr>
        <w:pStyle w:val="SingleTxt"/>
        <w:spacing w:after="0" w:line="120" w:lineRule="exact"/>
        <w:rPr>
          <w:sz w:val="10"/>
          <w:lang w:val="fr-FR" w:bidi="fr-FR"/>
        </w:rPr>
      </w:pPr>
    </w:p>
    <w:p w14:paraId="60D9D5D6" w14:textId="3F8FFC34"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Orientation politique de haut niveau</w:t>
      </w:r>
    </w:p>
    <w:p w14:paraId="11CB1FA6" w14:textId="3889E518" w:rsidR="00B408C7" w:rsidRPr="0046567B" w:rsidRDefault="00B408C7" w:rsidP="00B408C7">
      <w:pPr>
        <w:pStyle w:val="SingleTxt"/>
        <w:spacing w:after="0" w:line="120" w:lineRule="exact"/>
        <w:rPr>
          <w:sz w:val="10"/>
          <w:lang w:val="fr-FR" w:bidi="fr-FR"/>
        </w:rPr>
      </w:pPr>
    </w:p>
    <w:p w14:paraId="1FED4EC2" w14:textId="4BB5EAE4"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Gouvernement a créé en mars</w:t>
      </w:r>
      <w:r w:rsidR="002A20B0" w:rsidRPr="0046567B">
        <w:rPr>
          <w:lang w:val="fr-FR" w:bidi="fr-FR"/>
        </w:rPr>
        <w:t xml:space="preserve"> </w:t>
      </w:r>
      <w:r w:rsidRPr="0046567B">
        <w:rPr>
          <w:lang w:val="fr-FR" w:bidi="fr-FR"/>
        </w:rPr>
        <w:t>2018 un Comité directeur de haut niveau, présidé par le Premier secrétaire de l</w:t>
      </w:r>
      <w:r w:rsidR="00FB11B3" w:rsidRPr="0046567B">
        <w:rPr>
          <w:lang w:val="fr-FR" w:bidi="fr-FR"/>
        </w:rPr>
        <w:t>’</w:t>
      </w:r>
      <w:r w:rsidRPr="0046567B">
        <w:rPr>
          <w:lang w:val="fr-FR" w:bidi="fr-FR"/>
        </w:rPr>
        <w:t>administration, avec pour vice-présidents le Secrétaire à la sécurité et le Secrétaire au travail et à la protection sociale, et pour membres les chefs des départements concernés. Le Comité directeur proposera une orientation stratégique en ce qui concerne la lutte contre la traite des personnes et le renforcement de la protection des employés de maison étrangers. Il formulera et supervisera la mise en œuvre complète du «</w:t>
      </w:r>
      <w:r w:rsidR="002A20B0" w:rsidRPr="0046567B">
        <w:rPr>
          <w:lang w:val="fr-FR" w:bidi="fr-FR"/>
        </w:rPr>
        <w:t> </w:t>
      </w:r>
      <w:r w:rsidRPr="0046567B">
        <w:rPr>
          <w:lang w:val="fr-FR" w:bidi="fr-FR"/>
        </w:rPr>
        <w:t>Plan d</w:t>
      </w:r>
      <w:r w:rsidR="00FB11B3" w:rsidRPr="0046567B">
        <w:rPr>
          <w:lang w:val="fr-FR" w:bidi="fr-FR"/>
        </w:rPr>
        <w:t>’</w:t>
      </w:r>
      <w:r w:rsidRPr="0046567B">
        <w:rPr>
          <w:lang w:val="fr-FR" w:bidi="fr-FR"/>
        </w:rPr>
        <w:t>action de lutte contre la traite des personnes et de renforcement de la protection des travailleurs domestiques étrangers à Hong Kong</w:t>
      </w:r>
      <w:r w:rsidR="002A20B0" w:rsidRPr="0046567B">
        <w:rPr>
          <w:lang w:val="fr-FR" w:bidi="fr-FR"/>
        </w:rPr>
        <w:t> </w:t>
      </w:r>
      <w:r w:rsidRPr="0046567B">
        <w:rPr>
          <w:lang w:val="fr-FR" w:bidi="fr-FR"/>
        </w:rPr>
        <w:t>» (ci-après le Plan d</w:t>
      </w:r>
      <w:r w:rsidR="00FB11B3" w:rsidRPr="0046567B">
        <w:rPr>
          <w:lang w:val="fr-FR" w:bidi="fr-FR"/>
        </w:rPr>
        <w:t>’</w:t>
      </w:r>
      <w:r w:rsidRPr="0046567B">
        <w:rPr>
          <w:lang w:val="fr-FR" w:bidi="fr-FR"/>
        </w:rPr>
        <w:t>action) et veillera à mettre à disposition des bureaux et départements concernés les ressources nécessaires à la mise en œuvre effective du Plan d</w:t>
      </w:r>
      <w:r w:rsidR="00FB11B3" w:rsidRPr="0046567B">
        <w:rPr>
          <w:lang w:val="fr-FR" w:bidi="fr-FR"/>
        </w:rPr>
        <w:t>’</w:t>
      </w:r>
      <w:r w:rsidRPr="0046567B">
        <w:rPr>
          <w:lang w:val="fr-FR" w:bidi="fr-FR"/>
        </w:rPr>
        <w:t>action.</w:t>
      </w:r>
    </w:p>
    <w:p w14:paraId="6DF31E0C" w14:textId="13DCF349"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Plan d</w:t>
      </w:r>
      <w:r w:rsidR="00FB11B3" w:rsidRPr="0046567B">
        <w:rPr>
          <w:lang w:val="fr-FR" w:bidi="fr-FR"/>
        </w:rPr>
        <w:t>’</w:t>
      </w:r>
      <w:r w:rsidRPr="0046567B">
        <w:rPr>
          <w:lang w:val="fr-FR" w:bidi="fr-FR"/>
        </w:rPr>
        <w:t>action présente un ensemble de mesures stratégiques, complètes et ciblées portant sur l</w:t>
      </w:r>
      <w:r w:rsidR="00FB11B3" w:rsidRPr="0046567B">
        <w:rPr>
          <w:lang w:val="fr-FR" w:bidi="fr-FR"/>
        </w:rPr>
        <w:t>’</w:t>
      </w:r>
      <w:r w:rsidRPr="0046567B">
        <w:rPr>
          <w:lang w:val="fr-FR" w:bidi="fr-FR"/>
        </w:rPr>
        <w:t>identification, la protection et le soutien des victimes, les enquêtes, la répression, les poursuites et la prévention, ainsi que le partenariat avec les différentes parties prenantes.</w:t>
      </w:r>
    </w:p>
    <w:p w14:paraId="64CB4237" w14:textId="64B83329" w:rsidR="00B408C7" w:rsidRPr="0046567B" w:rsidRDefault="00B408C7" w:rsidP="00B408C7">
      <w:pPr>
        <w:pStyle w:val="SingleTxt"/>
        <w:spacing w:after="0" w:line="120" w:lineRule="exact"/>
        <w:rPr>
          <w:sz w:val="10"/>
          <w:lang w:val="fr-FR" w:bidi="fr-FR"/>
        </w:rPr>
      </w:pPr>
    </w:p>
    <w:p w14:paraId="22D4ADB2" w14:textId="429CB859"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Coopération interdépartementale</w:t>
      </w:r>
    </w:p>
    <w:p w14:paraId="1158F9CA" w14:textId="1D736A7D" w:rsidR="00B408C7" w:rsidRPr="0046567B" w:rsidRDefault="00B408C7" w:rsidP="00B408C7">
      <w:pPr>
        <w:pStyle w:val="SingleTxt"/>
        <w:spacing w:after="0" w:line="120" w:lineRule="exact"/>
        <w:rPr>
          <w:sz w:val="10"/>
          <w:lang w:val="fr-FR" w:bidi="fr-FR"/>
        </w:rPr>
      </w:pPr>
    </w:p>
    <w:p w14:paraId="5418388A" w14:textId="791F52D7"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Outre le Comité directeur nouvellement créé, il existe des mécanismes de coopération interdépartementale pour lutter contre la traite des personnes, tels que le Groupe d</w:t>
      </w:r>
      <w:r w:rsidR="00FB11B3" w:rsidRPr="0046567B">
        <w:rPr>
          <w:lang w:val="fr-FR" w:bidi="fr-FR"/>
        </w:rPr>
        <w:t>’</w:t>
      </w:r>
      <w:r w:rsidRPr="0046567B">
        <w:rPr>
          <w:lang w:val="fr-FR" w:bidi="fr-FR"/>
        </w:rPr>
        <w:t>enquête interservices et le Groupe de travail interdépartemental de lutte contre la traite des personnes, créé en</w:t>
      </w:r>
      <w:r w:rsidR="002A20B0" w:rsidRPr="0046567B">
        <w:rPr>
          <w:lang w:val="fr-FR" w:bidi="fr-FR"/>
        </w:rPr>
        <w:t xml:space="preserve"> </w:t>
      </w:r>
      <w:r w:rsidRPr="0046567B">
        <w:rPr>
          <w:lang w:val="fr-FR" w:bidi="fr-FR"/>
        </w:rPr>
        <w:t>2010 pour renforcer la stratégie de lutte contre la traite des personnes, surveiller la situation générale sur cette question et élaborer une stratégie globale de lutte contre la traite des personnes dans la Région administrative spéciale de Hong Kong.</w:t>
      </w:r>
    </w:p>
    <w:p w14:paraId="403DECC9" w14:textId="186A5D47"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En</w:t>
      </w:r>
      <w:r w:rsidR="002A20B0" w:rsidRPr="0046567B">
        <w:rPr>
          <w:lang w:val="fr-FR" w:bidi="fr-FR"/>
        </w:rPr>
        <w:t xml:space="preserve"> </w:t>
      </w:r>
      <w:r w:rsidRPr="0046567B">
        <w:rPr>
          <w:lang w:val="fr-FR" w:bidi="fr-FR"/>
        </w:rPr>
        <w:t>2016, une «</w:t>
      </w:r>
      <w:r w:rsidR="002A20B0" w:rsidRPr="0046567B">
        <w:rPr>
          <w:lang w:val="fr-FR" w:bidi="fr-FR"/>
        </w:rPr>
        <w:t> </w:t>
      </w:r>
      <w:r w:rsidRPr="0046567B">
        <w:rPr>
          <w:lang w:val="fr-FR" w:bidi="fr-FR"/>
        </w:rPr>
        <w:t>Directive sur la coopération interdépartementale pour le traitement des cas présumés de traite des personnes</w:t>
      </w:r>
      <w:r w:rsidR="002A20B0" w:rsidRPr="0046567B">
        <w:rPr>
          <w:lang w:val="fr-FR" w:bidi="fr-FR"/>
        </w:rPr>
        <w:t> </w:t>
      </w:r>
      <w:r w:rsidRPr="0046567B">
        <w:rPr>
          <w:lang w:val="fr-FR" w:bidi="fr-FR"/>
        </w:rPr>
        <w:t>» a été publiée pour fournir des orientations sur les principes généraux et les procédures visant à renforcer la coopération interdépartementale entre les bureaux et les départements publics dans cette lutte. En avril</w:t>
      </w:r>
      <w:r w:rsidR="002A20B0" w:rsidRPr="0046567B">
        <w:rPr>
          <w:lang w:val="fr-FR" w:bidi="fr-FR"/>
        </w:rPr>
        <w:t xml:space="preserve"> </w:t>
      </w:r>
      <w:r w:rsidRPr="0046567B">
        <w:rPr>
          <w:lang w:val="fr-FR" w:bidi="fr-FR"/>
        </w:rPr>
        <w:t>2017, la Division des poursuites du Ministère de la justice a désigné un bureau chargé de superviser et de coordonner les affaires impliquant des questions relatives à la traite des personnes, qui lui sont soumises pour avis juridique par les différents services chargés de l</w:t>
      </w:r>
      <w:r w:rsidR="00FB11B3" w:rsidRPr="0046567B">
        <w:rPr>
          <w:lang w:val="fr-FR" w:bidi="fr-FR"/>
        </w:rPr>
        <w:t>’</w:t>
      </w:r>
      <w:r w:rsidRPr="0046567B">
        <w:rPr>
          <w:lang w:val="fr-FR" w:bidi="fr-FR"/>
        </w:rPr>
        <w:t>application des lois.</w:t>
      </w:r>
    </w:p>
    <w:p w14:paraId="5B8DAEE9" w14:textId="657C16E1" w:rsidR="00B408C7" w:rsidRPr="0046567B" w:rsidRDefault="00B408C7" w:rsidP="00B408C7">
      <w:pPr>
        <w:pStyle w:val="SingleTxt"/>
        <w:spacing w:after="0" w:line="120" w:lineRule="exact"/>
        <w:rPr>
          <w:sz w:val="10"/>
          <w:lang w:val="fr-FR" w:bidi="fr-FR"/>
        </w:rPr>
      </w:pPr>
    </w:p>
    <w:p w14:paraId="22B1AF04" w14:textId="070021DD"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lang w:val="fr-FR" w:bidi="fr-FR"/>
        </w:rPr>
      </w:pPr>
      <w:r w:rsidRPr="0046567B">
        <w:rPr>
          <w:shd w:val="clear" w:color="auto" w:fill="FFFFFF"/>
          <w:lang w:val="fr-FR" w:bidi="fr-FR"/>
        </w:rPr>
        <w:tab/>
      </w:r>
      <w:r w:rsidRPr="0046567B">
        <w:rPr>
          <w:shd w:val="clear" w:color="auto" w:fill="FFFFFF"/>
          <w:lang w:val="fr-FR" w:bidi="fr-FR"/>
        </w:rPr>
        <w:tab/>
        <w:t>Identification des victimes</w:t>
      </w:r>
    </w:p>
    <w:p w14:paraId="2B1FDB47" w14:textId="002BEAEB" w:rsidR="00B408C7" w:rsidRPr="0046567B" w:rsidRDefault="00B408C7" w:rsidP="00B408C7">
      <w:pPr>
        <w:pStyle w:val="SingleTxt"/>
        <w:spacing w:after="0" w:line="120" w:lineRule="exact"/>
        <w:rPr>
          <w:sz w:val="10"/>
          <w:lang w:val="fr-FR" w:bidi="fr-FR"/>
        </w:rPr>
      </w:pPr>
    </w:p>
    <w:p w14:paraId="1593F7AF" w14:textId="28F083F7"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Depuis</w:t>
      </w:r>
      <w:r w:rsidR="002A20B0" w:rsidRPr="0046567B">
        <w:rPr>
          <w:lang w:val="fr-FR" w:bidi="fr-FR"/>
        </w:rPr>
        <w:t xml:space="preserve"> </w:t>
      </w:r>
      <w:r w:rsidRPr="0046567B">
        <w:rPr>
          <w:lang w:val="fr-FR" w:bidi="fr-FR"/>
        </w:rPr>
        <w:t>2015, les services chargés de l</w:t>
      </w:r>
      <w:r w:rsidR="00FB11B3" w:rsidRPr="0046567B">
        <w:rPr>
          <w:lang w:val="fr-FR" w:bidi="fr-FR"/>
        </w:rPr>
        <w:t>’</w:t>
      </w:r>
      <w:r w:rsidRPr="0046567B">
        <w:rPr>
          <w:lang w:val="fr-FR" w:bidi="fr-FR"/>
        </w:rPr>
        <w:t>application des lois ont progressivement mis en place un mécanisme de filtrage dans le cadre duquel les agents effectuent un double contrôle sur les personnes vulnérables (notamment les travailleuses et travailleurs du sexe, les immigrantes et immigrants illégaux, etc.) qui sont interpellées ou qui se présentent aux autorités, pour vérifier si elles sont victimes de traite des personnes. Ce mécanisme a été mis en œuvre au sein du Département de l</w:t>
      </w:r>
      <w:r w:rsidR="00FB11B3" w:rsidRPr="0046567B">
        <w:rPr>
          <w:lang w:val="fr-FR" w:bidi="fr-FR"/>
        </w:rPr>
        <w:t>’</w:t>
      </w:r>
      <w:r w:rsidRPr="0046567B">
        <w:rPr>
          <w:lang w:val="fr-FR" w:bidi="fr-FR"/>
        </w:rPr>
        <w:t xml:space="preserve">immigration, au sein des forces de police de Hong Kong et du département des douanes et accises de Hong Kong. Il </w:t>
      </w:r>
      <w:r w:rsidRPr="0046567B">
        <w:rPr>
          <w:rFonts w:hint="eastAsia"/>
          <w:lang w:val="fr-FR" w:bidi="fr-FR"/>
        </w:rPr>
        <w:t>sera étendu</w:t>
      </w:r>
      <w:r w:rsidRPr="0046567B">
        <w:rPr>
          <w:lang w:val="fr-FR" w:bidi="fr-FR"/>
        </w:rPr>
        <w:t xml:space="preserve"> à d</w:t>
      </w:r>
      <w:r w:rsidR="00FB11B3" w:rsidRPr="0046567B">
        <w:rPr>
          <w:lang w:val="fr-FR" w:bidi="fr-FR"/>
        </w:rPr>
        <w:t>’</w:t>
      </w:r>
      <w:r w:rsidRPr="0046567B">
        <w:rPr>
          <w:lang w:val="fr-FR" w:bidi="fr-FR"/>
        </w:rPr>
        <w:t xml:space="preserve">autres départements (par exemple </w:t>
      </w:r>
      <w:r w:rsidRPr="0046567B">
        <w:rPr>
          <w:rFonts w:hint="eastAsia"/>
          <w:lang w:val="fr-FR" w:bidi="fr-FR"/>
        </w:rPr>
        <w:t xml:space="preserve">au </w:t>
      </w:r>
      <w:r w:rsidRPr="0046567B">
        <w:rPr>
          <w:lang w:val="fr-FR" w:bidi="fr-FR"/>
        </w:rPr>
        <w:t>Ministère du travail, afin de couvrir les employées et employés de maison étrangers).</w:t>
      </w:r>
    </w:p>
    <w:p w14:paraId="2DD00DE9" w14:textId="21B25D6B" w:rsidR="00B408C7" w:rsidRPr="0046567B" w:rsidRDefault="00B408C7" w:rsidP="00B408C7">
      <w:pPr>
        <w:pStyle w:val="SingleTxt"/>
        <w:spacing w:after="0" w:line="120" w:lineRule="exact"/>
        <w:rPr>
          <w:sz w:val="10"/>
          <w:lang w:val="fr-FR" w:bidi="fr-FR"/>
        </w:rPr>
      </w:pPr>
    </w:p>
    <w:p w14:paraId="6891B622" w14:textId="6C219300"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Protection et assistance aux victimes</w:t>
      </w:r>
    </w:p>
    <w:p w14:paraId="5F1154D8" w14:textId="36F0C766" w:rsidR="00B408C7" w:rsidRPr="0046567B" w:rsidRDefault="00B408C7" w:rsidP="00B408C7">
      <w:pPr>
        <w:pStyle w:val="SingleTxt"/>
        <w:spacing w:after="0" w:line="120" w:lineRule="exact"/>
        <w:rPr>
          <w:sz w:val="10"/>
          <w:lang w:val="fr-FR" w:bidi="fr-FR"/>
        </w:rPr>
      </w:pPr>
    </w:p>
    <w:p w14:paraId="39053415" w14:textId="3C392245"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 xml:space="preserve">En ce qui concerne les </w:t>
      </w:r>
      <w:r w:rsidRPr="0046567B">
        <w:rPr>
          <w:rFonts w:hint="eastAsia"/>
          <w:lang w:val="fr-FR" w:bidi="fr-FR"/>
        </w:rPr>
        <w:t>observations finales</w:t>
      </w:r>
      <w:r w:rsidRPr="0046567B">
        <w:rPr>
          <w:lang w:val="fr-FR" w:bidi="fr-FR"/>
        </w:rPr>
        <w:t xml:space="preserve"> du Comité sur l</w:t>
      </w:r>
      <w:r w:rsidR="00FB11B3" w:rsidRPr="0046567B">
        <w:rPr>
          <w:lang w:val="fr-FR" w:bidi="fr-FR"/>
        </w:rPr>
        <w:t>’</w:t>
      </w:r>
      <w:r w:rsidRPr="0046567B">
        <w:rPr>
          <w:lang w:val="fr-FR" w:bidi="fr-FR"/>
        </w:rPr>
        <w:t>intensification des efforts pour assurer la réadaptation et l</w:t>
      </w:r>
      <w:r w:rsidR="00FB11B3" w:rsidRPr="0046567B">
        <w:rPr>
          <w:lang w:val="fr-FR" w:bidi="fr-FR"/>
        </w:rPr>
        <w:t>’</w:t>
      </w:r>
      <w:r w:rsidRPr="0046567B">
        <w:rPr>
          <w:lang w:val="fr-FR" w:bidi="fr-FR"/>
        </w:rPr>
        <w:t xml:space="preserve">intégration sociale des victimes, </w:t>
      </w:r>
      <w:r w:rsidRPr="0046567B">
        <w:rPr>
          <w:rFonts w:hint="eastAsia"/>
          <w:lang w:val="fr-FR" w:bidi="fr-FR"/>
        </w:rPr>
        <w:t xml:space="preserve">notamment en </w:t>
      </w:r>
      <w:r w:rsidRPr="0046567B">
        <w:rPr>
          <w:lang w:val="fr-FR" w:bidi="fr-FR"/>
        </w:rPr>
        <w:t>renforçant l</w:t>
      </w:r>
      <w:r w:rsidR="00FB11B3" w:rsidRPr="0046567B">
        <w:rPr>
          <w:lang w:val="fr-FR" w:bidi="fr-FR"/>
        </w:rPr>
        <w:t>’</w:t>
      </w:r>
      <w:r w:rsidRPr="0046567B">
        <w:rPr>
          <w:lang w:val="fr-FR" w:bidi="fr-FR"/>
        </w:rPr>
        <w:t>assistance, la protection et le soutien proposé aux victimes de la traite des personnes, le Comité est invité à prendre note du fait que le Gouvernement fournit déjà une protection, un soutien et une assistance aux victimes de la traite des personnes</w:t>
      </w:r>
      <w:r w:rsidRPr="0046567B">
        <w:rPr>
          <w:rFonts w:hint="eastAsia"/>
          <w:lang w:val="fr-FR" w:bidi="fr-FR"/>
        </w:rPr>
        <w:t>,</w:t>
      </w:r>
      <w:r w:rsidRPr="0046567B">
        <w:rPr>
          <w:lang w:val="fr-FR" w:bidi="fr-FR"/>
        </w:rPr>
        <w:t xml:space="preserve"> notamment par un programme de protection des témoins, par une assistance sociale, par l</w:t>
      </w:r>
      <w:r w:rsidR="00FB11B3" w:rsidRPr="0046567B">
        <w:rPr>
          <w:lang w:val="fr-FR" w:bidi="fr-FR"/>
        </w:rPr>
        <w:t>’</w:t>
      </w:r>
      <w:r w:rsidRPr="0046567B">
        <w:rPr>
          <w:lang w:val="fr-FR" w:bidi="fr-FR"/>
        </w:rPr>
        <w:t>allocation d</w:t>
      </w:r>
      <w:r w:rsidR="00FB11B3" w:rsidRPr="0046567B">
        <w:rPr>
          <w:lang w:val="fr-FR" w:bidi="fr-FR"/>
        </w:rPr>
        <w:t>’</w:t>
      </w:r>
      <w:r w:rsidRPr="0046567B">
        <w:rPr>
          <w:lang w:val="fr-FR" w:bidi="fr-FR"/>
        </w:rPr>
        <w:t>une aide financière</w:t>
      </w:r>
      <w:r w:rsidRPr="0046567B">
        <w:rPr>
          <w:rFonts w:hint="eastAsia"/>
          <w:lang w:val="fr-FR" w:bidi="fr-FR"/>
        </w:rPr>
        <w:t>,</w:t>
      </w:r>
      <w:r w:rsidRPr="0046567B">
        <w:rPr>
          <w:lang w:val="fr-FR" w:bidi="fr-FR"/>
        </w:rPr>
        <w:t xml:space="preserve"> par l</w:t>
      </w:r>
      <w:r w:rsidR="00FB11B3" w:rsidRPr="0046567B">
        <w:rPr>
          <w:lang w:val="fr-FR" w:bidi="fr-FR"/>
        </w:rPr>
        <w:t>’</w:t>
      </w:r>
      <w:r w:rsidRPr="0046567B">
        <w:rPr>
          <w:lang w:val="fr-FR" w:bidi="fr-FR"/>
        </w:rPr>
        <w:t>aménagement de voies amiables durant la procédure</w:t>
      </w:r>
      <w:r w:rsidRPr="0046567B">
        <w:rPr>
          <w:rFonts w:hint="eastAsia"/>
          <w:lang w:val="fr-FR" w:bidi="fr-FR"/>
        </w:rPr>
        <w:t>,</w:t>
      </w:r>
      <w:r w:rsidRPr="0046567B">
        <w:rPr>
          <w:lang w:val="fr-FR" w:bidi="fr-FR"/>
        </w:rPr>
        <w:t xml:space="preserve"> par la prolongation du visa et la dispense des frais</w:t>
      </w:r>
      <w:r w:rsidRPr="0046567B">
        <w:rPr>
          <w:rFonts w:hint="eastAsia"/>
          <w:lang w:val="fr-FR" w:bidi="fr-FR"/>
        </w:rPr>
        <w:t xml:space="preserve">, </w:t>
      </w:r>
      <w:r w:rsidRPr="0046567B">
        <w:rPr>
          <w:lang w:val="fr-FR" w:bidi="fr-FR"/>
        </w:rPr>
        <w:t>par une dérogation exceptionnelle en faveur des employées et employés de maison étrangers qui veulent changer d</w:t>
      </w:r>
      <w:r w:rsidR="00FB11B3" w:rsidRPr="0046567B">
        <w:rPr>
          <w:lang w:val="fr-FR" w:bidi="fr-FR"/>
        </w:rPr>
        <w:t>’</w:t>
      </w:r>
      <w:r w:rsidRPr="0046567B">
        <w:rPr>
          <w:lang w:val="fr-FR" w:bidi="fr-FR"/>
        </w:rPr>
        <w:t>employeur.</w:t>
      </w:r>
    </w:p>
    <w:p w14:paraId="595BF994" w14:textId="3882940F" w:rsidR="00B408C7" w:rsidRPr="0046567B" w:rsidRDefault="00B408C7" w:rsidP="00B408C7">
      <w:pPr>
        <w:pStyle w:val="SingleTxt"/>
        <w:spacing w:after="0" w:line="120" w:lineRule="exact"/>
        <w:rPr>
          <w:sz w:val="10"/>
          <w:lang w:val="fr-FR" w:bidi="fr-FR"/>
        </w:rPr>
      </w:pPr>
    </w:p>
    <w:p w14:paraId="17ABDB87" w14:textId="4685B8BD" w:rsidR="00FC36AA" w:rsidRPr="0046567B" w:rsidRDefault="00FC36AA" w:rsidP="00B408C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bidi="fr-FR"/>
        </w:rPr>
      </w:pPr>
      <w:r w:rsidRPr="0046567B">
        <w:rPr>
          <w:lang w:val="fr-FR" w:bidi="fr-FR"/>
        </w:rPr>
        <w:tab/>
      </w:r>
      <w:r w:rsidRPr="0046567B">
        <w:rPr>
          <w:lang w:val="fr-FR" w:bidi="fr-FR"/>
        </w:rPr>
        <w:tab/>
        <w:t>Formation et partenariat</w:t>
      </w:r>
    </w:p>
    <w:p w14:paraId="130CF238" w14:textId="72B513B9" w:rsidR="00B408C7" w:rsidRPr="0046567B" w:rsidRDefault="00B408C7" w:rsidP="00B408C7">
      <w:pPr>
        <w:pStyle w:val="SingleTxt"/>
        <w:spacing w:after="0" w:line="120" w:lineRule="exact"/>
        <w:rPr>
          <w:sz w:val="10"/>
          <w:lang w:val="fr-FR" w:bidi="fr-FR"/>
        </w:rPr>
      </w:pPr>
    </w:p>
    <w:p w14:paraId="371191FA" w14:textId="10D2BB31"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Une formation sur la lutte contre la traite des personnes est dispensée aux membres des services chargés de l</w:t>
      </w:r>
      <w:r w:rsidR="00FB11B3" w:rsidRPr="0046567B">
        <w:rPr>
          <w:lang w:val="fr-FR" w:bidi="fr-FR"/>
        </w:rPr>
        <w:t>’</w:t>
      </w:r>
      <w:r w:rsidRPr="0046567B">
        <w:rPr>
          <w:lang w:val="fr-FR" w:bidi="fr-FR"/>
        </w:rPr>
        <w:t>application des lois, du Ministère du travail, du Département de la protection sociale, aux procureurs, etc. En</w:t>
      </w:r>
      <w:r w:rsidR="002A20B0" w:rsidRPr="0046567B">
        <w:rPr>
          <w:lang w:val="fr-FR" w:bidi="fr-FR"/>
        </w:rPr>
        <w:t xml:space="preserve"> </w:t>
      </w:r>
      <w:r w:rsidRPr="0046567B">
        <w:rPr>
          <w:lang w:val="fr-FR" w:bidi="fr-FR"/>
        </w:rPr>
        <w:t>2017, plus de 1</w:t>
      </w:r>
      <w:r w:rsidR="002A20B0" w:rsidRPr="0046567B">
        <w:rPr>
          <w:lang w:val="fr-FR" w:bidi="fr-FR"/>
        </w:rPr>
        <w:t> </w:t>
      </w:r>
      <w:r w:rsidRPr="0046567B">
        <w:rPr>
          <w:lang w:val="fr-FR" w:bidi="fr-FR"/>
        </w:rPr>
        <w:t>800</w:t>
      </w:r>
      <w:r w:rsidR="002A20B0" w:rsidRPr="0046567B">
        <w:rPr>
          <w:lang w:val="fr-FR" w:bidi="fr-FR"/>
        </w:rPr>
        <w:t xml:space="preserve"> </w:t>
      </w:r>
      <w:r w:rsidRPr="0046567B">
        <w:rPr>
          <w:lang w:val="fr-FR" w:bidi="fr-FR"/>
        </w:rPr>
        <w:t>agentes et agents de l</w:t>
      </w:r>
      <w:r w:rsidR="00FB11B3" w:rsidRPr="0046567B">
        <w:rPr>
          <w:lang w:val="fr-FR" w:bidi="fr-FR"/>
        </w:rPr>
        <w:t>’</w:t>
      </w:r>
      <w:r w:rsidRPr="0046567B">
        <w:rPr>
          <w:lang w:val="fr-FR" w:bidi="fr-FR"/>
        </w:rPr>
        <w:t>État ont reçu une formation contre la traite des personnes au niveau local ou à l</w:t>
      </w:r>
      <w:r w:rsidR="00FB11B3" w:rsidRPr="0046567B">
        <w:rPr>
          <w:lang w:val="fr-FR" w:bidi="fr-FR"/>
        </w:rPr>
        <w:t>’</w:t>
      </w:r>
      <w:r w:rsidRPr="0046567B">
        <w:rPr>
          <w:lang w:val="fr-FR" w:bidi="fr-FR"/>
        </w:rPr>
        <w:t>étranger. Les services chargés de l</w:t>
      </w:r>
      <w:r w:rsidR="00FB11B3" w:rsidRPr="0046567B">
        <w:rPr>
          <w:lang w:val="fr-FR" w:bidi="fr-FR"/>
        </w:rPr>
        <w:t>’</w:t>
      </w:r>
      <w:r w:rsidRPr="0046567B">
        <w:rPr>
          <w:lang w:val="fr-FR" w:bidi="fr-FR"/>
        </w:rPr>
        <w:t>application des lois concernés ont inclus le thème de la traite des personnes dans leur formation professionnelle initiale pour l</w:t>
      </w:r>
      <w:r w:rsidR="00FB11B3" w:rsidRPr="0046567B">
        <w:rPr>
          <w:lang w:val="fr-FR" w:bidi="fr-FR"/>
        </w:rPr>
        <w:t>’</w:t>
      </w:r>
      <w:r w:rsidRPr="0046567B">
        <w:rPr>
          <w:lang w:val="fr-FR" w:bidi="fr-FR"/>
        </w:rPr>
        <w:t>ensemble de leurs agents.</w:t>
      </w:r>
    </w:p>
    <w:p w14:paraId="3819E5AF" w14:textId="5946C0D4"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 xml:space="preserve">En ce qui concerne les </w:t>
      </w:r>
      <w:r w:rsidRPr="0046567B">
        <w:rPr>
          <w:rFonts w:hint="eastAsia"/>
          <w:lang w:val="fr-FR" w:bidi="fr-FR"/>
        </w:rPr>
        <w:t>observations</w:t>
      </w:r>
      <w:r w:rsidRPr="0046567B">
        <w:rPr>
          <w:lang w:val="fr-FR" w:bidi="fr-FR"/>
        </w:rPr>
        <w:t xml:space="preserve"> </w:t>
      </w:r>
      <w:r w:rsidRPr="0046567B">
        <w:rPr>
          <w:rFonts w:hint="eastAsia"/>
          <w:lang w:val="fr-FR" w:bidi="fr-FR"/>
        </w:rPr>
        <w:t xml:space="preserve">finales </w:t>
      </w:r>
      <w:r w:rsidRPr="0046567B">
        <w:rPr>
          <w:lang w:val="fr-FR" w:bidi="fr-FR"/>
        </w:rPr>
        <w:t>du Comité sur l</w:t>
      </w:r>
      <w:r w:rsidR="00FB11B3" w:rsidRPr="0046567B">
        <w:rPr>
          <w:lang w:val="fr-FR" w:bidi="fr-FR"/>
        </w:rPr>
        <w:t>’</w:t>
      </w:r>
      <w:r w:rsidRPr="0046567B">
        <w:rPr>
          <w:lang w:val="fr-FR" w:bidi="fr-FR"/>
        </w:rPr>
        <w:t>intensification des efforts visant la coopération bilatérale, régionale et internationale afin de prévenir la traite, le Comité est invité à prendre note du fait que le Gouvernement coopère déjà avec d</w:t>
      </w:r>
      <w:r w:rsidR="00FB11B3" w:rsidRPr="0046567B">
        <w:rPr>
          <w:lang w:val="fr-FR" w:bidi="fr-FR"/>
        </w:rPr>
        <w:t>’</w:t>
      </w:r>
      <w:r w:rsidRPr="0046567B">
        <w:rPr>
          <w:lang w:val="fr-FR" w:bidi="fr-FR"/>
        </w:rPr>
        <w:t>autres autorités, y compris l</w:t>
      </w:r>
      <w:r w:rsidR="00FB11B3" w:rsidRPr="0046567B">
        <w:rPr>
          <w:lang w:val="fr-FR" w:bidi="fr-FR"/>
        </w:rPr>
        <w:t>’</w:t>
      </w:r>
      <w:r w:rsidRPr="0046567B">
        <w:rPr>
          <w:lang w:val="fr-FR" w:bidi="fr-FR"/>
        </w:rPr>
        <w:t>Australie, l</w:t>
      </w:r>
      <w:r w:rsidR="00FB11B3" w:rsidRPr="0046567B">
        <w:rPr>
          <w:lang w:val="fr-FR" w:bidi="fr-FR"/>
        </w:rPr>
        <w:t>’</w:t>
      </w:r>
      <w:r w:rsidRPr="0046567B">
        <w:rPr>
          <w:lang w:val="fr-FR" w:bidi="fr-FR"/>
        </w:rPr>
        <w:t>Union européenne et d</w:t>
      </w:r>
      <w:r w:rsidR="00FB11B3" w:rsidRPr="0046567B">
        <w:rPr>
          <w:lang w:val="fr-FR" w:bidi="fr-FR"/>
        </w:rPr>
        <w:t>’</w:t>
      </w:r>
      <w:r w:rsidRPr="0046567B">
        <w:rPr>
          <w:lang w:val="fr-FR" w:bidi="fr-FR"/>
        </w:rPr>
        <w:t>autres ONG, pour mettre à la disposition des membres des différentes administrations des ateliers de formation spécialisés sur la traite des personnes. Le Gouvernement participe également activement à des conférences et à des ateliers internationaux afin d</w:t>
      </w:r>
      <w:r w:rsidR="00FB11B3" w:rsidRPr="0046567B">
        <w:rPr>
          <w:lang w:val="fr-FR" w:bidi="fr-FR"/>
        </w:rPr>
        <w:t>’</w:t>
      </w:r>
      <w:r w:rsidRPr="0046567B">
        <w:rPr>
          <w:lang w:val="fr-FR" w:bidi="fr-FR"/>
        </w:rPr>
        <w:t>identifier les meilleures pratiques pour lutter contre la traite et partager ses informations et son expérience en la matière. Les services chargés de l</w:t>
      </w:r>
      <w:r w:rsidR="00FB11B3" w:rsidRPr="0046567B">
        <w:rPr>
          <w:lang w:val="fr-FR" w:bidi="fr-FR"/>
        </w:rPr>
        <w:t>’</w:t>
      </w:r>
      <w:r w:rsidRPr="0046567B">
        <w:rPr>
          <w:lang w:val="fr-FR" w:bidi="fr-FR"/>
        </w:rPr>
        <w:t>application des lois sont en liaison étroite et constante avec les consulats étrangers dans le cadre de leurs enquêtes sur les affaires de traite.</w:t>
      </w:r>
    </w:p>
    <w:p w14:paraId="548D3773" w14:textId="22EDD2A7"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En outre, l</w:t>
      </w:r>
      <w:r w:rsidR="00FB11B3" w:rsidRPr="0046567B">
        <w:rPr>
          <w:lang w:val="fr-FR" w:bidi="fr-FR"/>
        </w:rPr>
        <w:t>’</w:t>
      </w:r>
      <w:r w:rsidRPr="0046567B">
        <w:rPr>
          <w:lang w:val="fr-FR" w:bidi="fr-FR"/>
        </w:rPr>
        <w:t>une des initiatives de notre Plan d</w:t>
      </w:r>
      <w:r w:rsidR="00FB11B3" w:rsidRPr="0046567B">
        <w:rPr>
          <w:lang w:val="fr-FR" w:bidi="fr-FR"/>
        </w:rPr>
        <w:t>’</w:t>
      </w:r>
      <w:r w:rsidRPr="0046567B">
        <w:rPr>
          <w:lang w:val="fr-FR" w:bidi="fr-FR"/>
        </w:rPr>
        <w:t>action consiste à renforcer la coopération avec les principaux pays pourvoyeurs d</w:t>
      </w:r>
      <w:r w:rsidR="00FB11B3" w:rsidRPr="0046567B">
        <w:rPr>
          <w:lang w:val="fr-FR" w:bidi="fr-FR"/>
        </w:rPr>
        <w:t>’</w:t>
      </w:r>
      <w:r w:rsidRPr="0046567B">
        <w:rPr>
          <w:lang w:val="fr-FR" w:bidi="fr-FR"/>
        </w:rPr>
        <w:t>employées et d</w:t>
      </w:r>
      <w:r w:rsidR="00FB11B3" w:rsidRPr="0046567B">
        <w:rPr>
          <w:lang w:val="fr-FR" w:bidi="fr-FR"/>
        </w:rPr>
        <w:t>’</w:t>
      </w:r>
      <w:r w:rsidRPr="0046567B">
        <w:rPr>
          <w:lang w:val="fr-FR" w:bidi="fr-FR"/>
        </w:rPr>
        <w:t>employés de maison étrangers, notamment en intensifiant les échanges à haut niveau entre les gouvernements afin d</w:t>
      </w:r>
      <w:r w:rsidR="00FB11B3" w:rsidRPr="0046567B">
        <w:rPr>
          <w:lang w:val="fr-FR" w:bidi="fr-FR"/>
        </w:rPr>
        <w:t>’</w:t>
      </w:r>
      <w:r w:rsidRPr="0046567B">
        <w:rPr>
          <w:lang w:val="fr-FR" w:bidi="fr-FR"/>
        </w:rPr>
        <w:t>appréhender les politiques réciproques et de discuter de questions d</w:t>
      </w:r>
      <w:r w:rsidR="00FB11B3" w:rsidRPr="0046567B">
        <w:rPr>
          <w:lang w:val="fr-FR" w:bidi="fr-FR"/>
        </w:rPr>
        <w:t>’</w:t>
      </w:r>
      <w:r w:rsidRPr="0046567B">
        <w:rPr>
          <w:lang w:val="fr-FR" w:bidi="fr-FR"/>
        </w:rPr>
        <w:t>intérêt commun. Notre Plan d</w:t>
      </w:r>
      <w:r w:rsidR="00FB11B3" w:rsidRPr="0046567B">
        <w:rPr>
          <w:lang w:val="fr-FR" w:bidi="fr-FR"/>
        </w:rPr>
        <w:t>’</w:t>
      </w:r>
      <w:r w:rsidRPr="0046567B">
        <w:rPr>
          <w:lang w:val="fr-FR" w:bidi="fr-FR"/>
        </w:rPr>
        <w:t>action consiste également à conduire localement des campagnes d</w:t>
      </w:r>
      <w:r w:rsidR="00FB11B3" w:rsidRPr="0046567B">
        <w:rPr>
          <w:lang w:val="fr-FR" w:bidi="fr-FR"/>
        </w:rPr>
        <w:t>’</w:t>
      </w:r>
      <w:r w:rsidRPr="0046567B">
        <w:rPr>
          <w:lang w:val="fr-FR" w:bidi="fr-FR"/>
        </w:rPr>
        <w:t>information pour promouvoir les intérêts légitimes des employés de maison étrangers sur le territoire de Hong Kong et les diverses mesures de protection mises en place.</w:t>
      </w:r>
    </w:p>
    <w:p w14:paraId="48951E8E" w14:textId="0F96B010" w:rsidR="00FC36AA" w:rsidRPr="0046567B" w:rsidRDefault="00FC36AA" w:rsidP="00B408C7">
      <w:pPr>
        <w:pStyle w:val="SingleTxt"/>
        <w:numPr>
          <w:ilvl w:val="0"/>
          <w:numId w:val="32"/>
        </w:numPr>
        <w:spacing w:line="240" w:lineRule="exact"/>
        <w:ind w:left="1267" w:firstLine="0"/>
        <w:rPr>
          <w:lang w:val="fr-FR"/>
        </w:rPr>
      </w:pPr>
      <w:r w:rsidRPr="0046567B">
        <w:rPr>
          <w:rFonts w:hint="eastAsia"/>
          <w:lang w:val="fr-FR" w:bidi="fr-FR"/>
        </w:rPr>
        <w:t>L</w:t>
      </w:r>
      <w:r w:rsidRPr="0046567B">
        <w:rPr>
          <w:lang w:val="fr-FR" w:bidi="fr-FR"/>
        </w:rPr>
        <w:t>e Gouvernement a rencontré des ONG pour connaître leur point de vue sur la mise en œuvre de ce Plan d</w:t>
      </w:r>
      <w:r w:rsidR="00FB11B3" w:rsidRPr="0046567B">
        <w:rPr>
          <w:lang w:val="fr-FR" w:bidi="fr-FR"/>
        </w:rPr>
        <w:t>’</w:t>
      </w:r>
      <w:r w:rsidRPr="0046567B">
        <w:rPr>
          <w:lang w:val="fr-FR" w:bidi="fr-FR"/>
        </w:rPr>
        <w:t>action. Il maintiendra le dialogue avec elles afin que certains cas puissent être renvoyés facilement devant les autorités compétentes en ce qui concerne le suivi, l</w:t>
      </w:r>
      <w:r w:rsidR="00FB11B3" w:rsidRPr="0046567B">
        <w:rPr>
          <w:lang w:val="fr-FR" w:bidi="fr-FR"/>
        </w:rPr>
        <w:t>’</w:t>
      </w:r>
      <w:r w:rsidRPr="0046567B">
        <w:rPr>
          <w:lang w:val="fr-FR" w:bidi="fr-FR"/>
        </w:rPr>
        <w:t>assistance nécessaire aux victimes, la recherche, les campagnes de sensibilisation du public, les ateliers de formation, etc. Nos efforts en matière de lutte contre la traite des personnes font l</w:t>
      </w:r>
      <w:r w:rsidR="00FB11B3" w:rsidRPr="0046567B">
        <w:rPr>
          <w:lang w:val="fr-FR" w:bidi="fr-FR"/>
        </w:rPr>
        <w:t>’</w:t>
      </w:r>
      <w:r w:rsidRPr="0046567B">
        <w:rPr>
          <w:lang w:val="fr-FR" w:bidi="fr-FR"/>
        </w:rPr>
        <w:t>objet d</w:t>
      </w:r>
      <w:r w:rsidR="00FB11B3" w:rsidRPr="0046567B">
        <w:rPr>
          <w:lang w:val="fr-FR" w:bidi="fr-FR"/>
        </w:rPr>
        <w:t>’</w:t>
      </w:r>
      <w:r w:rsidRPr="0046567B">
        <w:rPr>
          <w:lang w:val="fr-FR" w:bidi="fr-FR"/>
        </w:rPr>
        <w:t>un examen constant. Le Gouvernement restera en liaison étroite avec les consulats étrangers, la société civile locale et ses homologues internationaux pour lutter contre cette infraction pénale.</w:t>
      </w:r>
    </w:p>
    <w:p w14:paraId="0561D52A" w14:textId="153B6355" w:rsidR="00B408C7" w:rsidRPr="0046567B" w:rsidRDefault="00B408C7" w:rsidP="00B408C7">
      <w:pPr>
        <w:pStyle w:val="SingleTxt"/>
        <w:spacing w:after="0" w:line="120" w:lineRule="exact"/>
        <w:rPr>
          <w:sz w:val="10"/>
          <w:lang w:val="fr-FR" w:bidi="fr-FR"/>
        </w:rPr>
      </w:pPr>
    </w:p>
    <w:p w14:paraId="1BC1F705" w14:textId="0CFA7CE6" w:rsidR="00FC36AA" w:rsidRPr="0046567B" w:rsidRDefault="00FC36AA" w:rsidP="00B4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Assistance et protection des travailleuses et travailleurs du sexe</w:t>
      </w:r>
    </w:p>
    <w:p w14:paraId="009631A4" w14:textId="1CFB08E4" w:rsidR="00B408C7" w:rsidRPr="0046567B" w:rsidRDefault="00B408C7" w:rsidP="00B408C7">
      <w:pPr>
        <w:pStyle w:val="SingleTxt"/>
        <w:spacing w:after="0" w:line="120" w:lineRule="exact"/>
        <w:rPr>
          <w:sz w:val="10"/>
          <w:lang w:val="fr-FR" w:bidi="fr-FR"/>
        </w:rPr>
      </w:pPr>
    </w:p>
    <w:p w14:paraId="7B2E2E97" w14:textId="4D6BB916"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Comité a également, dans ses précédentes observations finales, exprimé des préoccupations sur les dispositions législatives sur le «</w:t>
      </w:r>
      <w:r w:rsidR="002A20B0" w:rsidRPr="0046567B">
        <w:rPr>
          <w:lang w:val="fr-FR" w:bidi="fr-FR"/>
        </w:rPr>
        <w:t> </w:t>
      </w:r>
      <w:r w:rsidRPr="0046567B">
        <w:rPr>
          <w:lang w:val="fr-FR" w:bidi="fr-FR"/>
        </w:rPr>
        <w:t>délit de tenue d</w:t>
      </w:r>
      <w:r w:rsidR="00FB11B3" w:rsidRPr="0046567B">
        <w:rPr>
          <w:lang w:val="fr-FR" w:bidi="fr-FR"/>
        </w:rPr>
        <w:t>’</w:t>
      </w:r>
      <w:r w:rsidRPr="0046567B">
        <w:rPr>
          <w:lang w:val="fr-FR" w:bidi="fr-FR"/>
        </w:rPr>
        <w:t>une maison de débauche</w:t>
      </w:r>
      <w:r w:rsidR="002A20B0" w:rsidRPr="0046567B">
        <w:rPr>
          <w:lang w:val="fr-FR" w:bidi="fr-FR"/>
        </w:rPr>
        <w:t> </w:t>
      </w:r>
      <w:r w:rsidRPr="0046567B">
        <w:rPr>
          <w:lang w:val="fr-FR" w:bidi="fr-FR"/>
        </w:rPr>
        <w:t>». Certaines des personnes consultées ont suggéré d</w:t>
      </w:r>
      <w:r w:rsidR="00FB11B3" w:rsidRPr="0046567B">
        <w:rPr>
          <w:lang w:val="fr-FR" w:bidi="fr-FR"/>
        </w:rPr>
        <w:t>’</w:t>
      </w:r>
      <w:r w:rsidRPr="0046567B">
        <w:rPr>
          <w:lang w:val="fr-FR" w:bidi="fr-FR"/>
        </w:rPr>
        <w:t>abroger ces dispositions. Notre position sur la question reste celle exposée dans le rapport précédent. Nous pensons en effet que le dispositif actuel permet d</w:t>
      </w:r>
      <w:r w:rsidR="00FB11B3" w:rsidRPr="0046567B">
        <w:rPr>
          <w:lang w:val="fr-FR" w:bidi="fr-FR"/>
        </w:rPr>
        <w:t>’</w:t>
      </w:r>
      <w:r w:rsidRPr="0046567B">
        <w:rPr>
          <w:lang w:val="fr-FR" w:bidi="fr-FR"/>
        </w:rPr>
        <w:t>établir un équilibre raisonnable entre les droits humains et la vie privée des travailleuses et travailleurs du sexe d</w:t>
      </w:r>
      <w:r w:rsidR="00FB11B3" w:rsidRPr="0046567B">
        <w:rPr>
          <w:lang w:val="fr-FR" w:bidi="fr-FR"/>
        </w:rPr>
        <w:t>’</w:t>
      </w:r>
      <w:r w:rsidRPr="0046567B">
        <w:rPr>
          <w:lang w:val="fr-FR" w:bidi="fr-FR"/>
        </w:rPr>
        <w:t>une part, et les valeurs morales et le bien-être des habitants de la communauté d</w:t>
      </w:r>
      <w:r w:rsidR="00FB11B3" w:rsidRPr="0046567B">
        <w:rPr>
          <w:lang w:val="fr-FR" w:bidi="fr-FR"/>
        </w:rPr>
        <w:t>’</w:t>
      </w:r>
      <w:r w:rsidRPr="0046567B">
        <w:rPr>
          <w:lang w:val="fr-FR" w:bidi="fr-FR"/>
        </w:rPr>
        <w:t>autre part. Ce dispositif contribue également à limiter les risques d</w:t>
      </w:r>
      <w:r w:rsidR="00FB11B3" w:rsidRPr="0046567B">
        <w:rPr>
          <w:lang w:val="fr-FR" w:bidi="fr-FR"/>
        </w:rPr>
        <w:t>’</w:t>
      </w:r>
      <w:r w:rsidRPr="0046567B">
        <w:rPr>
          <w:lang w:val="fr-FR" w:bidi="fr-FR"/>
        </w:rPr>
        <w:t xml:space="preserve">exploitation des travailleuses et travailleurs du sexe. </w:t>
      </w:r>
      <w:r w:rsidRPr="0046567B">
        <w:rPr>
          <w:rFonts w:hint="eastAsia"/>
          <w:lang w:val="fr-FR" w:bidi="fr-FR"/>
        </w:rPr>
        <w:t>L</w:t>
      </w:r>
      <w:r w:rsidRPr="0046567B">
        <w:rPr>
          <w:lang w:val="fr-FR" w:bidi="fr-FR"/>
        </w:rPr>
        <w:t>e</w:t>
      </w:r>
      <w:r w:rsidRPr="0046567B">
        <w:rPr>
          <w:rFonts w:hint="eastAsia"/>
          <w:lang w:val="fr-FR" w:bidi="fr-FR"/>
        </w:rPr>
        <w:t>s services d</w:t>
      </w:r>
      <w:r w:rsidR="00FB11B3" w:rsidRPr="0046567B">
        <w:rPr>
          <w:lang w:val="fr-FR" w:bidi="fr-FR"/>
        </w:rPr>
        <w:t>’</w:t>
      </w:r>
      <w:r w:rsidRPr="0046567B">
        <w:rPr>
          <w:rFonts w:hint="eastAsia"/>
          <w:lang w:val="fr-FR" w:bidi="fr-FR"/>
        </w:rPr>
        <w:t xml:space="preserve">aide sociale et de santé destinés aux </w:t>
      </w:r>
      <w:r w:rsidRPr="0046567B">
        <w:rPr>
          <w:lang w:val="fr-FR" w:bidi="fr-FR"/>
        </w:rPr>
        <w:t xml:space="preserve">travailleuses et </w:t>
      </w:r>
      <w:r w:rsidRPr="0046567B">
        <w:rPr>
          <w:rFonts w:hint="eastAsia"/>
          <w:lang w:val="fr-FR" w:bidi="fr-FR"/>
        </w:rPr>
        <w:t xml:space="preserve">travailleurs du sexe </w:t>
      </w:r>
      <w:r w:rsidRPr="0046567B">
        <w:rPr>
          <w:lang w:val="fr-FR" w:bidi="fr-FR"/>
        </w:rPr>
        <w:t>font l</w:t>
      </w:r>
      <w:r w:rsidR="00FB11B3" w:rsidRPr="0046567B">
        <w:rPr>
          <w:lang w:val="fr-FR" w:bidi="fr-FR"/>
        </w:rPr>
        <w:t>’</w:t>
      </w:r>
      <w:r w:rsidRPr="0046567B">
        <w:rPr>
          <w:lang w:val="fr-FR" w:bidi="fr-FR"/>
        </w:rPr>
        <w:t>objet de</w:t>
      </w:r>
      <w:r w:rsidRPr="0046567B">
        <w:rPr>
          <w:rFonts w:hint="eastAsia"/>
          <w:lang w:val="fr-FR" w:bidi="fr-FR"/>
        </w:rPr>
        <w:t xml:space="preserve">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6A du présent rapport</w:t>
      </w:r>
      <w:r w:rsidRPr="0046567B">
        <w:rPr>
          <w:lang w:val="fr-FR" w:bidi="fr-FR"/>
        </w:rPr>
        <w:t>.</w:t>
      </w:r>
    </w:p>
    <w:p w14:paraId="6F0B2DE6" w14:textId="1AECB5DC" w:rsidR="00B408C7" w:rsidRPr="0046567B" w:rsidRDefault="00B408C7" w:rsidP="00B408C7">
      <w:pPr>
        <w:pStyle w:val="SingleTxt"/>
        <w:spacing w:after="0" w:line="120" w:lineRule="exact"/>
        <w:rPr>
          <w:sz w:val="10"/>
          <w:lang w:val="fr-FR" w:bidi="fr-FR"/>
        </w:rPr>
      </w:pPr>
    </w:p>
    <w:p w14:paraId="06098295" w14:textId="35E33072" w:rsidR="00B408C7" w:rsidRPr="0046567B" w:rsidRDefault="00B408C7" w:rsidP="00B408C7">
      <w:pPr>
        <w:pStyle w:val="SingleTxt"/>
        <w:spacing w:after="0" w:line="120" w:lineRule="exact"/>
        <w:rPr>
          <w:sz w:val="10"/>
          <w:lang w:val="fr-FR"/>
        </w:rPr>
      </w:pPr>
    </w:p>
    <w:p w14:paraId="35BE4467" w14:textId="624DB4BA" w:rsidR="00FC36AA" w:rsidRPr="0046567B" w:rsidRDefault="00FC36AA" w:rsidP="00B408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7 </w:t>
      </w:r>
      <w:r w:rsidR="00B408C7" w:rsidRPr="0046567B">
        <w:rPr>
          <w:lang w:val="fr-FR" w:bidi="fr-FR"/>
        </w:rPr>
        <w:t>–</w:t>
      </w:r>
      <w:r w:rsidRPr="0046567B">
        <w:rPr>
          <w:lang w:val="fr-FR" w:bidi="fr-FR"/>
        </w:rPr>
        <w:t xml:space="preserve"> Égalité dans la vie politique et publique </w:t>
      </w:r>
      <w:r w:rsidR="00B408C7" w:rsidRPr="0046567B">
        <w:rPr>
          <w:lang w:val="fr-FR" w:bidi="fr-FR"/>
        </w:rPr>
        <w:br/>
      </w:r>
      <w:r w:rsidRPr="0046567B">
        <w:rPr>
          <w:lang w:val="fr-FR" w:bidi="fr-FR"/>
        </w:rPr>
        <w:t>au niveau national</w:t>
      </w:r>
    </w:p>
    <w:p w14:paraId="5A1B3F33" w14:textId="62547C7D" w:rsidR="00B408C7" w:rsidRPr="0046567B" w:rsidRDefault="00B408C7" w:rsidP="00B408C7">
      <w:pPr>
        <w:pStyle w:val="SingleTxt"/>
        <w:spacing w:after="0" w:line="120" w:lineRule="exact"/>
        <w:rPr>
          <w:sz w:val="10"/>
          <w:lang w:val="fr-FR" w:bidi="fr-FR"/>
        </w:rPr>
      </w:pPr>
    </w:p>
    <w:p w14:paraId="5E38B601" w14:textId="64952A04" w:rsidR="00B408C7" w:rsidRPr="0046567B" w:rsidRDefault="00B408C7" w:rsidP="00B408C7">
      <w:pPr>
        <w:pStyle w:val="SingleTxt"/>
        <w:spacing w:after="0" w:line="120" w:lineRule="exact"/>
        <w:rPr>
          <w:sz w:val="10"/>
          <w:lang w:val="fr-FR" w:bidi="fr-FR"/>
        </w:rPr>
      </w:pPr>
    </w:p>
    <w:p w14:paraId="5F52EC79" w14:textId="67A6F2B3"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Les femmes au sein du Conseil législatif et des conseils de district, le Comité </w:t>
      </w:r>
      <w:r w:rsidRPr="0046567B">
        <w:rPr>
          <w:szCs w:val="20"/>
          <w:lang w:val="fr-FR" w:bidi="fr-FR"/>
        </w:rPr>
        <w:t>électoral</w:t>
      </w:r>
      <w:r w:rsidRPr="0046567B">
        <w:rPr>
          <w:lang w:val="fr-FR" w:bidi="fr-FR"/>
        </w:rPr>
        <w:t xml:space="preserve"> et l</w:t>
      </w:r>
      <w:r w:rsidR="00FB11B3" w:rsidRPr="0046567B">
        <w:rPr>
          <w:lang w:val="fr-FR" w:bidi="fr-FR"/>
        </w:rPr>
        <w:t>’</w:t>
      </w:r>
      <w:r w:rsidRPr="0046567B">
        <w:rPr>
          <w:lang w:val="fr-FR" w:bidi="fr-FR"/>
        </w:rPr>
        <w:t>élection au poste de Chef de l</w:t>
      </w:r>
      <w:r w:rsidR="00FB11B3" w:rsidRPr="0046567B">
        <w:rPr>
          <w:lang w:val="fr-FR" w:bidi="fr-FR"/>
        </w:rPr>
        <w:t>’</w:t>
      </w:r>
      <w:r w:rsidRPr="0046567B">
        <w:rPr>
          <w:lang w:val="fr-FR" w:bidi="fr-FR"/>
        </w:rPr>
        <w:t>exécutif</w:t>
      </w:r>
      <w:r w:rsidR="002A20B0" w:rsidRPr="0046567B">
        <w:rPr>
          <w:lang w:val="fr-FR" w:bidi="fr-FR"/>
        </w:rPr>
        <w:br/>
      </w:r>
      <w:r w:rsidRPr="0046567B">
        <w:rPr>
          <w:lang w:val="fr-FR" w:bidi="fr-FR"/>
        </w:rPr>
        <w:t>de la Région administrative spéciale de Hong Kong</w:t>
      </w:r>
    </w:p>
    <w:p w14:paraId="32B8D776" w14:textId="782EAAD2" w:rsidR="00B408C7" w:rsidRPr="0046567B" w:rsidRDefault="00B408C7" w:rsidP="00B408C7">
      <w:pPr>
        <w:pStyle w:val="SingleTxt"/>
        <w:spacing w:after="0" w:line="120" w:lineRule="exact"/>
        <w:rPr>
          <w:sz w:val="10"/>
          <w:lang w:val="fr-FR" w:bidi="fr-FR"/>
        </w:rPr>
      </w:pPr>
    </w:p>
    <w:p w14:paraId="315C3C24" w14:textId="3A7C02AD" w:rsidR="00B408C7" w:rsidRPr="0046567B" w:rsidRDefault="00B408C7" w:rsidP="00B408C7">
      <w:pPr>
        <w:pStyle w:val="SingleTxt"/>
        <w:spacing w:after="0" w:line="120" w:lineRule="exact"/>
        <w:rPr>
          <w:sz w:val="10"/>
          <w:lang w:val="fr-FR" w:bidi="fr-FR"/>
        </w:rPr>
      </w:pPr>
    </w:p>
    <w:p w14:paraId="0B46BB9F" w14:textId="7362947B"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À Hong Kong, les femmes ont le même droit que les hommes de voter et de se présenter aux élections des conseils de district et du Conseil législatif, y compris aux circonscriptions fonctionnelles, comme exposé au paragraphe</w:t>
      </w:r>
      <w:r w:rsidR="00F2347E" w:rsidRPr="0046567B">
        <w:rPr>
          <w:lang w:val="fr-FR" w:bidi="fr-FR"/>
        </w:rPr>
        <w:t> </w:t>
      </w:r>
      <w:r w:rsidRPr="0046567B">
        <w:rPr>
          <w:lang w:val="fr-FR" w:bidi="fr-FR"/>
        </w:rPr>
        <w:t>159 du rapport précédent. Ce droit est garanti par la Loi fondamentale. Celle-ci garantit à chacun le droit de voter ou de se présenter à des élections, y compris au sein des circonscriptions fonctionnelles, sans que le genre constitue un critère direct ou indirect à l</w:t>
      </w:r>
      <w:r w:rsidR="00FB11B3" w:rsidRPr="0046567B">
        <w:rPr>
          <w:lang w:val="fr-FR" w:bidi="fr-FR"/>
        </w:rPr>
        <w:t>’</w:t>
      </w:r>
      <w:r w:rsidRPr="0046567B">
        <w:rPr>
          <w:lang w:val="fr-FR" w:bidi="fr-FR"/>
        </w:rPr>
        <w:t>exercice de ce droit.</w:t>
      </w:r>
    </w:p>
    <w:p w14:paraId="33987830" w14:textId="1D762725"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Gouvernement ne reconnaît pas le lien existant entre le système électoral au sein des circonscriptions fonctionnelles et la participation des femmes à la vie politique en général, une préoccupation déjà exprimée dans les précédentes observations finales du Comité aux paragraphes</w:t>
      </w:r>
      <w:r w:rsidR="002A20B0" w:rsidRPr="0046567B">
        <w:rPr>
          <w:lang w:val="fr-FR" w:bidi="fr-FR"/>
        </w:rPr>
        <w:t xml:space="preserve"> </w:t>
      </w:r>
      <w:r w:rsidRPr="0046567B">
        <w:rPr>
          <w:lang w:val="fr-FR" w:bidi="fr-FR"/>
        </w:rPr>
        <w:t>58 à</w:t>
      </w:r>
      <w:r w:rsidR="002A20B0" w:rsidRPr="0046567B">
        <w:rPr>
          <w:lang w:val="fr-FR" w:bidi="fr-FR"/>
        </w:rPr>
        <w:t xml:space="preserve"> </w:t>
      </w:r>
      <w:r w:rsidRPr="0046567B">
        <w:rPr>
          <w:lang w:val="fr-FR" w:bidi="fr-FR"/>
        </w:rPr>
        <w:t>59. Notre point de vue a été exposé au paragraphe</w:t>
      </w:r>
      <w:r w:rsidR="002A20B0" w:rsidRPr="0046567B">
        <w:rPr>
          <w:lang w:val="fr-FR" w:bidi="fr-FR"/>
        </w:rPr>
        <w:t xml:space="preserve"> </w:t>
      </w:r>
      <w:r w:rsidRPr="0046567B">
        <w:rPr>
          <w:lang w:val="fr-FR" w:bidi="fr-FR"/>
        </w:rPr>
        <w:t>162 du rapport précédent. En effet, un total de 124</w:t>
      </w:r>
      <w:r w:rsidR="002A20B0" w:rsidRPr="0046567B">
        <w:rPr>
          <w:lang w:val="fr-FR" w:bidi="fr-FR"/>
        </w:rPr>
        <w:t> </w:t>
      </w:r>
      <w:r w:rsidRPr="0046567B">
        <w:rPr>
          <w:lang w:val="fr-FR" w:bidi="fr-FR"/>
        </w:rPr>
        <w:t>181</w:t>
      </w:r>
      <w:r w:rsidR="002A20B0" w:rsidRPr="0046567B">
        <w:rPr>
          <w:lang w:val="fr-FR" w:bidi="fr-FR"/>
        </w:rPr>
        <w:t xml:space="preserve"> </w:t>
      </w:r>
      <w:r w:rsidRPr="0046567B">
        <w:rPr>
          <w:lang w:val="fr-FR" w:bidi="fr-FR"/>
        </w:rPr>
        <w:t>électrices se sont inscrites dans les 28</w:t>
      </w:r>
      <w:r w:rsidR="002A20B0" w:rsidRPr="0046567B">
        <w:rPr>
          <w:lang w:val="fr-FR" w:bidi="fr-FR"/>
        </w:rPr>
        <w:t xml:space="preserve"> </w:t>
      </w:r>
      <w:r w:rsidRPr="0046567B">
        <w:rPr>
          <w:lang w:val="fr-FR" w:bidi="fr-FR"/>
        </w:rPr>
        <w:t>circonscriptions fonctionnelles sur les registres électoraux de</w:t>
      </w:r>
      <w:r w:rsidR="002A20B0" w:rsidRPr="0046567B">
        <w:rPr>
          <w:lang w:val="fr-FR" w:bidi="fr-FR"/>
        </w:rPr>
        <w:t xml:space="preserve"> </w:t>
      </w:r>
      <w:r w:rsidRPr="0046567B">
        <w:rPr>
          <w:lang w:val="fr-FR" w:bidi="fr-FR"/>
        </w:rPr>
        <w:t>2017, ce qui représente 56</w:t>
      </w:r>
      <w:r w:rsidR="00FB11B3" w:rsidRPr="0046567B">
        <w:rPr>
          <w:lang w:val="fr-FR" w:bidi="fr-FR"/>
        </w:rPr>
        <w:t> %</w:t>
      </w:r>
      <w:r w:rsidRPr="0046567B">
        <w:rPr>
          <w:lang w:val="fr-FR" w:bidi="fr-FR"/>
        </w:rPr>
        <w:t xml:space="preserve"> du total des électeurs inscrits, tandis qu</w:t>
      </w:r>
      <w:r w:rsidR="00FB11B3" w:rsidRPr="0046567B">
        <w:rPr>
          <w:lang w:val="fr-FR" w:bidi="fr-FR"/>
        </w:rPr>
        <w:t>’</w:t>
      </w:r>
      <w:r w:rsidRPr="0046567B">
        <w:rPr>
          <w:lang w:val="fr-FR" w:bidi="fr-FR"/>
        </w:rPr>
        <w:t>un total de 1,78</w:t>
      </w:r>
      <w:r w:rsidR="002A20B0" w:rsidRPr="0046567B">
        <w:rPr>
          <w:lang w:val="fr-FR" w:bidi="fr-FR"/>
        </w:rPr>
        <w:t xml:space="preserve"> </w:t>
      </w:r>
      <w:r w:rsidRPr="0046567B">
        <w:rPr>
          <w:lang w:val="fr-FR" w:bidi="fr-FR"/>
        </w:rPr>
        <w:t>million d</w:t>
      </w:r>
      <w:r w:rsidR="00FB11B3" w:rsidRPr="0046567B">
        <w:rPr>
          <w:lang w:val="fr-FR" w:bidi="fr-FR"/>
        </w:rPr>
        <w:t>’</w:t>
      </w:r>
      <w:r w:rsidRPr="0046567B">
        <w:rPr>
          <w:lang w:val="fr-FR" w:bidi="fr-FR"/>
        </w:rPr>
        <w:t>électrices se sont inscrites sur les registres électoraux pour les élections aux Conseils de district, ce qui représente 50,7</w:t>
      </w:r>
      <w:r w:rsidR="00FB11B3" w:rsidRPr="0046567B">
        <w:rPr>
          <w:lang w:val="fr-FR" w:bidi="fr-FR"/>
        </w:rPr>
        <w:t> %</w:t>
      </w:r>
      <w:r w:rsidRPr="0046567B">
        <w:rPr>
          <w:lang w:val="fr-FR" w:bidi="fr-FR"/>
        </w:rPr>
        <w:t xml:space="preserve"> du total des électeurs inscrits. Il n</w:t>
      </w:r>
      <w:r w:rsidR="00FB11B3" w:rsidRPr="0046567B">
        <w:rPr>
          <w:lang w:val="fr-FR" w:bidi="fr-FR"/>
        </w:rPr>
        <w:t>’</w:t>
      </w:r>
      <w:r w:rsidRPr="0046567B">
        <w:rPr>
          <w:lang w:val="fr-FR" w:bidi="fr-FR"/>
        </w:rPr>
        <w:t>est pas établi que les élections au sein des circonscriptions fonctionnelles ont désavantagé les candidates femmes lors de ce scrutin.</w:t>
      </w:r>
    </w:p>
    <w:p w14:paraId="7B479077" w14:textId="69C0956B"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w:t>
      </w:r>
      <w:r w:rsidR="00FB11B3" w:rsidRPr="0046567B">
        <w:rPr>
          <w:lang w:val="fr-FR" w:bidi="fr-FR"/>
        </w:rPr>
        <w:t>’</w:t>
      </w:r>
      <w:r w:rsidRPr="0046567B">
        <w:rPr>
          <w:lang w:val="fr-FR" w:bidi="fr-FR"/>
        </w:rPr>
        <w:t>élection au poste de chef de l</w:t>
      </w:r>
      <w:r w:rsidR="00FB11B3" w:rsidRPr="0046567B">
        <w:rPr>
          <w:lang w:val="fr-FR" w:bidi="fr-FR"/>
        </w:rPr>
        <w:t>’</w:t>
      </w:r>
      <w:r w:rsidRPr="0046567B">
        <w:rPr>
          <w:lang w:val="fr-FR" w:bidi="fr-FR"/>
        </w:rPr>
        <w:t xml:space="preserve">exécutif au titre du cinquième mandat de la </w:t>
      </w:r>
      <w:r w:rsidRPr="0046567B">
        <w:rPr>
          <w:lang w:val="fr-FR"/>
        </w:rPr>
        <w:t xml:space="preserve">Région administrative spéciale de Hong Kong </w:t>
      </w:r>
      <w:r w:rsidRPr="0046567B">
        <w:rPr>
          <w:lang w:val="fr-FR" w:bidi="fr-FR"/>
        </w:rPr>
        <w:t>a eu lieu en mars</w:t>
      </w:r>
      <w:r w:rsidR="002A20B0" w:rsidRPr="0046567B">
        <w:rPr>
          <w:lang w:val="fr-FR" w:bidi="fr-FR"/>
        </w:rPr>
        <w:t xml:space="preserve"> </w:t>
      </w:r>
      <w:r w:rsidRPr="0046567B">
        <w:rPr>
          <w:lang w:val="fr-FR" w:bidi="fr-FR"/>
        </w:rPr>
        <w:t>2017. M</w:t>
      </w:r>
      <w:r w:rsidRPr="0046567B">
        <w:rPr>
          <w:vertAlign w:val="superscript"/>
          <w:lang w:val="fr-FR" w:bidi="fr-FR"/>
        </w:rPr>
        <w:t>me</w:t>
      </w:r>
      <w:r w:rsidR="002A20B0" w:rsidRPr="0046567B">
        <w:rPr>
          <w:lang w:val="fr-FR" w:bidi="fr-FR"/>
        </w:rPr>
        <w:t> </w:t>
      </w:r>
      <w:r w:rsidRPr="0046567B">
        <w:rPr>
          <w:lang w:val="fr-FR" w:bidi="fr-FR"/>
        </w:rPr>
        <w:t>Carrie Lam, l</w:t>
      </w:r>
      <w:r w:rsidR="00FB11B3" w:rsidRPr="0046567B">
        <w:rPr>
          <w:lang w:val="fr-FR" w:bidi="fr-FR"/>
        </w:rPr>
        <w:t>’</w:t>
      </w:r>
      <w:r w:rsidRPr="0046567B">
        <w:rPr>
          <w:lang w:val="fr-FR" w:bidi="fr-FR"/>
        </w:rPr>
        <w:t>une des trois candidats à cette élection, a été la première femme dont la nomination a été validée dans l</w:t>
      </w:r>
      <w:r w:rsidR="00FB11B3" w:rsidRPr="0046567B">
        <w:rPr>
          <w:lang w:val="fr-FR" w:bidi="fr-FR"/>
        </w:rPr>
        <w:t>’</w:t>
      </w:r>
      <w:r w:rsidRPr="0046567B">
        <w:rPr>
          <w:lang w:val="fr-FR" w:bidi="fr-FR"/>
        </w:rPr>
        <w:t>histoire de ces élections. Le 26</w:t>
      </w:r>
      <w:r w:rsidR="002A20B0" w:rsidRPr="0046567B">
        <w:rPr>
          <w:lang w:val="fr-FR" w:bidi="fr-FR"/>
        </w:rPr>
        <w:t xml:space="preserve"> </w:t>
      </w:r>
      <w:r w:rsidRPr="0046567B">
        <w:rPr>
          <w:lang w:val="fr-FR" w:bidi="fr-FR"/>
        </w:rPr>
        <w:t>mars</w:t>
      </w:r>
      <w:r w:rsidR="002A20B0" w:rsidRPr="0046567B">
        <w:rPr>
          <w:lang w:val="fr-FR" w:bidi="fr-FR"/>
        </w:rPr>
        <w:t xml:space="preserve"> </w:t>
      </w:r>
      <w:r w:rsidRPr="0046567B">
        <w:rPr>
          <w:lang w:val="fr-FR" w:bidi="fr-FR"/>
        </w:rPr>
        <w:t>2017, M</w:t>
      </w:r>
      <w:r w:rsidRPr="0046567B">
        <w:rPr>
          <w:vertAlign w:val="superscript"/>
          <w:lang w:val="fr-FR" w:bidi="fr-FR"/>
        </w:rPr>
        <w:t>me</w:t>
      </w:r>
      <w:r w:rsidR="002A20B0" w:rsidRPr="0046567B">
        <w:rPr>
          <w:lang w:val="fr-FR" w:bidi="fr-FR"/>
        </w:rPr>
        <w:t> </w:t>
      </w:r>
      <w:r w:rsidRPr="0046567B">
        <w:rPr>
          <w:lang w:val="fr-FR" w:bidi="fr-FR"/>
        </w:rPr>
        <w:t>Lam a été élue par le Comité électoral et est devenue, pour la cinquième</w:t>
      </w:r>
      <w:r w:rsidR="002A20B0" w:rsidRPr="0046567B">
        <w:rPr>
          <w:lang w:val="fr-FR" w:bidi="fr-FR"/>
        </w:rPr>
        <w:t xml:space="preserve"> </w:t>
      </w:r>
      <w:r w:rsidRPr="0046567B">
        <w:rPr>
          <w:lang w:val="fr-FR" w:bidi="fr-FR"/>
        </w:rPr>
        <w:t xml:space="preserve">mandature de la Région administrative spéciale de Hong Kong, la première femme à accéder à ce poste, son mandat commençant le </w:t>
      </w:r>
      <w:r w:rsidRPr="0046567B">
        <w:t>1</w:t>
      </w:r>
      <w:r w:rsidRPr="0046567B">
        <w:rPr>
          <w:vertAlign w:val="superscript"/>
        </w:rPr>
        <w:t>er</w:t>
      </w:r>
      <w:r w:rsidR="00F2347E" w:rsidRPr="0046567B">
        <w:t> </w:t>
      </w:r>
      <w:r w:rsidRPr="0046567B">
        <w:t>juillet</w:t>
      </w:r>
      <w:r w:rsidR="002A20B0" w:rsidRPr="0046567B">
        <w:rPr>
          <w:lang w:val="fr-FR" w:bidi="fr-FR"/>
        </w:rPr>
        <w:t xml:space="preserve"> </w:t>
      </w:r>
      <w:r w:rsidRPr="0046567B">
        <w:rPr>
          <w:lang w:val="fr-FR" w:bidi="fr-FR"/>
        </w:rPr>
        <w:t>2017.</w:t>
      </w:r>
    </w:p>
    <w:p w14:paraId="14FFE4EF" w14:textId="2B587CA9" w:rsidR="00B408C7" w:rsidRPr="0046567B" w:rsidRDefault="00B408C7" w:rsidP="00B408C7">
      <w:pPr>
        <w:pStyle w:val="SingleTxt"/>
        <w:spacing w:after="0" w:line="120" w:lineRule="exact"/>
        <w:rPr>
          <w:sz w:val="10"/>
          <w:lang w:val="fr-FR" w:bidi="fr-FR"/>
        </w:rPr>
      </w:pPr>
    </w:p>
    <w:p w14:paraId="7CB32C7E" w14:textId="00BEDA75" w:rsidR="00B408C7" w:rsidRPr="0046567B" w:rsidRDefault="00B408C7" w:rsidP="00B408C7">
      <w:pPr>
        <w:pStyle w:val="SingleTxt"/>
        <w:spacing w:after="0" w:line="120" w:lineRule="exact"/>
        <w:rPr>
          <w:sz w:val="10"/>
          <w:lang w:val="fr-FR"/>
        </w:rPr>
      </w:pPr>
    </w:p>
    <w:p w14:paraId="037E2CEE" w14:textId="7DE8CF9A"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au sein du Conseil exécutif</w:t>
      </w:r>
    </w:p>
    <w:p w14:paraId="67714310" w14:textId="7F26A5A2" w:rsidR="00B408C7" w:rsidRPr="0046567B" w:rsidRDefault="00B408C7" w:rsidP="00B408C7">
      <w:pPr>
        <w:pStyle w:val="SingleTxt"/>
        <w:spacing w:after="0" w:line="120" w:lineRule="exact"/>
        <w:rPr>
          <w:sz w:val="10"/>
          <w:lang w:val="fr-FR" w:bidi="fr-FR"/>
        </w:rPr>
      </w:pPr>
    </w:p>
    <w:p w14:paraId="08AD3C7A" w14:textId="78F5DB46" w:rsidR="00B408C7" w:rsidRPr="0046567B" w:rsidRDefault="00B408C7" w:rsidP="00B408C7">
      <w:pPr>
        <w:pStyle w:val="SingleTxt"/>
        <w:spacing w:after="0" w:line="120" w:lineRule="exact"/>
        <w:rPr>
          <w:sz w:val="10"/>
          <w:lang w:val="fr-FR" w:bidi="fr-FR"/>
        </w:rPr>
      </w:pPr>
    </w:p>
    <w:p w14:paraId="1A8E5824" w14:textId="1B43B1AB"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Conseil exécutif est présidé par la première femme Chef de l</w:t>
      </w:r>
      <w:r w:rsidR="00FB11B3" w:rsidRPr="0046567B">
        <w:rPr>
          <w:lang w:val="fr-FR" w:bidi="fr-FR"/>
        </w:rPr>
        <w:t>’</w:t>
      </w:r>
      <w:r w:rsidRPr="0046567B">
        <w:rPr>
          <w:lang w:val="fr-FR" w:bidi="fr-FR"/>
        </w:rPr>
        <w:t>exécutif à Hong Kong et comprend 32</w:t>
      </w:r>
      <w:r w:rsidR="002A20B0" w:rsidRPr="0046567B">
        <w:rPr>
          <w:lang w:val="fr-FR" w:bidi="fr-FR"/>
        </w:rPr>
        <w:t xml:space="preserve"> </w:t>
      </w:r>
      <w:r w:rsidRPr="0046567B">
        <w:rPr>
          <w:lang w:val="fr-FR" w:bidi="fr-FR"/>
        </w:rPr>
        <w:t>membres dont cinq sont des femmes (15,6</w:t>
      </w:r>
      <w:r w:rsidR="00FB11B3" w:rsidRPr="0046567B">
        <w:rPr>
          <w:lang w:val="fr-FR" w:bidi="fr-FR"/>
        </w:rPr>
        <w:t> %</w:t>
      </w:r>
      <w:r w:rsidRPr="0046567B">
        <w:rPr>
          <w:lang w:val="fr-FR" w:bidi="fr-FR"/>
        </w:rPr>
        <w:t>).</w:t>
      </w:r>
    </w:p>
    <w:p w14:paraId="7D79AB08" w14:textId="3F6B22A5" w:rsidR="00B408C7" w:rsidRPr="0046567B" w:rsidRDefault="00B408C7" w:rsidP="00B408C7">
      <w:pPr>
        <w:pStyle w:val="SingleTxt"/>
        <w:spacing w:after="0" w:line="120" w:lineRule="exact"/>
        <w:rPr>
          <w:sz w:val="10"/>
          <w:lang w:val="fr-FR"/>
        </w:rPr>
      </w:pPr>
    </w:p>
    <w:p w14:paraId="0C1CF294" w14:textId="4D92DB0D" w:rsidR="00B408C7" w:rsidRPr="0046567B" w:rsidRDefault="00B408C7" w:rsidP="00B408C7">
      <w:pPr>
        <w:pStyle w:val="SingleTxt"/>
        <w:spacing w:after="0" w:line="120" w:lineRule="exact"/>
        <w:rPr>
          <w:sz w:val="10"/>
          <w:lang w:val="fr-FR"/>
        </w:rPr>
      </w:pPr>
    </w:p>
    <w:p w14:paraId="61D820F6" w14:textId="5243B12C"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Les </w:t>
      </w:r>
      <w:r w:rsidRPr="0046567B">
        <w:rPr>
          <w:szCs w:val="20"/>
          <w:lang w:val="fr-FR" w:bidi="fr-FR"/>
        </w:rPr>
        <w:t>femmes</w:t>
      </w:r>
      <w:r w:rsidRPr="0046567B">
        <w:rPr>
          <w:lang w:val="fr-FR" w:bidi="fr-FR"/>
        </w:rPr>
        <w:t xml:space="preserve"> dans les élections rurales</w:t>
      </w:r>
    </w:p>
    <w:p w14:paraId="09F0CAAA" w14:textId="759BA1E3" w:rsidR="00B408C7" w:rsidRPr="0046567B" w:rsidRDefault="00B408C7" w:rsidP="00B408C7">
      <w:pPr>
        <w:pStyle w:val="SingleTxt"/>
        <w:spacing w:after="0" w:line="120" w:lineRule="exact"/>
        <w:rPr>
          <w:sz w:val="10"/>
          <w:lang w:val="fr-FR" w:bidi="fr-FR"/>
        </w:rPr>
      </w:pPr>
    </w:p>
    <w:p w14:paraId="6E9E8244" w14:textId="51F84DD5" w:rsidR="00B408C7" w:rsidRPr="0046567B" w:rsidRDefault="00B408C7" w:rsidP="00B408C7">
      <w:pPr>
        <w:pStyle w:val="SingleTxt"/>
        <w:spacing w:after="0" w:line="120" w:lineRule="exact"/>
        <w:rPr>
          <w:sz w:val="10"/>
          <w:lang w:val="fr-FR" w:bidi="fr-FR"/>
        </w:rPr>
      </w:pPr>
    </w:p>
    <w:p w14:paraId="3B756CF0" w14:textId="78E31EA4"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Les points relatifs aux femmes dans les élections rurales sont exposés à l</w:t>
      </w:r>
      <w:r w:rsidR="00FB11B3" w:rsidRPr="0046567B">
        <w:rPr>
          <w:lang w:val="fr-FR" w:bidi="fr-FR"/>
        </w:rPr>
        <w:t>’</w:t>
      </w:r>
      <w:r w:rsidRPr="0046567B">
        <w:rPr>
          <w:lang w:val="fr-FR" w:bidi="fr-FR"/>
        </w:rPr>
        <w:t>article 14 « Femmes rurales ».</w:t>
      </w:r>
    </w:p>
    <w:p w14:paraId="0FA1346E" w14:textId="366523B2" w:rsidR="00B408C7" w:rsidRPr="0046567B" w:rsidRDefault="00B408C7" w:rsidP="00B408C7">
      <w:pPr>
        <w:pStyle w:val="SingleTxt"/>
        <w:spacing w:after="0" w:line="120" w:lineRule="exact"/>
        <w:rPr>
          <w:sz w:val="10"/>
          <w:lang w:val="fr-FR" w:bidi="fr-FR"/>
        </w:rPr>
      </w:pPr>
    </w:p>
    <w:p w14:paraId="6117454B" w14:textId="54CA4216" w:rsidR="00B408C7" w:rsidRPr="0046567B" w:rsidRDefault="00B408C7" w:rsidP="00B408C7">
      <w:pPr>
        <w:pStyle w:val="SingleTxt"/>
        <w:spacing w:after="0" w:line="120" w:lineRule="exact"/>
        <w:rPr>
          <w:sz w:val="10"/>
          <w:lang w:val="fr-FR"/>
        </w:rPr>
      </w:pPr>
    </w:p>
    <w:p w14:paraId="22E0F86C" w14:textId="4943CFC6"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dans les organes consultatifs et statutaires</w:t>
      </w:r>
    </w:p>
    <w:p w14:paraId="4986C9DA" w14:textId="52FA91C0" w:rsidR="00B408C7" w:rsidRPr="0046567B" w:rsidRDefault="00B408C7" w:rsidP="00B408C7">
      <w:pPr>
        <w:pStyle w:val="SingleTxt"/>
        <w:spacing w:after="0" w:line="120" w:lineRule="exact"/>
        <w:rPr>
          <w:sz w:val="10"/>
          <w:lang w:val="fr-FR" w:bidi="fr-FR"/>
        </w:rPr>
      </w:pPr>
    </w:p>
    <w:p w14:paraId="71B65F9E" w14:textId="74BF4620" w:rsidR="00B408C7" w:rsidRPr="0046567B" w:rsidRDefault="00B408C7" w:rsidP="00B408C7">
      <w:pPr>
        <w:pStyle w:val="SingleTxt"/>
        <w:spacing w:after="0" w:line="120" w:lineRule="exact"/>
        <w:rPr>
          <w:sz w:val="10"/>
          <w:lang w:val="fr-FR" w:bidi="fr-FR"/>
        </w:rPr>
      </w:pPr>
    </w:p>
    <w:p w14:paraId="2BA71AC8" w14:textId="7A39462E"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En maintenant un système d</w:t>
      </w:r>
      <w:r w:rsidR="00FB11B3" w:rsidRPr="0046567B">
        <w:rPr>
          <w:lang w:val="fr-FR" w:bidi="fr-FR"/>
        </w:rPr>
        <w:t>’</w:t>
      </w:r>
      <w:r w:rsidRPr="0046567B">
        <w:rPr>
          <w:lang w:val="fr-FR" w:bidi="fr-FR"/>
        </w:rPr>
        <w:t>organes consultatifs et statutaires, une large partie de la communauté et des organisations concernées sont en mesure de participer au processus d</w:t>
      </w:r>
      <w:r w:rsidR="00FB11B3" w:rsidRPr="0046567B">
        <w:rPr>
          <w:lang w:val="fr-FR" w:bidi="fr-FR"/>
        </w:rPr>
        <w:t>’</w:t>
      </w:r>
      <w:r w:rsidRPr="0046567B">
        <w:rPr>
          <w:lang w:val="fr-FR" w:bidi="fr-FR"/>
        </w:rPr>
        <w:t>élaboration des politiques et de planification du service public. Actuellement, on compte environ 490</w:t>
      </w:r>
      <w:r w:rsidR="002A20B0" w:rsidRPr="0046567B">
        <w:rPr>
          <w:lang w:val="fr-FR" w:bidi="fr-FR"/>
        </w:rPr>
        <w:t xml:space="preserve"> </w:t>
      </w:r>
      <w:r w:rsidRPr="0046567B">
        <w:rPr>
          <w:lang w:val="fr-FR" w:bidi="fr-FR"/>
        </w:rPr>
        <w:t>organes consultatifs et statutaires. Le taux de représentativité des femmes au sein des organes consultatifs et statutaires dont les membres ne sont pas nommés par le Gouvernement est passé de 28,1</w:t>
      </w:r>
      <w:r w:rsidR="00FB11B3" w:rsidRPr="0046567B">
        <w:rPr>
          <w:lang w:val="fr-FR" w:bidi="fr-FR"/>
        </w:rPr>
        <w:t> %</w:t>
      </w:r>
      <w:r w:rsidRPr="0046567B">
        <w:rPr>
          <w:lang w:val="fr-FR" w:bidi="fr-FR"/>
        </w:rPr>
        <w:t xml:space="preserve"> en</w:t>
      </w:r>
      <w:r w:rsidR="002A20B0" w:rsidRPr="0046567B">
        <w:rPr>
          <w:lang w:val="fr-FR" w:bidi="fr-FR"/>
        </w:rPr>
        <w:t xml:space="preserve"> </w:t>
      </w:r>
      <w:r w:rsidRPr="0046567B">
        <w:rPr>
          <w:lang w:val="fr-FR" w:bidi="fr-FR"/>
        </w:rPr>
        <w:t>2010 à 32,4</w:t>
      </w:r>
      <w:r w:rsidR="00FB11B3" w:rsidRPr="0046567B">
        <w:rPr>
          <w:lang w:val="fr-FR" w:bidi="fr-FR"/>
        </w:rPr>
        <w:t> %</w:t>
      </w:r>
      <w:r w:rsidRPr="0046567B">
        <w:rPr>
          <w:lang w:val="fr-FR" w:bidi="fr-FR"/>
        </w:rPr>
        <w:t xml:space="preserve"> en décembre</w:t>
      </w:r>
      <w:r w:rsidR="002A20B0" w:rsidRPr="0046567B">
        <w:rPr>
          <w:lang w:val="fr-FR" w:bidi="fr-FR"/>
        </w:rPr>
        <w:t xml:space="preserve"> </w:t>
      </w:r>
      <w:r w:rsidRPr="0046567B">
        <w:rPr>
          <w:lang w:val="fr-FR" w:bidi="fr-FR"/>
        </w:rPr>
        <w:t>2017.</w:t>
      </w:r>
    </w:p>
    <w:p w14:paraId="68C3B20D" w14:textId="36928C11" w:rsidR="00B408C7" w:rsidRPr="0046567B" w:rsidRDefault="00B408C7" w:rsidP="00B408C7">
      <w:pPr>
        <w:pStyle w:val="SingleTxt"/>
        <w:spacing w:after="0" w:line="120" w:lineRule="exact"/>
        <w:rPr>
          <w:sz w:val="10"/>
          <w:lang w:val="fr-FR" w:bidi="fr-FR"/>
        </w:rPr>
      </w:pPr>
    </w:p>
    <w:p w14:paraId="2F143EDF" w14:textId="36BCAA8F" w:rsidR="00B408C7" w:rsidRPr="0046567B" w:rsidRDefault="00B408C7" w:rsidP="00B408C7">
      <w:pPr>
        <w:pStyle w:val="SingleTxt"/>
        <w:spacing w:after="0" w:line="120" w:lineRule="exact"/>
        <w:rPr>
          <w:sz w:val="10"/>
          <w:lang w:val="fr-FR"/>
        </w:rPr>
      </w:pPr>
    </w:p>
    <w:p w14:paraId="44BB3270" w14:textId="558EC861"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dans la fonction publique</w:t>
      </w:r>
    </w:p>
    <w:p w14:paraId="61AA07EE" w14:textId="52FF155E" w:rsidR="00B408C7" w:rsidRPr="0046567B" w:rsidRDefault="00B408C7" w:rsidP="00B408C7">
      <w:pPr>
        <w:pStyle w:val="SingleTxt"/>
        <w:spacing w:after="0" w:line="120" w:lineRule="exact"/>
        <w:rPr>
          <w:sz w:val="10"/>
          <w:lang w:val="fr-FR" w:bidi="fr-FR"/>
        </w:rPr>
      </w:pPr>
    </w:p>
    <w:p w14:paraId="1EE3A42C" w14:textId="1E1DEA7A" w:rsidR="00B408C7" w:rsidRPr="0046567B" w:rsidRDefault="00B408C7" w:rsidP="00B408C7">
      <w:pPr>
        <w:pStyle w:val="SingleTxt"/>
        <w:spacing w:after="0" w:line="120" w:lineRule="exact"/>
        <w:rPr>
          <w:sz w:val="10"/>
          <w:lang w:val="fr-FR" w:bidi="fr-FR"/>
        </w:rPr>
      </w:pPr>
    </w:p>
    <w:p w14:paraId="5C8ACCFA" w14:textId="11F191FB"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Depuis le précédent rapport, la participation des femmes dans la fonction publique a augmenté de façon régulière. Le pourcentage de femmes parmi le personnel féminin de la fonction publique est passé de 34,6</w:t>
      </w:r>
      <w:r w:rsidR="00FB11B3" w:rsidRPr="0046567B">
        <w:rPr>
          <w:lang w:val="fr-FR" w:bidi="fr-FR"/>
        </w:rPr>
        <w:t> %</w:t>
      </w:r>
      <w:r w:rsidRPr="0046567B">
        <w:rPr>
          <w:lang w:val="fr-FR" w:bidi="fr-FR"/>
        </w:rPr>
        <w:t xml:space="preserve"> en</w:t>
      </w:r>
      <w:r w:rsidR="002A20B0" w:rsidRPr="0046567B">
        <w:rPr>
          <w:lang w:val="fr-FR" w:bidi="fr-FR"/>
        </w:rPr>
        <w:t xml:space="preserve"> </w:t>
      </w:r>
      <w:r w:rsidRPr="0046567B">
        <w:rPr>
          <w:lang w:val="fr-FR" w:bidi="fr-FR"/>
        </w:rPr>
        <w:t>2009 à 37,2</w:t>
      </w:r>
      <w:r w:rsidR="00FB11B3" w:rsidRPr="0046567B">
        <w:rPr>
          <w:lang w:val="fr-FR" w:bidi="fr-FR"/>
        </w:rPr>
        <w:t> %</w:t>
      </w:r>
      <w:r w:rsidRPr="0046567B">
        <w:rPr>
          <w:lang w:val="fr-FR" w:bidi="fr-FR"/>
        </w:rPr>
        <w:t xml:space="preserve"> en</w:t>
      </w:r>
      <w:r w:rsidR="002A20B0" w:rsidRPr="0046567B">
        <w:rPr>
          <w:lang w:val="fr-FR" w:bidi="fr-FR"/>
        </w:rPr>
        <w:t xml:space="preserve"> </w:t>
      </w:r>
      <w:r w:rsidRPr="0046567B">
        <w:rPr>
          <w:lang w:val="fr-FR" w:bidi="fr-FR"/>
        </w:rPr>
        <w:t>2016. En outre, le nombre de femmes cadres de direction dans la fonction publique est passé de</w:t>
      </w:r>
      <w:r w:rsidR="002A20B0" w:rsidRPr="0046567B">
        <w:rPr>
          <w:lang w:val="fr-FR" w:bidi="fr-FR"/>
        </w:rPr>
        <w:t xml:space="preserve"> </w:t>
      </w:r>
      <w:r w:rsidRPr="0046567B">
        <w:rPr>
          <w:lang w:val="fr-FR" w:bidi="fr-FR"/>
        </w:rPr>
        <w:t>396 en</w:t>
      </w:r>
      <w:r w:rsidR="002A20B0" w:rsidRPr="0046567B">
        <w:rPr>
          <w:lang w:val="fr-FR" w:bidi="fr-FR"/>
        </w:rPr>
        <w:t xml:space="preserve"> </w:t>
      </w:r>
      <w:r w:rsidRPr="0046567B">
        <w:rPr>
          <w:lang w:val="fr-FR" w:bidi="fr-FR"/>
        </w:rPr>
        <w:t>2009 à</w:t>
      </w:r>
      <w:r w:rsidR="002A20B0" w:rsidRPr="0046567B">
        <w:rPr>
          <w:lang w:val="fr-FR" w:bidi="fr-FR"/>
        </w:rPr>
        <w:t xml:space="preserve"> </w:t>
      </w:r>
      <w:r w:rsidRPr="0046567B">
        <w:rPr>
          <w:lang w:val="fr-FR" w:bidi="fr-FR"/>
        </w:rPr>
        <w:t>470 en</w:t>
      </w:r>
      <w:r w:rsidR="002A20B0" w:rsidRPr="0046567B">
        <w:rPr>
          <w:lang w:val="fr-FR" w:bidi="fr-FR"/>
        </w:rPr>
        <w:t xml:space="preserve"> </w:t>
      </w:r>
      <w:r w:rsidRPr="0046567B">
        <w:rPr>
          <w:lang w:val="fr-FR" w:bidi="fr-FR"/>
        </w:rPr>
        <w:t>2016. En décembre</w:t>
      </w:r>
      <w:r w:rsidR="002A20B0" w:rsidRPr="0046567B">
        <w:rPr>
          <w:lang w:val="fr-FR" w:bidi="fr-FR"/>
        </w:rPr>
        <w:t xml:space="preserve"> </w:t>
      </w:r>
      <w:r w:rsidRPr="0046567B">
        <w:rPr>
          <w:lang w:val="fr-FR" w:bidi="fr-FR"/>
        </w:rPr>
        <w:t>2017, les femmes fonctionnaires représentaient 37,6</w:t>
      </w:r>
      <w:r w:rsidR="00FB11B3" w:rsidRPr="0046567B">
        <w:rPr>
          <w:lang w:val="fr-FR" w:bidi="fr-FR"/>
        </w:rPr>
        <w:t> %</w:t>
      </w:r>
      <w:r w:rsidRPr="0046567B">
        <w:rPr>
          <w:lang w:val="fr-FR" w:bidi="fr-FR"/>
        </w:rPr>
        <w:t xml:space="preserve"> des postes de haut niveau (cadres de direction). Au sein du Gouvernement de la Région administrative spéciale de Hong Kong, pour la 5</w:t>
      </w:r>
      <w:r w:rsidRPr="0046567B">
        <w:rPr>
          <w:vertAlign w:val="superscript"/>
          <w:lang w:val="fr-FR" w:bidi="fr-FR"/>
        </w:rPr>
        <w:t>e</w:t>
      </w:r>
      <w:r w:rsidR="002A20B0" w:rsidRPr="0046567B">
        <w:rPr>
          <w:lang w:val="fr-FR" w:bidi="fr-FR"/>
        </w:rPr>
        <w:t> </w:t>
      </w:r>
      <w:r w:rsidRPr="0046567B">
        <w:rPr>
          <w:lang w:val="fr-FR" w:bidi="fr-FR"/>
        </w:rPr>
        <w:t>mandature, la Chef de l</w:t>
      </w:r>
      <w:r w:rsidR="00FB11B3" w:rsidRPr="0046567B">
        <w:rPr>
          <w:lang w:val="fr-FR" w:bidi="fr-FR"/>
        </w:rPr>
        <w:t>’</w:t>
      </w:r>
      <w:r w:rsidRPr="0046567B">
        <w:rPr>
          <w:lang w:val="fr-FR" w:bidi="fr-FR"/>
        </w:rPr>
        <w:t>exécutif, la Secrétaire à la justice et la Secrétaire à l</w:t>
      </w:r>
      <w:r w:rsidR="00FB11B3" w:rsidRPr="0046567B">
        <w:rPr>
          <w:lang w:val="fr-FR" w:bidi="fr-FR"/>
        </w:rPr>
        <w:t>’</w:t>
      </w:r>
      <w:r w:rsidRPr="0046567B">
        <w:rPr>
          <w:lang w:val="fr-FR" w:bidi="fr-FR"/>
        </w:rPr>
        <w:t>alimentation et à la santé sont des femmes. À la date du 31</w:t>
      </w:r>
      <w:r w:rsidR="002A20B0" w:rsidRPr="0046567B">
        <w:rPr>
          <w:lang w:val="fr-FR" w:bidi="fr-FR"/>
        </w:rPr>
        <w:t xml:space="preserve"> </w:t>
      </w:r>
      <w:r w:rsidRPr="0046567B">
        <w:rPr>
          <w:lang w:val="fr-FR" w:bidi="fr-FR"/>
        </w:rPr>
        <w:t>mars</w:t>
      </w:r>
      <w:r w:rsidR="002A20B0" w:rsidRPr="0046567B">
        <w:rPr>
          <w:lang w:val="fr-FR" w:bidi="fr-FR"/>
        </w:rPr>
        <w:t xml:space="preserve"> </w:t>
      </w:r>
      <w:r w:rsidRPr="0046567B">
        <w:rPr>
          <w:lang w:val="fr-FR" w:bidi="fr-FR"/>
        </w:rPr>
        <w:t>2018, la moitié des 18</w:t>
      </w:r>
      <w:r w:rsidR="002A20B0" w:rsidRPr="0046567B">
        <w:rPr>
          <w:lang w:val="fr-FR" w:bidi="fr-FR"/>
        </w:rPr>
        <w:t xml:space="preserve"> </w:t>
      </w:r>
      <w:r w:rsidRPr="0046567B">
        <w:rPr>
          <w:lang w:val="fr-FR" w:bidi="fr-FR"/>
        </w:rPr>
        <w:t>secrétaires permanents (les plus hauts fonctionnaires) étaient des femmes.</w:t>
      </w:r>
    </w:p>
    <w:p w14:paraId="455937C8" w14:textId="0ABDD1EB" w:rsidR="00B408C7" w:rsidRPr="0046567B" w:rsidRDefault="00B408C7" w:rsidP="00B408C7">
      <w:pPr>
        <w:pStyle w:val="SingleTxt"/>
        <w:spacing w:after="0" w:line="120" w:lineRule="exact"/>
        <w:rPr>
          <w:sz w:val="10"/>
          <w:lang w:val="fr-FR" w:bidi="fr-FR"/>
        </w:rPr>
      </w:pPr>
    </w:p>
    <w:p w14:paraId="2F2AEB2E" w14:textId="1C8D1024" w:rsidR="00B408C7" w:rsidRPr="0046567B" w:rsidRDefault="00B408C7" w:rsidP="00B408C7">
      <w:pPr>
        <w:pStyle w:val="SingleTxt"/>
        <w:spacing w:after="0" w:line="120" w:lineRule="exact"/>
        <w:rPr>
          <w:sz w:val="10"/>
          <w:lang w:val="fr-FR"/>
        </w:rPr>
      </w:pPr>
    </w:p>
    <w:p w14:paraId="53E667F0" w14:textId="1F19B65F" w:rsidR="00FC36AA" w:rsidRPr="0046567B" w:rsidRDefault="00FC36AA" w:rsidP="00B408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bidi="fr-FR"/>
        </w:rPr>
      </w:pPr>
      <w:r w:rsidRPr="0046567B">
        <w:rPr>
          <w:lang w:val="fr-FR" w:bidi="fr-FR"/>
        </w:rPr>
        <w:tab/>
      </w:r>
      <w:r w:rsidRPr="0046567B">
        <w:rPr>
          <w:lang w:val="fr-FR" w:bidi="fr-FR"/>
        </w:rPr>
        <w:tab/>
        <w:t xml:space="preserve">Article 8 </w:t>
      </w:r>
      <w:r w:rsidR="00B408C7" w:rsidRPr="0046567B">
        <w:rPr>
          <w:lang w:val="fr-FR" w:bidi="fr-FR"/>
        </w:rPr>
        <w:t>–</w:t>
      </w:r>
      <w:r w:rsidRPr="0046567B">
        <w:rPr>
          <w:lang w:val="fr-FR" w:bidi="fr-FR"/>
        </w:rPr>
        <w:t xml:space="preserve"> Égalité dans la vie politique et publique</w:t>
      </w:r>
      <w:r w:rsidR="00B408C7" w:rsidRPr="0046567B">
        <w:rPr>
          <w:lang w:val="fr-FR" w:bidi="fr-FR"/>
        </w:rPr>
        <w:br/>
      </w:r>
      <w:r w:rsidRPr="0046567B">
        <w:rPr>
          <w:lang w:val="fr-FR" w:bidi="fr-FR"/>
        </w:rPr>
        <w:t>au niveau international</w:t>
      </w:r>
    </w:p>
    <w:p w14:paraId="3109144A" w14:textId="17C4B58F" w:rsidR="00B408C7" w:rsidRPr="0046567B" w:rsidRDefault="00B408C7" w:rsidP="00B408C7">
      <w:pPr>
        <w:pStyle w:val="SingleTxt"/>
        <w:spacing w:after="0" w:line="120" w:lineRule="exact"/>
        <w:rPr>
          <w:sz w:val="10"/>
          <w:lang w:val="fr-FR" w:bidi="fr-FR"/>
        </w:rPr>
      </w:pPr>
    </w:p>
    <w:p w14:paraId="7075E725" w14:textId="7631591E" w:rsidR="00B408C7" w:rsidRPr="0046567B" w:rsidRDefault="00B408C7" w:rsidP="00B408C7">
      <w:pPr>
        <w:pStyle w:val="SingleTxt"/>
        <w:spacing w:after="0" w:line="120" w:lineRule="exact"/>
        <w:rPr>
          <w:sz w:val="10"/>
          <w:lang w:val="fr-FR" w:bidi="fr-FR"/>
        </w:rPr>
      </w:pPr>
    </w:p>
    <w:p w14:paraId="492E4937" w14:textId="6299D11D"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r>
      <w:r w:rsidRPr="0046567B">
        <w:rPr>
          <w:szCs w:val="20"/>
          <w:lang w:val="fr-FR" w:bidi="fr-FR"/>
        </w:rPr>
        <w:t>Fonctionnaires</w:t>
      </w:r>
      <w:r w:rsidRPr="0046567B">
        <w:rPr>
          <w:lang w:val="fr-FR" w:bidi="fr-FR"/>
        </w:rPr>
        <w:t xml:space="preserve"> représentant le Gouvernement au niveau international</w:t>
      </w:r>
    </w:p>
    <w:p w14:paraId="41F82631" w14:textId="67DE0BC7" w:rsidR="00B408C7" w:rsidRPr="0046567B" w:rsidRDefault="00B408C7" w:rsidP="00B408C7">
      <w:pPr>
        <w:pStyle w:val="SingleTxt"/>
        <w:spacing w:after="0" w:line="120" w:lineRule="exact"/>
        <w:rPr>
          <w:sz w:val="10"/>
          <w:lang w:val="fr-FR" w:bidi="fr-FR"/>
        </w:rPr>
      </w:pPr>
    </w:p>
    <w:p w14:paraId="4C76B34C" w14:textId="00C95AEE" w:rsidR="00B408C7" w:rsidRPr="0046567B" w:rsidRDefault="00B408C7" w:rsidP="00B408C7">
      <w:pPr>
        <w:pStyle w:val="SingleTxt"/>
        <w:spacing w:after="0" w:line="120" w:lineRule="exact"/>
        <w:rPr>
          <w:sz w:val="10"/>
          <w:lang w:val="fr-FR" w:bidi="fr-FR"/>
        </w:rPr>
      </w:pPr>
    </w:p>
    <w:p w14:paraId="0FBB9375" w14:textId="547C8AA8"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La Région administrative spéciale de Hong Kong est habituellement représentée sur son territoire et à l</w:t>
      </w:r>
      <w:r w:rsidR="00FB11B3" w:rsidRPr="0046567B">
        <w:rPr>
          <w:lang w:val="fr-FR" w:bidi="fr-FR"/>
        </w:rPr>
        <w:t>’</w:t>
      </w:r>
      <w:r w:rsidRPr="0046567B">
        <w:rPr>
          <w:lang w:val="fr-FR" w:bidi="fr-FR"/>
        </w:rPr>
        <w:t>étranger par des cadres de direction, qui sont également en poste à Hong Kong au sein de bureaux économiques et commerciaux. Parmi les 16</w:t>
      </w:r>
      <w:r w:rsidR="002A20B0" w:rsidRPr="0046567B">
        <w:rPr>
          <w:lang w:val="fr-FR" w:bidi="fr-FR"/>
        </w:rPr>
        <w:t> </w:t>
      </w:r>
      <w:r w:rsidRPr="0046567B">
        <w:rPr>
          <w:lang w:val="fr-FR" w:bidi="fr-FR"/>
        </w:rPr>
        <w:t>bureaux économiques et commerciaux sur le territoire de Hong Kong en Chine et à l</w:t>
      </w:r>
      <w:r w:rsidR="00FB11B3" w:rsidRPr="0046567B">
        <w:rPr>
          <w:lang w:val="fr-FR" w:bidi="fr-FR"/>
        </w:rPr>
        <w:t>’</w:t>
      </w:r>
      <w:r w:rsidRPr="0046567B">
        <w:rPr>
          <w:lang w:val="fr-FR" w:bidi="fr-FR"/>
        </w:rPr>
        <w:t>étranger, 10</w:t>
      </w:r>
      <w:r w:rsidR="002A20B0" w:rsidRPr="0046567B">
        <w:rPr>
          <w:lang w:val="fr-FR" w:bidi="fr-FR"/>
        </w:rPr>
        <w:t xml:space="preserve"> </w:t>
      </w:r>
      <w:r w:rsidRPr="0046567B">
        <w:rPr>
          <w:lang w:val="fr-FR" w:bidi="fr-FR"/>
        </w:rPr>
        <w:t>sont dirigés par des femmes. Par ailleurs, le Gouvernement a été activement représenté par des femmes fonctionnaires au sein des organisations internationales et celles-ci ont également participé à divers forums internationaux tels que ceux de la Coopération économique Asie-Pacifique, de l</w:t>
      </w:r>
      <w:r w:rsidR="00FB11B3" w:rsidRPr="0046567B">
        <w:rPr>
          <w:lang w:val="fr-FR" w:bidi="fr-FR"/>
        </w:rPr>
        <w:t>’</w:t>
      </w:r>
      <w:r w:rsidRPr="0046567B">
        <w:rPr>
          <w:lang w:val="fr-FR" w:bidi="fr-FR"/>
        </w:rPr>
        <w:t>Organisation mondiale du commerce, de l</w:t>
      </w:r>
      <w:r w:rsidR="00FB11B3" w:rsidRPr="0046567B">
        <w:rPr>
          <w:lang w:val="fr-FR" w:bidi="fr-FR"/>
        </w:rPr>
        <w:t>’</w:t>
      </w:r>
      <w:r w:rsidRPr="0046567B">
        <w:rPr>
          <w:lang w:val="fr-FR" w:bidi="fr-FR"/>
        </w:rPr>
        <w:t>Organisation mondiale de la Santé et de l</w:t>
      </w:r>
      <w:r w:rsidR="00FB11B3" w:rsidRPr="0046567B">
        <w:rPr>
          <w:lang w:val="fr-FR" w:bidi="fr-FR"/>
        </w:rPr>
        <w:t>’</w:t>
      </w:r>
      <w:r w:rsidRPr="0046567B">
        <w:rPr>
          <w:lang w:val="fr-FR" w:bidi="fr-FR"/>
        </w:rPr>
        <w:t>Organisation internationale du Travail. Les femmes continuent de constituer un nombre important des membres de l</w:t>
      </w:r>
      <w:r w:rsidR="00FB11B3" w:rsidRPr="0046567B">
        <w:rPr>
          <w:lang w:val="fr-FR" w:bidi="fr-FR"/>
        </w:rPr>
        <w:t>’</w:t>
      </w:r>
      <w:r w:rsidRPr="0046567B">
        <w:rPr>
          <w:lang w:val="fr-FR" w:bidi="fr-FR"/>
        </w:rPr>
        <w:t>équipe gouvernementale qui assistent aux audiences de divers traités des Nations Unies sur les droits humains.</w:t>
      </w:r>
    </w:p>
    <w:p w14:paraId="1791A43B" w14:textId="495620C8" w:rsidR="00B408C7" w:rsidRPr="0046567B" w:rsidRDefault="00B408C7" w:rsidP="00B408C7">
      <w:pPr>
        <w:pStyle w:val="SingleTxt"/>
        <w:spacing w:after="0" w:line="120" w:lineRule="exact"/>
        <w:rPr>
          <w:sz w:val="10"/>
          <w:lang w:val="fr-FR" w:bidi="fr-FR"/>
        </w:rPr>
      </w:pPr>
    </w:p>
    <w:p w14:paraId="08347F16" w14:textId="60FC2E15" w:rsidR="00B408C7" w:rsidRPr="0046567B" w:rsidRDefault="00B408C7" w:rsidP="00B408C7">
      <w:pPr>
        <w:pStyle w:val="SingleTxt"/>
        <w:spacing w:after="0" w:line="120" w:lineRule="exact"/>
        <w:rPr>
          <w:sz w:val="10"/>
          <w:lang w:val="fr-FR"/>
        </w:rPr>
      </w:pPr>
    </w:p>
    <w:p w14:paraId="2A14A621" w14:textId="30578FD1" w:rsidR="00FC36AA" w:rsidRPr="0046567B" w:rsidRDefault="00FC36AA" w:rsidP="00B408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9 </w:t>
      </w:r>
      <w:r w:rsidR="00797231" w:rsidRPr="0046567B">
        <w:rPr>
          <w:lang w:val="fr-FR" w:bidi="fr-FR"/>
        </w:rPr>
        <w:t>–</w:t>
      </w:r>
      <w:r w:rsidRPr="0046567B">
        <w:rPr>
          <w:lang w:val="fr-FR" w:bidi="fr-FR"/>
        </w:rPr>
        <w:t xml:space="preserve"> Égalité face à la législation relative </w:t>
      </w:r>
      <w:r w:rsidR="00B408C7" w:rsidRPr="0046567B">
        <w:rPr>
          <w:lang w:val="fr-FR" w:bidi="fr-FR"/>
        </w:rPr>
        <w:br/>
      </w:r>
      <w:r w:rsidRPr="0046567B">
        <w:rPr>
          <w:lang w:val="fr-FR" w:bidi="fr-FR"/>
        </w:rPr>
        <w:t>à la nationalité</w:t>
      </w:r>
    </w:p>
    <w:p w14:paraId="7CA2A7CB" w14:textId="070C0C8A" w:rsidR="00B408C7" w:rsidRPr="0046567B" w:rsidRDefault="00B408C7" w:rsidP="00B408C7">
      <w:pPr>
        <w:pStyle w:val="SingleTxt"/>
        <w:spacing w:after="0" w:line="120" w:lineRule="exact"/>
        <w:rPr>
          <w:sz w:val="10"/>
          <w:lang w:val="fr-FR" w:bidi="fr-FR"/>
        </w:rPr>
      </w:pPr>
    </w:p>
    <w:p w14:paraId="7449ABEC" w14:textId="495579DD" w:rsidR="00B408C7" w:rsidRPr="0046567B" w:rsidRDefault="00B408C7" w:rsidP="00B408C7">
      <w:pPr>
        <w:pStyle w:val="SingleTxt"/>
        <w:spacing w:after="0" w:line="120" w:lineRule="exact"/>
        <w:rPr>
          <w:sz w:val="10"/>
          <w:lang w:val="fr-FR" w:bidi="fr-FR"/>
        </w:rPr>
      </w:pPr>
    </w:p>
    <w:p w14:paraId="7536036C" w14:textId="4F56FA78"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La position du Gouvernement demeure celle décrite aux paragraphes</w:t>
      </w:r>
      <w:r w:rsidR="002A20B0" w:rsidRPr="0046567B">
        <w:rPr>
          <w:lang w:val="fr-FR" w:bidi="fr-FR"/>
        </w:rPr>
        <w:t xml:space="preserve"> </w:t>
      </w:r>
      <w:r w:rsidRPr="0046567B">
        <w:rPr>
          <w:lang w:val="fr-FR" w:bidi="fr-FR"/>
        </w:rPr>
        <w:t>127 et</w:t>
      </w:r>
      <w:r w:rsidR="002A20B0" w:rsidRPr="0046567B">
        <w:rPr>
          <w:lang w:val="fr-FR" w:bidi="fr-FR"/>
        </w:rPr>
        <w:t xml:space="preserve"> </w:t>
      </w:r>
      <w:r w:rsidRPr="0046567B">
        <w:rPr>
          <w:lang w:val="fr-FR" w:bidi="fr-FR"/>
        </w:rPr>
        <w:t>128 de la partie</w:t>
      </w:r>
      <w:r w:rsidR="002A20B0" w:rsidRPr="0046567B">
        <w:rPr>
          <w:lang w:val="fr-FR" w:bidi="fr-FR"/>
        </w:rPr>
        <w:t xml:space="preserve"> </w:t>
      </w:r>
      <w:r w:rsidRPr="0046567B">
        <w:rPr>
          <w:lang w:val="fr-FR" w:bidi="fr-FR"/>
        </w:rPr>
        <w:t>II du deuxième rapport en ce qui concerne l</w:t>
      </w:r>
      <w:r w:rsidR="00FB11B3" w:rsidRPr="0046567B">
        <w:rPr>
          <w:lang w:val="fr-FR" w:bidi="fr-FR"/>
        </w:rPr>
        <w:t>’</w:t>
      </w:r>
      <w:r w:rsidRPr="0046567B">
        <w:rPr>
          <w:lang w:val="fr-FR" w:bidi="fr-FR"/>
        </w:rPr>
        <w:t>acquisition et la transmission de la nationalité et l</w:t>
      </w:r>
      <w:r w:rsidR="00FB11B3" w:rsidRPr="0046567B">
        <w:rPr>
          <w:lang w:val="fr-FR" w:bidi="fr-FR"/>
        </w:rPr>
        <w:t>’</w:t>
      </w:r>
      <w:r w:rsidRPr="0046567B">
        <w:rPr>
          <w:lang w:val="fr-FR" w:bidi="fr-FR"/>
        </w:rPr>
        <w:t>ordonnance relative à l</w:t>
      </w:r>
      <w:r w:rsidR="00FB11B3" w:rsidRPr="0046567B">
        <w:rPr>
          <w:lang w:val="fr-FR" w:bidi="fr-FR"/>
        </w:rPr>
        <w:t>’</w:t>
      </w:r>
      <w:r w:rsidRPr="0046567B">
        <w:rPr>
          <w:lang w:val="fr-FR" w:bidi="fr-FR"/>
        </w:rPr>
        <w:t>immigration (chap. 115).</w:t>
      </w:r>
    </w:p>
    <w:p w14:paraId="256CDA2A" w14:textId="5FB4B9EB" w:rsidR="00B408C7" w:rsidRPr="0046567B" w:rsidRDefault="00B408C7" w:rsidP="00B408C7">
      <w:pPr>
        <w:pStyle w:val="SingleTxt"/>
        <w:spacing w:after="0" w:line="120" w:lineRule="exact"/>
        <w:rPr>
          <w:sz w:val="10"/>
          <w:lang w:val="fr-FR" w:bidi="fr-FR"/>
        </w:rPr>
      </w:pPr>
    </w:p>
    <w:p w14:paraId="334D5C04" w14:textId="77777777" w:rsidR="00B408C7" w:rsidRPr="0046567B" w:rsidRDefault="00B408C7" w:rsidP="00B408C7">
      <w:pPr>
        <w:pStyle w:val="SingleTxt"/>
        <w:spacing w:after="0" w:line="120" w:lineRule="exact"/>
        <w:rPr>
          <w:sz w:val="10"/>
          <w:lang w:val="fr-FR" w:bidi="fr-FR"/>
        </w:rPr>
      </w:pPr>
    </w:p>
    <w:p w14:paraId="342E325B" w14:textId="0ED415A2" w:rsidR="00FC36AA" w:rsidRPr="0046567B" w:rsidRDefault="00FC36AA" w:rsidP="00B408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10 </w:t>
      </w:r>
      <w:r w:rsidR="00797231" w:rsidRPr="0046567B">
        <w:rPr>
          <w:lang w:val="fr-FR" w:bidi="fr-FR"/>
        </w:rPr>
        <w:t>–</w:t>
      </w:r>
      <w:r w:rsidRPr="0046567B">
        <w:rPr>
          <w:lang w:val="fr-FR" w:bidi="fr-FR"/>
        </w:rPr>
        <w:t xml:space="preserve"> Égalité dans l</w:t>
      </w:r>
      <w:r w:rsidR="00FB11B3" w:rsidRPr="0046567B">
        <w:rPr>
          <w:lang w:val="fr-FR" w:bidi="fr-FR"/>
        </w:rPr>
        <w:t>’</w:t>
      </w:r>
      <w:r w:rsidRPr="0046567B">
        <w:rPr>
          <w:lang w:val="fr-FR" w:bidi="fr-FR"/>
        </w:rPr>
        <w:t>éducation</w:t>
      </w:r>
    </w:p>
    <w:p w14:paraId="0D7B522C" w14:textId="4F0C117D" w:rsidR="00B408C7" w:rsidRPr="0046567B" w:rsidRDefault="00B408C7" w:rsidP="00B408C7">
      <w:pPr>
        <w:pStyle w:val="SingleTxt"/>
        <w:spacing w:after="0" w:line="120" w:lineRule="exact"/>
        <w:rPr>
          <w:sz w:val="10"/>
          <w:lang w:val="fr-FR" w:bidi="fr-FR"/>
        </w:rPr>
      </w:pPr>
    </w:p>
    <w:p w14:paraId="1D07C865" w14:textId="4E9F9851" w:rsidR="00B408C7" w:rsidRPr="0046567B" w:rsidRDefault="00B408C7" w:rsidP="00B408C7">
      <w:pPr>
        <w:pStyle w:val="SingleTxt"/>
        <w:spacing w:after="0" w:line="120" w:lineRule="exact"/>
        <w:rPr>
          <w:sz w:val="10"/>
          <w:lang w:val="fr-FR" w:bidi="fr-FR"/>
        </w:rPr>
      </w:pPr>
    </w:p>
    <w:p w14:paraId="6B4EAB17" w14:textId="68733895"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Aperçu de la situation actuelle</w:t>
      </w:r>
    </w:p>
    <w:p w14:paraId="274E8D2A" w14:textId="0B8A405B" w:rsidR="00B408C7" w:rsidRPr="0046567B" w:rsidRDefault="00B408C7" w:rsidP="00B408C7">
      <w:pPr>
        <w:pStyle w:val="SingleTxt"/>
        <w:spacing w:after="0" w:line="120" w:lineRule="exact"/>
        <w:rPr>
          <w:sz w:val="10"/>
          <w:lang w:val="fr-FR" w:bidi="fr-FR"/>
        </w:rPr>
      </w:pPr>
    </w:p>
    <w:p w14:paraId="51D38A18" w14:textId="3B65ACE9" w:rsidR="00B408C7" w:rsidRPr="0046567B" w:rsidRDefault="00B408C7" w:rsidP="00B408C7">
      <w:pPr>
        <w:pStyle w:val="SingleTxt"/>
        <w:spacing w:after="0" w:line="120" w:lineRule="exact"/>
        <w:rPr>
          <w:sz w:val="10"/>
          <w:lang w:val="fr-FR" w:bidi="fr-FR"/>
        </w:rPr>
      </w:pPr>
    </w:p>
    <w:p w14:paraId="44068FFC" w14:textId="34D4BBCB"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Les chances d</w:t>
      </w:r>
      <w:r w:rsidR="00FB11B3" w:rsidRPr="0046567B">
        <w:rPr>
          <w:lang w:val="fr-FR" w:bidi="fr-FR"/>
        </w:rPr>
        <w:t>’</w:t>
      </w:r>
      <w:r w:rsidRPr="0046567B">
        <w:rPr>
          <w:lang w:val="fr-FR" w:bidi="fr-FR"/>
        </w:rPr>
        <w:t>accéder à l</w:t>
      </w:r>
      <w:r w:rsidR="00FB11B3" w:rsidRPr="0046567B">
        <w:rPr>
          <w:lang w:val="fr-FR" w:bidi="fr-FR"/>
        </w:rPr>
        <w:t>’</w:t>
      </w:r>
      <w:r w:rsidRPr="0046567B">
        <w:rPr>
          <w:lang w:val="fr-FR" w:bidi="fr-FR"/>
        </w:rPr>
        <w:t>éducation et à la formation sont des facteurs importants pour l</w:t>
      </w:r>
      <w:r w:rsidR="00FB11B3" w:rsidRPr="0046567B">
        <w:rPr>
          <w:lang w:val="fr-FR" w:bidi="fr-FR"/>
        </w:rPr>
        <w:t>’</w:t>
      </w:r>
      <w:r w:rsidRPr="0046567B">
        <w:rPr>
          <w:lang w:val="fr-FR" w:bidi="fr-FR"/>
        </w:rPr>
        <w:t>autonomisation des femmes et pour leur permettre de participer pleinement à la société sous différents aspects. Grâce à la promotion sociale à Hong Kong, le niveau d</w:t>
      </w:r>
      <w:r w:rsidR="00FB11B3" w:rsidRPr="0046567B">
        <w:rPr>
          <w:lang w:val="fr-FR" w:bidi="fr-FR"/>
        </w:rPr>
        <w:t>’</w:t>
      </w:r>
      <w:r w:rsidRPr="0046567B">
        <w:rPr>
          <w:lang w:val="fr-FR" w:bidi="fr-FR"/>
        </w:rPr>
        <w:t>éducation global des femmes et des hommes s</w:t>
      </w:r>
      <w:r w:rsidR="00FB11B3" w:rsidRPr="0046567B">
        <w:rPr>
          <w:lang w:val="fr-FR" w:bidi="fr-FR"/>
        </w:rPr>
        <w:t>’</w:t>
      </w:r>
      <w:r w:rsidRPr="0046567B">
        <w:rPr>
          <w:lang w:val="fr-FR" w:bidi="fr-FR"/>
        </w:rPr>
        <w:t>est nettement amélioré. Les étudiants et les étudiantes bénéficient d</w:t>
      </w:r>
      <w:r w:rsidR="00FB11B3" w:rsidRPr="0046567B">
        <w:rPr>
          <w:lang w:val="fr-FR" w:bidi="fr-FR"/>
        </w:rPr>
        <w:t>’</w:t>
      </w:r>
      <w:r w:rsidRPr="0046567B">
        <w:rPr>
          <w:lang w:val="fr-FR" w:bidi="fr-FR"/>
        </w:rPr>
        <w:t>un accès égal à l</w:t>
      </w:r>
      <w:r w:rsidR="00FB11B3" w:rsidRPr="0046567B">
        <w:rPr>
          <w:lang w:val="fr-FR" w:bidi="fr-FR"/>
        </w:rPr>
        <w:t>’</w:t>
      </w:r>
      <w:r w:rsidRPr="0046567B">
        <w:rPr>
          <w:lang w:val="fr-FR" w:bidi="fr-FR"/>
        </w:rPr>
        <w:t>éducation à tous les niveaux et les étudiantes s</w:t>
      </w:r>
      <w:r w:rsidR="00FB11B3" w:rsidRPr="0046567B">
        <w:rPr>
          <w:lang w:val="fr-FR" w:bidi="fr-FR"/>
        </w:rPr>
        <w:t>’</w:t>
      </w:r>
      <w:r w:rsidRPr="0046567B">
        <w:rPr>
          <w:lang w:val="fr-FR" w:bidi="fr-FR"/>
        </w:rPr>
        <w:t>en sortent bien à l</w:t>
      </w:r>
      <w:r w:rsidR="00FB11B3" w:rsidRPr="0046567B">
        <w:rPr>
          <w:lang w:val="fr-FR" w:bidi="fr-FR"/>
        </w:rPr>
        <w:t>’</w:t>
      </w:r>
      <w:r w:rsidRPr="0046567B">
        <w:rPr>
          <w:lang w:val="fr-FR" w:bidi="fr-FR"/>
        </w:rPr>
        <w:t>université. Des statistiques concernant cet aspect sont présentées à l</w:t>
      </w:r>
      <w:r w:rsidR="00FB11B3" w:rsidRPr="0046567B">
        <w:rPr>
          <w:lang w:val="fr-FR" w:bidi="fr-FR"/>
        </w:rPr>
        <w:t>’</w:t>
      </w:r>
      <w:r w:rsidRPr="0046567B">
        <w:rPr>
          <w:lang w:val="fr-FR" w:bidi="fr-FR"/>
        </w:rPr>
        <w:t>annexe</w:t>
      </w:r>
      <w:r w:rsidRPr="0046567B">
        <w:rPr>
          <w:rFonts w:hint="eastAsia"/>
          <w:lang w:val="fr-FR" w:bidi="fr-FR"/>
        </w:rPr>
        <w:t> 10 du présent rapport</w:t>
      </w:r>
      <w:r w:rsidRPr="0046567B">
        <w:rPr>
          <w:lang w:val="fr-FR" w:bidi="fr-FR"/>
        </w:rPr>
        <w:t>.</w:t>
      </w:r>
    </w:p>
    <w:p w14:paraId="0B840626" w14:textId="62EC96A7" w:rsidR="00B408C7" w:rsidRPr="0046567B" w:rsidRDefault="00B408C7" w:rsidP="00B408C7">
      <w:pPr>
        <w:pStyle w:val="SingleTxt"/>
        <w:spacing w:after="0" w:line="120" w:lineRule="exact"/>
        <w:rPr>
          <w:sz w:val="10"/>
          <w:lang w:val="fr-FR" w:bidi="fr-FR"/>
        </w:rPr>
      </w:pPr>
    </w:p>
    <w:p w14:paraId="295C5D03" w14:textId="5768F57C" w:rsidR="00B408C7" w:rsidRPr="0046567B" w:rsidRDefault="00B408C7" w:rsidP="00B408C7">
      <w:pPr>
        <w:pStyle w:val="SingleTxt"/>
        <w:spacing w:after="0" w:line="120" w:lineRule="exact"/>
        <w:rPr>
          <w:sz w:val="10"/>
          <w:lang w:val="fr-FR"/>
        </w:rPr>
      </w:pPr>
    </w:p>
    <w:p w14:paraId="4ACE8F7D" w14:textId="13A5B13B"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bidi="fr-FR"/>
        </w:rPr>
      </w:pPr>
      <w:r w:rsidRPr="0046567B">
        <w:rPr>
          <w:lang w:val="fr-FR" w:bidi="fr-FR"/>
        </w:rPr>
        <w:tab/>
      </w:r>
      <w:r w:rsidRPr="0046567B">
        <w:rPr>
          <w:lang w:val="fr-FR" w:bidi="fr-FR"/>
        </w:rPr>
        <w:tab/>
        <w:t>Formation continue</w:t>
      </w:r>
    </w:p>
    <w:p w14:paraId="568CDFDA" w14:textId="4E3FB0B8" w:rsidR="00B408C7" w:rsidRPr="0046567B" w:rsidRDefault="00B408C7" w:rsidP="00B408C7">
      <w:pPr>
        <w:pStyle w:val="SingleTxt"/>
        <w:spacing w:after="0" w:line="120" w:lineRule="exact"/>
        <w:rPr>
          <w:sz w:val="10"/>
          <w:lang w:val="fr-FR" w:bidi="fr-FR"/>
        </w:rPr>
      </w:pPr>
    </w:p>
    <w:p w14:paraId="7C6B5FE7" w14:textId="3E4B11AF" w:rsidR="00B408C7" w:rsidRPr="0046567B" w:rsidRDefault="00B408C7" w:rsidP="00B408C7">
      <w:pPr>
        <w:pStyle w:val="SingleTxt"/>
        <w:spacing w:after="0" w:line="120" w:lineRule="exact"/>
        <w:rPr>
          <w:sz w:val="10"/>
          <w:lang w:val="fr-FR" w:bidi="fr-FR"/>
        </w:rPr>
      </w:pPr>
    </w:p>
    <w:p w14:paraId="71637930" w14:textId="111958AD"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Fonds pour l</w:t>
      </w:r>
      <w:r w:rsidR="00FB11B3" w:rsidRPr="0046567B">
        <w:rPr>
          <w:lang w:val="fr-FR" w:bidi="fr-FR"/>
        </w:rPr>
        <w:t>’</w:t>
      </w:r>
      <w:r w:rsidRPr="0046567B">
        <w:rPr>
          <w:lang w:val="fr-FR" w:bidi="fr-FR"/>
        </w:rPr>
        <w:t>éducation permanente a été créé en</w:t>
      </w:r>
      <w:r w:rsidR="002A20B0" w:rsidRPr="0046567B">
        <w:rPr>
          <w:lang w:val="fr-FR" w:bidi="fr-FR"/>
        </w:rPr>
        <w:t xml:space="preserve"> </w:t>
      </w:r>
      <w:r w:rsidRPr="0046567B">
        <w:rPr>
          <w:lang w:val="fr-FR" w:bidi="fr-FR"/>
        </w:rPr>
        <w:t>2002 pour encourager la population active à continuer de se former et de se perfectionner, tout en étant subventionnée pour les frais de scolarité. À la date du 31</w:t>
      </w:r>
      <w:r w:rsidR="002A20B0" w:rsidRPr="0046567B">
        <w:rPr>
          <w:lang w:val="fr-FR" w:bidi="fr-FR"/>
        </w:rPr>
        <w:t xml:space="preserve"> </w:t>
      </w:r>
      <w:r w:rsidRPr="0046567B">
        <w:rPr>
          <w:lang w:val="fr-FR" w:bidi="fr-FR"/>
        </w:rPr>
        <w:t>mars</w:t>
      </w:r>
      <w:r w:rsidR="002A20B0" w:rsidRPr="0046567B">
        <w:rPr>
          <w:lang w:val="fr-FR" w:bidi="fr-FR"/>
        </w:rPr>
        <w:t xml:space="preserve"> </w:t>
      </w:r>
      <w:r w:rsidRPr="0046567B">
        <w:rPr>
          <w:lang w:val="fr-FR" w:bidi="fr-FR"/>
        </w:rPr>
        <w:t>2018, près de 840</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candidats ont déposé une demande de subvention à ce titre et 57</w:t>
      </w:r>
      <w:r w:rsidR="00FB11B3" w:rsidRPr="0046567B">
        <w:rPr>
          <w:lang w:val="fr-FR" w:bidi="fr-FR"/>
        </w:rPr>
        <w:t> %</w:t>
      </w:r>
      <w:r w:rsidRPr="0046567B">
        <w:rPr>
          <w:lang w:val="fr-FR" w:bidi="fr-FR"/>
        </w:rPr>
        <w:t xml:space="preserve"> d</w:t>
      </w:r>
      <w:r w:rsidR="00FB11B3" w:rsidRPr="0046567B">
        <w:rPr>
          <w:lang w:val="fr-FR" w:bidi="fr-FR"/>
        </w:rPr>
        <w:t>’</w:t>
      </w:r>
      <w:r w:rsidRPr="0046567B">
        <w:rPr>
          <w:lang w:val="fr-FR" w:bidi="fr-FR"/>
        </w:rPr>
        <w:t>entre eux étaient des femmes. À la suite de l</w:t>
      </w:r>
      <w:r w:rsidR="00FB11B3" w:rsidRPr="0046567B">
        <w:rPr>
          <w:lang w:val="fr-FR" w:bidi="fr-FR"/>
        </w:rPr>
        <w:t>’</w:t>
      </w:r>
      <w:r w:rsidRPr="0046567B">
        <w:rPr>
          <w:lang w:val="fr-FR" w:bidi="fr-FR"/>
        </w:rPr>
        <w:t>annonce faite pour le budget</w:t>
      </w:r>
      <w:r w:rsidR="002A20B0" w:rsidRPr="0046567B">
        <w:rPr>
          <w:lang w:val="fr-FR" w:bidi="fr-FR"/>
        </w:rPr>
        <w:t xml:space="preserve"> </w:t>
      </w:r>
      <w:r w:rsidRPr="0046567B">
        <w:rPr>
          <w:lang w:val="fr-FR" w:bidi="fr-FR"/>
        </w:rPr>
        <w:t>2018-2019, le Gouvernement a obtenu l</w:t>
      </w:r>
      <w:r w:rsidR="00FB11B3" w:rsidRPr="0046567B">
        <w:rPr>
          <w:lang w:val="fr-FR" w:bidi="fr-FR"/>
        </w:rPr>
        <w:t>’</w:t>
      </w:r>
      <w:r w:rsidRPr="0046567B">
        <w:rPr>
          <w:lang w:val="fr-FR" w:bidi="fr-FR"/>
        </w:rPr>
        <w:t>approbation du Conseil législatif en mai</w:t>
      </w:r>
      <w:r w:rsidR="002A20B0" w:rsidRPr="0046567B">
        <w:rPr>
          <w:lang w:val="fr-FR" w:bidi="fr-FR"/>
        </w:rPr>
        <w:t xml:space="preserve"> </w:t>
      </w:r>
      <w:r w:rsidRPr="0046567B">
        <w:rPr>
          <w:lang w:val="fr-FR" w:bidi="fr-FR"/>
        </w:rPr>
        <w:t>2018 pour porter la dotation totale du Fonds pour l</w:t>
      </w:r>
      <w:r w:rsidR="00FB11B3" w:rsidRPr="0046567B">
        <w:rPr>
          <w:lang w:val="fr-FR" w:bidi="fr-FR"/>
        </w:rPr>
        <w:t>’</w:t>
      </w:r>
      <w:r w:rsidRPr="0046567B">
        <w:rPr>
          <w:lang w:val="fr-FR" w:bidi="fr-FR"/>
        </w:rPr>
        <w:t>éducation permanente à 16,2</w:t>
      </w:r>
      <w:r w:rsidR="002A20B0" w:rsidRPr="0046567B">
        <w:rPr>
          <w:lang w:val="fr-FR" w:bidi="fr-FR"/>
        </w:rPr>
        <w:t xml:space="preserve"> </w:t>
      </w:r>
      <w:r w:rsidRPr="0046567B">
        <w:rPr>
          <w:lang w:val="fr-FR" w:bidi="fr-FR"/>
        </w:rPr>
        <w:t>milliards de dollars hongkongais (2</w:t>
      </w:r>
      <w:r w:rsidR="002A20B0" w:rsidRPr="0046567B">
        <w:rPr>
          <w:lang w:val="fr-FR" w:bidi="fr-FR"/>
        </w:rPr>
        <w:t xml:space="preserve"> </w:t>
      </w:r>
      <w:r w:rsidRPr="0046567B">
        <w:rPr>
          <w:lang w:val="fr-FR" w:bidi="fr-FR"/>
        </w:rPr>
        <w:t>077</w:t>
      </w:r>
      <w:r w:rsidR="002A20B0" w:rsidRPr="0046567B">
        <w:rPr>
          <w:lang w:val="fr-FR" w:bidi="fr-FR"/>
        </w:rPr>
        <w:t xml:space="preserve"> </w:t>
      </w:r>
      <w:r w:rsidRPr="0046567B">
        <w:rPr>
          <w:lang w:val="fr-FR" w:bidi="fr-FR"/>
        </w:rPr>
        <w:t>millions de dollars des États-Unis). Nous mettrons également en place en avril</w:t>
      </w:r>
      <w:r w:rsidR="002A20B0" w:rsidRPr="0046567B">
        <w:rPr>
          <w:lang w:val="fr-FR" w:bidi="fr-FR"/>
        </w:rPr>
        <w:t xml:space="preserve"> </w:t>
      </w:r>
      <w:r w:rsidRPr="0046567B">
        <w:rPr>
          <w:lang w:val="fr-FR" w:bidi="fr-FR"/>
        </w:rPr>
        <w:t>2019 une série d</w:t>
      </w:r>
      <w:r w:rsidR="00FB11B3" w:rsidRPr="0046567B">
        <w:rPr>
          <w:lang w:val="fr-FR" w:bidi="fr-FR"/>
        </w:rPr>
        <w:t>’</w:t>
      </w:r>
      <w:r w:rsidRPr="0046567B">
        <w:rPr>
          <w:lang w:val="fr-FR" w:bidi="fr-FR"/>
        </w:rPr>
        <w:t>améliorations, notamment le doublement du plafond de la bourse d</w:t>
      </w:r>
      <w:r w:rsidR="00FB11B3" w:rsidRPr="0046567B">
        <w:rPr>
          <w:lang w:val="fr-FR" w:bidi="fr-FR"/>
        </w:rPr>
        <w:t>’</w:t>
      </w:r>
      <w:r w:rsidRPr="0046567B">
        <w:rPr>
          <w:lang w:val="fr-FR" w:bidi="fr-FR"/>
        </w:rPr>
        <w:t>études qui sera portée à 20</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dollars hongkongais (2</w:t>
      </w:r>
      <w:r w:rsidR="002A20B0" w:rsidRPr="0046567B">
        <w:rPr>
          <w:lang w:val="fr-FR" w:bidi="fr-FR"/>
        </w:rPr>
        <w:t xml:space="preserve"> </w:t>
      </w:r>
      <w:r w:rsidRPr="0046567B">
        <w:rPr>
          <w:lang w:val="fr-FR" w:bidi="fr-FR"/>
        </w:rPr>
        <w:t>560</w:t>
      </w:r>
      <w:r w:rsidR="002A20B0" w:rsidRPr="0046567B">
        <w:rPr>
          <w:lang w:val="fr-FR" w:bidi="fr-FR"/>
        </w:rPr>
        <w:t xml:space="preserve"> </w:t>
      </w:r>
      <w:r w:rsidRPr="0046567B">
        <w:rPr>
          <w:lang w:val="fr-FR" w:bidi="fr-FR"/>
        </w:rPr>
        <w:t>USD) par candidat, l</w:t>
      </w:r>
      <w:r w:rsidR="00FB11B3" w:rsidRPr="0046567B">
        <w:rPr>
          <w:lang w:val="fr-FR" w:bidi="fr-FR"/>
        </w:rPr>
        <w:t>’</w:t>
      </w:r>
      <w:r w:rsidRPr="0046567B">
        <w:rPr>
          <w:lang w:val="fr-FR" w:bidi="fr-FR"/>
        </w:rPr>
        <w:t>extension de la limite d</w:t>
      </w:r>
      <w:r w:rsidR="00FB11B3" w:rsidRPr="0046567B">
        <w:rPr>
          <w:lang w:val="fr-FR" w:bidi="fr-FR"/>
        </w:rPr>
        <w:t>’</w:t>
      </w:r>
      <w:r w:rsidRPr="0046567B">
        <w:rPr>
          <w:lang w:val="fr-FR" w:bidi="fr-FR"/>
        </w:rPr>
        <w:t>âge maximale qui sera portée de</w:t>
      </w:r>
      <w:r w:rsidR="002A20B0" w:rsidRPr="0046567B">
        <w:rPr>
          <w:lang w:val="fr-FR" w:bidi="fr-FR"/>
        </w:rPr>
        <w:t xml:space="preserve"> </w:t>
      </w:r>
      <w:r w:rsidRPr="0046567B">
        <w:rPr>
          <w:lang w:val="fr-FR" w:bidi="fr-FR"/>
        </w:rPr>
        <w:t>65 à 70</w:t>
      </w:r>
      <w:r w:rsidR="002A20B0" w:rsidRPr="0046567B">
        <w:rPr>
          <w:lang w:val="fr-FR" w:bidi="fr-FR"/>
        </w:rPr>
        <w:t xml:space="preserve"> </w:t>
      </w:r>
      <w:r w:rsidRPr="0046567B">
        <w:rPr>
          <w:lang w:val="fr-FR" w:bidi="fr-FR"/>
        </w:rPr>
        <w:t>ans, l</w:t>
      </w:r>
      <w:r w:rsidR="00FB11B3" w:rsidRPr="0046567B">
        <w:rPr>
          <w:lang w:val="fr-FR" w:bidi="fr-FR"/>
        </w:rPr>
        <w:t>’</w:t>
      </w:r>
      <w:r w:rsidRPr="0046567B">
        <w:rPr>
          <w:lang w:val="fr-FR" w:bidi="fr-FR"/>
        </w:rPr>
        <w:t>extension des cours du Fonds pour l</w:t>
      </w:r>
      <w:r w:rsidR="00FB11B3" w:rsidRPr="0046567B">
        <w:rPr>
          <w:lang w:val="fr-FR" w:bidi="fr-FR"/>
        </w:rPr>
        <w:t>’</w:t>
      </w:r>
      <w:r w:rsidRPr="0046567B">
        <w:rPr>
          <w:lang w:val="fr-FR" w:bidi="fr-FR"/>
        </w:rPr>
        <w:t xml:space="preserve">éducation permanente à tous les cours inscrits </w:t>
      </w:r>
      <w:r w:rsidRPr="0046567B">
        <w:rPr>
          <w:rFonts w:hint="eastAsia"/>
          <w:lang w:val="fr-FR" w:bidi="fr-FR"/>
        </w:rPr>
        <w:t xml:space="preserve">au </w:t>
      </w:r>
      <w:r w:rsidRPr="0046567B">
        <w:rPr>
          <w:lang w:val="fr-FR" w:bidi="fr-FR"/>
        </w:rPr>
        <w:t>registre des qualifications, la simplification des formalités administratives et le renforcement de l</w:t>
      </w:r>
      <w:r w:rsidR="00FB11B3" w:rsidRPr="0046567B">
        <w:rPr>
          <w:lang w:val="fr-FR" w:bidi="fr-FR"/>
        </w:rPr>
        <w:t>’</w:t>
      </w:r>
      <w:r w:rsidRPr="0046567B">
        <w:rPr>
          <w:lang w:val="fr-FR" w:bidi="fr-FR"/>
        </w:rPr>
        <w:t>assurance qualité des cours dispensés par le Fonds pour l</w:t>
      </w:r>
      <w:r w:rsidR="00FB11B3" w:rsidRPr="0046567B">
        <w:rPr>
          <w:lang w:val="fr-FR" w:bidi="fr-FR"/>
        </w:rPr>
        <w:t>’</w:t>
      </w:r>
      <w:r w:rsidRPr="0046567B">
        <w:rPr>
          <w:lang w:val="fr-FR" w:bidi="fr-FR"/>
        </w:rPr>
        <w:t>éducation permanente.</w:t>
      </w:r>
    </w:p>
    <w:p w14:paraId="404CEFD1" w14:textId="6298ED61" w:rsidR="00B408C7" w:rsidRPr="0046567B" w:rsidRDefault="00B408C7" w:rsidP="00B408C7">
      <w:pPr>
        <w:pStyle w:val="SingleTxt"/>
        <w:spacing w:after="0" w:line="120" w:lineRule="exact"/>
        <w:rPr>
          <w:sz w:val="10"/>
          <w:lang w:val="fr-FR" w:bidi="fr-FR"/>
        </w:rPr>
      </w:pPr>
    </w:p>
    <w:p w14:paraId="1FD794E1" w14:textId="2C775222" w:rsidR="00B408C7" w:rsidRPr="0046567B" w:rsidRDefault="00B408C7" w:rsidP="00B408C7">
      <w:pPr>
        <w:pStyle w:val="SingleTxt"/>
        <w:spacing w:after="0" w:line="120" w:lineRule="exact"/>
        <w:rPr>
          <w:sz w:val="10"/>
          <w:lang w:val="fr-FR"/>
        </w:rPr>
      </w:pPr>
    </w:p>
    <w:p w14:paraId="102D0AEB" w14:textId="552D4337"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Enseignement adapté aux femmes handicapées</w:t>
      </w:r>
    </w:p>
    <w:p w14:paraId="44786CCC" w14:textId="5AF2A374" w:rsidR="00B408C7" w:rsidRPr="0046567B" w:rsidRDefault="00B408C7" w:rsidP="00B408C7">
      <w:pPr>
        <w:pStyle w:val="SingleTxt"/>
        <w:spacing w:after="0" w:line="120" w:lineRule="exact"/>
        <w:rPr>
          <w:sz w:val="10"/>
          <w:lang w:val="fr-FR" w:bidi="fr-FR"/>
        </w:rPr>
      </w:pPr>
    </w:p>
    <w:p w14:paraId="29756EB6" w14:textId="1925003B" w:rsidR="00B408C7" w:rsidRPr="0046567B" w:rsidRDefault="00B408C7" w:rsidP="00B408C7">
      <w:pPr>
        <w:pStyle w:val="SingleTxt"/>
        <w:spacing w:after="0" w:line="120" w:lineRule="exact"/>
        <w:rPr>
          <w:sz w:val="10"/>
          <w:lang w:val="fr-FR" w:bidi="fr-FR"/>
        </w:rPr>
      </w:pPr>
    </w:p>
    <w:p w14:paraId="2B08A32D" w14:textId="6D41C524"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Comité a exprimé, aux paragraphes</w:t>
      </w:r>
      <w:r w:rsidR="002A20B0" w:rsidRPr="0046567B">
        <w:rPr>
          <w:lang w:val="fr-FR" w:bidi="fr-FR"/>
        </w:rPr>
        <w:t xml:space="preserve"> </w:t>
      </w:r>
      <w:r w:rsidRPr="0046567B">
        <w:rPr>
          <w:lang w:val="fr-FR" w:bidi="fr-FR"/>
        </w:rPr>
        <w:t>60 et</w:t>
      </w:r>
      <w:r w:rsidR="002A20B0" w:rsidRPr="0046567B">
        <w:rPr>
          <w:lang w:val="fr-FR" w:bidi="fr-FR"/>
        </w:rPr>
        <w:t xml:space="preserve"> </w:t>
      </w:r>
      <w:r w:rsidRPr="0046567B">
        <w:rPr>
          <w:lang w:val="fr-FR" w:bidi="fr-FR"/>
        </w:rPr>
        <w:t>61 de ses précédentes observations finales, des préoccupations concernant l</w:t>
      </w:r>
      <w:r w:rsidR="00FB11B3" w:rsidRPr="0046567B">
        <w:rPr>
          <w:lang w:val="fr-FR" w:bidi="fr-FR"/>
        </w:rPr>
        <w:t>’</w:t>
      </w:r>
      <w:r w:rsidRPr="0046567B">
        <w:rPr>
          <w:lang w:val="fr-FR" w:bidi="fr-FR"/>
        </w:rPr>
        <w:t>éducation des femmes et des filles handicapées, en particulier celles qui souffrent de déficiences intellectuelles. Le Gouvernement s</w:t>
      </w:r>
      <w:r w:rsidR="00FB11B3" w:rsidRPr="0046567B">
        <w:rPr>
          <w:lang w:val="fr-FR" w:bidi="fr-FR"/>
        </w:rPr>
        <w:t>’</w:t>
      </w:r>
      <w:r w:rsidRPr="0046567B">
        <w:rPr>
          <w:lang w:val="fr-FR" w:bidi="fr-FR"/>
        </w:rPr>
        <w:t>est engagé à garantir à tous les enfants qui ont des besoins éducatifs spéciaux des chances égales de recevoir un enseignement dans la Région administrative spéciale de Hong Kong, qu</w:t>
      </w:r>
      <w:r w:rsidR="00FB11B3" w:rsidRPr="0046567B">
        <w:rPr>
          <w:lang w:val="fr-FR" w:bidi="fr-FR"/>
        </w:rPr>
        <w:t>’</w:t>
      </w:r>
      <w:r w:rsidRPr="0046567B">
        <w:rPr>
          <w:lang w:val="fr-FR" w:bidi="fr-FR"/>
        </w:rPr>
        <w:t>importe leur genre.</w:t>
      </w:r>
    </w:p>
    <w:p w14:paraId="0568CBF8" w14:textId="7D948745"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Pour aider les écoles à accueillir ces élèves, le Bureau de l</w:t>
      </w:r>
      <w:r w:rsidR="00FB11B3" w:rsidRPr="0046567B">
        <w:rPr>
          <w:lang w:val="fr-FR" w:bidi="fr-FR"/>
        </w:rPr>
        <w:t>’</w:t>
      </w:r>
      <w:r w:rsidRPr="0046567B">
        <w:rPr>
          <w:lang w:val="fr-FR" w:bidi="fr-FR"/>
        </w:rPr>
        <w:t>éducation a fourni aux écoles primaires et secondaires du secteur public des ressources supplémentaires, un soutien professionnel et une formation aux enseignants. Pour l</w:t>
      </w:r>
      <w:r w:rsidR="00FB11B3" w:rsidRPr="0046567B">
        <w:rPr>
          <w:lang w:val="fr-FR" w:bidi="fr-FR"/>
        </w:rPr>
        <w:t>’</w:t>
      </w:r>
      <w:r w:rsidRPr="0046567B">
        <w:rPr>
          <w:lang w:val="fr-FR" w:bidi="fr-FR"/>
        </w:rPr>
        <w:t>année scolaire</w:t>
      </w:r>
      <w:r w:rsidR="002A20B0" w:rsidRPr="0046567B">
        <w:rPr>
          <w:lang w:val="fr-FR" w:bidi="fr-FR"/>
        </w:rPr>
        <w:t xml:space="preserve"> </w:t>
      </w:r>
      <w:r w:rsidRPr="0046567B">
        <w:rPr>
          <w:lang w:val="fr-FR" w:bidi="fr-FR"/>
        </w:rPr>
        <w:t>2016-2017, le service de psychologie scolaire a couvert toutes les écoles du secteur public. À partir de l</w:t>
      </w:r>
      <w:r w:rsidR="00FB11B3" w:rsidRPr="0046567B">
        <w:rPr>
          <w:lang w:val="fr-FR" w:bidi="fr-FR"/>
        </w:rPr>
        <w:t>’</w:t>
      </w:r>
      <w:r w:rsidRPr="0046567B">
        <w:rPr>
          <w:lang w:val="fr-FR" w:bidi="fr-FR"/>
        </w:rPr>
        <w:t>année scolaire</w:t>
      </w:r>
      <w:r w:rsidR="002A20B0" w:rsidRPr="0046567B">
        <w:rPr>
          <w:lang w:val="fr-FR" w:bidi="fr-FR"/>
        </w:rPr>
        <w:t xml:space="preserve"> </w:t>
      </w:r>
      <w:r w:rsidRPr="0046567B">
        <w:rPr>
          <w:lang w:val="fr-FR" w:bidi="fr-FR"/>
        </w:rPr>
        <w:t>2017-2018, le Bureau de l</w:t>
      </w:r>
      <w:r w:rsidR="00FB11B3" w:rsidRPr="0046567B">
        <w:rPr>
          <w:lang w:val="fr-FR" w:bidi="fr-FR"/>
        </w:rPr>
        <w:t>’</w:t>
      </w:r>
      <w:r w:rsidRPr="0046567B">
        <w:rPr>
          <w:lang w:val="fr-FR" w:bidi="fr-FR"/>
        </w:rPr>
        <w:t>éducation, par étapes sur trois ans, va fournir à chaque école primaire et secondaire du secteur public un poste d</w:t>
      </w:r>
      <w:r w:rsidR="00FB11B3" w:rsidRPr="0046567B">
        <w:rPr>
          <w:lang w:val="fr-FR" w:bidi="fr-FR"/>
        </w:rPr>
        <w:t>’</w:t>
      </w:r>
      <w:r w:rsidRPr="0046567B">
        <w:rPr>
          <w:lang w:val="fr-FR" w:bidi="fr-FR"/>
        </w:rPr>
        <w:t>enseignant supplémentaire pour permettre la désignation, au sein de l</w:t>
      </w:r>
      <w:r w:rsidR="00FB11B3" w:rsidRPr="0046567B">
        <w:rPr>
          <w:lang w:val="fr-FR" w:bidi="fr-FR"/>
        </w:rPr>
        <w:t>’</w:t>
      </w:r>
      <w:r w:rsidRPr="0046567B">
        <w:rPr>
          <w:lang w:val="fr-FR" w:bidi="fr-FR"/>
        </w:rPr>
        <w:t>école, d</w:t>
      </w:r>
      <w:r w:rsidR="00FB11B3" w:rsidRPr="0046567B">
        <w:rPr>
          <w:lang w:val="fr-FR" w:bidi="fr-FR"/>
        </w:rPr>
        <w:t>’</w:t>
      </w:r>
      <w:r w:rsidRPr="0046567B">
        <w:rPr>
          <w:lang w:val="fr-FR" w:bidi="fr-FR"/>
        </w:rPr>
        <w:t>un enseignant-coordinateur en charge des besoins éducatifs spéciaux. Au cours de l</w:t>
      </w:r>
      <w:r w:rsidR="00FB11B3" w:rsidRPr="0046567B">
        <w:rPr>
          <w:lang w:val="fr-FR" w:bidi="fr-FR"/>
        </w:rPr>
        <w:t>’</w:t>
      </w:r>
      <w:r w:rsidRPr="0046567B">
        <w:rPr>
          <w:lang w:val="fr-FR" w:bidi="fr-FR"/>
        </w:rPr>
        <w:t>année scolaire</w:t>
      </w:r>
      <w:r w:rsidR="002A20B0" w:rsidRPr="0046567B">
        <w:rPr>
          <w:lang w:val="fr-FR" w:bidi="fr-FR"/>
        </w:rPr>
        <w:t xml:space="preserve"> </w:t>
      </w:r>
      <w:r w:rsidRPr="0046567B">
        <w:rPr>
          <w:lang w:val="fr-FR" w:bidi="fr-FR"/>
        </w:rPr>
        <w:t>2017-2018, 244</w:t>
      </w:r>
      <w:r w:rsidR="002A20B0" w:rsidRPr="0046567B">
        <w:rPr>
          <w:lang w:val="fr-FR" w:bidi="fr-FR"/>
        </w:rPr>
        <w:t xml:space="preserve"> </w:t>
      </w:r>
      <w:r w:rsidRPr="0046567B">
        <w:rPr>
          <w:lang w:val="fr-FR" w:bidi="fr-FR"/>
        </w:rPr>
        <w:t>écoles ont déjà été pourvues d</w:t>
      </w:r>
      <w:r w:rsidR="00FB11B3" w:rsidRPr="0046567B">
        <w:rPr>
          <w:lang w:val="fr-FR" w:bidi="fr-FR"/>
        </w:rPr>
        <w:t>’</w:t>
      </w:r>
      <w:r w:rsidRPr="0046567B">
        <w:rPr>
          <w:lang w:val="fr-FR" w:bidi="fr-FR"/>
        </w:rPr>
        <w:t>enseignants-coordinateurs. Cette disposition pourrait être étendue à environ 35</w:t>
      </w:r>
      <w:r w:rsidR="00FB11B3" w:rsidRPr="0046567B">
        <w:rPr>
          <w:lang w:val="fr-FR" w:bidi="fr-FR"/>
        </w:rPr>
        <w:t> %</w:t>
      </w:r>
      <w:r w:rsidRPr="0046567B">
        <w:rPr>
          <w:lang w:val="fr-FR" w:bidi="fr-FR"/>
        </w:rPr>
        <w:t xml:space="preserve"> d</w:t>
      </w:r>
      <w:r w:rsidR="00FB11B3" w:rsidRPr="0046567B">
        <w:rPr>
          <w:lang w:val="fr-FR" w:bidi="fr-FR"/>
        </w:rPr>
        <w:t>’</w:t>
      </w:r>
      <w:r w:rsidRPr="0046567B">
        <w:rPr>
          <w:lang w:val="fr-FR" w:bidi="fr-FR"/>
        </w:rPr>
        <w:t>écoles supplémentaires pour l</w:t>
      </w:r>
      <w:r w:rsidR="00FB11B3" w:rsidRPr="0046567B">
        <w:rPr>
          <w:lang w:val="fr-FR" w:bidi="fr-FR"/>
        </w:rPr>
        <w:t>’</w:t>
      </w:r>
      <w:r w:rsidRPr="0046567B">
        <w:rPr>
          <w:lang w:val="fr-FR" w:bidi="fr-FR"/>
        </w:rPr>
        <w:t>année scolaire</w:t>
      </w:r>
      <w:r w:rsidR="002A20B0" w:rsidRPr="0046567B">
        <w:rPr>
          <w:lang w:val="fr-FR" w:bidi="fr-FR"/>
        </w:rPr>
        <w:t xml:space="preserve"> </w:t>
      </w:r>
      <w:r w:rsidRPr="0046567B">
        <w:rPr>
          <w:lang w:val="fr-FR" w:bidi="fr-FR"/>
        </w:rPr>
        <w:t>2018-2019 et à toutes les autres écoles pour l</w:t>
      </w:r>
      <w:r w:rsidR="00FB11B3" w:rsidRPr="0046567B">
        <w:rPr>
          <w:lang w:val="fr-FR" w:bidi="fr-FR"/>
        </w:rPr>
        <w:t>’</w:t>
      </w:r>
      <w:r w:rsidRPr="0046567B">
        <w:rPr>
          <w:lang w:val="fr-FR" w:bidi="fr-FR"/>
        </w:rPr>
        <w:t>année scolaire</w:t>
      </w:r>
      <w:r w:rsidR="002A20B0" w:rsidRPr="0046567B">
        <w:rPr>
          <w:lang w:val="fr-FR" w:bidi="fr-FR"/>
        </w:rPr>
        <w:t xml:space="preserve"> </w:t>
      </w:r>
      <w:r w:rsidRPr="0046567B">
        <w:rPr>
          <w:lang w:val="fr-FR" w:bidi="fr-FR"/>
        </w:rPr>
        <w:t>2019-2020. L</w:t>
      </w:r>
      <w:r w:rsidR="00FB11B3" w:rsidRPr="0046567B">
        <w:rPr>
          <w:lang w:val="fr-FR" w:bidi="fr-FR"/>
        </w:rPr>
        <w:t>’</w:t>
      </w:r>
      <w:r w:rsidRPr="0046567B">
        <w:rPr>
          <w:lang w:val="fr-FR" w:bidi="fr-FR"/>
        </w:rPr>
        <w:t>enseignant-coordinateur en charge des besoins éducatifs spéciaux aidera l</w:t>
      </w:r>
      <w:r w:rsidR="00FB11B3" w:rsidRPr="0046567B">
        <w:rPr>
          <w:lang w:val="fr-FR" w:bidi="fr-FR"/>
        </w:rPr>
        <w:t>’</w:t>
      </w:r>
      <w:r w:rsidRPr="0046567B">
        <w:rPr>
          <w:lang w:val="fr-FR" w:bidi="fr-FR"/>
        </w:rPr>
        <w:t>école à planifier, coordonner et mettre en œuvre une approche globale de l</w:t>
      </w:r>
      <w:r w:rsidR="00FB11B3" w:rsidRPr="0046567B">
        <w:rPr>
          <w:lang w:val="fr-FR" w:bidi="fr-FR"/>
        </w:rPr>
        <w:t>’</w:t>
      </w:r>
      <w:r w:rsidRPr="0046567B">
        <w:rPr>
          <w:lang w:val="fr-FR" w:bidi="fr-FR"/>
        </w:rPr>
        <w:t>école en matière d</w:t>
      </w:r>
      <w:r w:rsidR="00FB11B3" w:rsidRPr="0046567B">
        <w:rPr>
          <w:lang w:val="fr-FR" w:bidi="fr-FR"/>
        </w:rPr>
        <w:t>’</w:t>
      </w:r>
      <w:r w:rsidRPr="0046567B">
        <w:rPr>
          <w:lang w:val="fr-FR" w:bidi="fr-FR"/>
        </w:rPr>
        <w:t>enseignement intégré, afin de développer davantage une culture scolaire inclusive et d</w:t>
      </w:r>
      <w:r w:rsidR="00FB11B3" w:rsidRPr="0046567B">
        <w:rPr>
          <w:lang w:val="fr-FR" w:bidi="fr-FR"/>
        </w:rPr>
        <w:t>’</w:t>
      </w:r>
      <w:r w:rsidRPr="0046567B">
        <w:rPr>
          <w:lang w:val="fr-FR" w:bidi="fr-FR"/>
        </w:rPr>
        <w:t>améliorer l</w:t>
      </w:r>
      <w:r w:rsidR="00FB11B3" w:rsidRPr="0046567B">
        <w:rPr>
          <w:lang w:val="fr-FR" w:bidi="fr-FR"/>
        </w:rPr>
        <w:t>’</w:t>
      </w:r>
      <w:r w:rsidRPr="0046567B">
        <w:rPr>
          <w:lang w:val="fr-FR" w:bidi="fr-FR"/>
        </w:rPr>
        <w:t>efficacité du soutien apporté aux élèves concernés, qu</w:t>
      </w:r>
      <w:r w:rsidR="00FB11B3" w:rsidRPr="0046567B">
        <w:rPr>
          <w:lang w:val="fr-FR" w:bidi="fr-FR"/>
        </w:rPr>
        <w:t>’</w:t>
      </w:r>
      <w:r w:rsidRPr="0046567B">
        <w:rPr>
          <w:lang w:val="fr-FR" w:bidi="fr-FR"/>
        </w:rPr>
        <w:t>importe leur genre.</w:t>
      </w:r>
    </w:p>
    <w:p w14:paraId="20659BAC" w14:textId="7406B767"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Bureau de l</w:t>
      </w:r>
      <w:r w:rsidR="00FB11B3" w:rsidRPr="0046567B">
        <w:rPr>
          <w:lang w:val="fr-FR" w:bidi="fr-FR"/>
        </w:rPr>
        <w:t>’</w:t>
      </w:r>
      <w:r w:rsidRPr="0046567B">
        <w:rPr>
          <w:lang w:val="fr-FR" w:bidi="fr-FR"/>
        </w:rPr>
        <w:t>éducation a également fourni des ressources et un soutien aux écoles spécialisées pour aider leurs étudiants à développer leur potentiel et à se préparer à la poursuite de leurs études ou à fournir des services post-scolaires, qu</w:t>
      </w:r>
      <w:r w:rsidR="00FB11B3" w:rsidRPr="0046567B">
        <w:rPr>
          <w:lang w:val="fr-FR" w:bidi="fr-FR"/>
        </w:rPr>
        <w:t>’</w:t>
      </w:r>
      <w:r w:rsidRPr="0046567B">
        <w:rPr>
          <w:lang w:val="fr-FR" w:bidi="fr-FR"/>
        </w:rPr>
        <w:t>importe leur genre. La taille relativement réduite des classes dans ces écoles spéciales permet un soutien plus individualisé pour tenir compte de la diversité des élèves. Des spécialistes tels que des orthophonistes, des physiothérapeutes, des ergothérapeutes, des psychologues scolaires, des infirmières scolaires, des travailleurs sociaux scolaires, etc. sont mis à la disposition des écoles spéciales en fonction du type de handicap de leurs élèves. Des ressources supplémentaires sont également prévues pour ces écoles spéciales afin de répondre aux besoins des étudiants qui présentent une particularité médicale ou des handicaps multiples.</w:t>
      </w:r>
    </w:p>
    <w:p w14:paraId="7511E043" w14:textId="23EE9AAC"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La nouvelle structure de l</w:t>
      </w:r>
      <w:r w:rsidR="00FB11B3" w:rsidRPr="0046567B">
        <w:rPr>
          <w:lang w:val="fr-FR" w:bidi="fr-FR"/>
        </w:rPr>
        <w:t>’</w:t>
      </w:r>
      <w:r w:rsidRPr="0046567B">
        <w:rPr>
          <w:lang w:val="fr-FR" w:bidi="fr-FR"/>
        </w:rPr>
        <w:t xml:space="preserve">Académie du troisième âge </w:t>
      </w:r>
      <w:r w:rsidRPr="0046567B">
        <w:rPr>
          <w:i/>
          <w:lang w:val="fr-FR" w:bidi="fr-FR"/>
        </w:rPr>
        <w:t>(New Senior Secondary)</w:t>
      </w:r>
      <w:r w:rsidRPr="0046567B">
        <w:rPr>
          <w:lang w:val="fr-FR" w:bidi="fr-FR"/>
        </w:rPr>
        <w:t xml:space="preserve"> a été mise en place au cours de l</w:t>
      </w:r>
      <w:r w:rsidR="00FB11B3" w:rsidRPr="0046567B">
        <w:rPr>
          <w:lang w:val="fr-FR" w:bidi="fr-FR"/>
        </w:rPr>
        <w:t>’</w:t>
      </w:r>
      <w:r w:rsidRPr="0046567B">
        <w:rPr>
          <w:lang w:val="fr-FR" w:bidi="fr-FR"/>
        </w:rPr>
        <w:t>année scolaire</w:t>
      </w:r>
      <w:r w:rsidR="002A20B0" w:rsidRPr="0046567B">
        <w:rPr>
          <w:lang w:val="fr-FR" w:bidi="fr-FR"/>
        </w:rPr>
        <w:t xml:space="preserve"> </w:t>
      </w:r>
      <w:r w:rsidRPr="0046567B">
        <w:rPr>
          <w:lang w:val="fr-FR" w:bidi="fr-FR"/>
        </w:rPr>
        <w:t>2009-2010. Depuis lors, plus de 100</w:t>
      </w:r>
      <w:r w:rsidR="002A20B0" w:rsidRPr="0046567B">
        <w:rPr>
          <w:lang w:val="fr-FR" w:bidi="fr-FR"/>
        </w:rPr>
        <w:t> </w:t>
      </w:r>
      <w:r w:rsidRPr="0046567B">
        <w:rPr>
          <w:lang w:val="fr-FR" w:bidi="fr-FR"/>
        </w:rPr>
        <w:t>postes d</w:t>
      </w:r>
      <w:r w:rsidR="00FB11B3" w:rsidRPr="0046567B">
        <w:rPr>
          <w:lang w:val="fr-FR" w:bidi="fr-FR"/>
        </w:rPr>
        <w:t>’</w:t>
      </w:r>
      <w:r w:rsidRPr="0046567B">
        <w:rPr>
          <w:lang w:val="fr-FR" w:bidi="fr-FR"/>
        </w:rPr>
        <w:t>enseignants réguliers supplémentaires ont été créés pour les 61</w:t>
      </w:r>
      <w:r w:rsidR="002A20B0" w:rsidRPr="0046567B">
        <w:rPr>
          <w:lang w:val="fr-FR" w:bidi="fr-FR"/>
        </w:rPr>
        <w:t xml:space="preserve"> </w:t>
      </w:r>
      <w:r w:rsidRPr="0046567B">
        <w:rPr>
          <w:lang w:val="fr-FR" w:bidi="fr-FR"/>
        </w:rPr>
        <w:t>écoles spéciales subventionnées. Des ressources et du personnel paramédical supplémentaires sont également fournis pour améliorer les services d</w:t>
      </w:r>
      <w:r w:rsidR="00FB11B3" w:rsidRPr="0046567B">
        <w:rPr>
          <w:lang w:val="fr-FR" w:bidi="fr-FR"/>
        </w:rPr>
        <w:t>’</w:t>
      </w:r>
      <w:r w:rsidRPr="0046567B">
        <w:rPr>
          <w:lang w:val="fr-FR" w:bidi="fr-FR"/>
        </w:rPr>
        <w:t>enseignement spécialisé dans différents types d</w:t>
      </w:r>
      <w:r w:rsidR="00FB11B3" w:rsidRPr="0046567B">
        <w:rPr>
          <w:lang w:val="fr-FR" w:bidi="fr-FR"/>
        </w:rPr>
        <w:t>’</w:t>
      </w:r>
      <w:r w:rsidRPr="0046567B">
        <w:rPr>
          <w:lang w:val="fr-FR" w:bidi="fr-FR"/>
        </w:rPr>
        <w:t>écoles spécialisées, notamment 9 orthophonistes, 39</w:t>
      </w:r>
      <w:r w:rsidR="002A20B0" w:rsidRPr="0046567B">
        <w:rPr>
          <w:lang w:val="fr-FR" w:bidi="fr-FR"/>
        </w:rPr>
        <w:t> </w:t>
      </w:r>
      <w:r w:rsidRPr="0046567B">
        <w:rPr>
          <w:lang w:val="fr-FR" w:bidi="fr-FR"/>
        </w:rPr>
        <w:t>ergothérapeutes et 39</w:t>
      </w:r>
      <w:r w:rsidR="00F2347E" w:rsidRPr="0046567B">
        <w:rPr>
          <w:lang w:val="fr-FR" w:bidi="fr-FR"/>
        </w:rPr>
        <w:t> </w:t>
      </w:r>
      <w:r w:rsidRPr="0046567B">
        <w:rPr>
          <w:lang w:val="fr-FR" w:bidi="fr-FR"/>
        </w:rPr>
        <w:t>assistants ergothérapeutes. Le Bureau de l</w:t>
      </w:r>
      <w:r w:rsidR="00FB11B3" w:rsidRPr="0046567B">
        <w:rPr>
          <w:lang w:val="fr-FR" w:bidi="fr-FR"/>
        </w:rPr>
        <w:t>’</w:t>
      </w:r>
      <w:r w:rsidRPr="0046567B">
        <w:rPr>
          <w:lang w:val="fr-FR" w:bidi="fr-FR"/>
        </w:rPr>
        <w:t>éducation renforcera encore les besoins en infirmiers et en travailleurs sociaux dans les écoles spécialisées à partir de l</w:t>
      </w:r>
      <w:r w:rsidR="00FB11B3" w:rsidRPr="0046567B">
        <w:rPr>
          <w:lang w:val="fr-FR" w:bidi="fr-FR"/>
        </w:rPr>
        <w:t>’</w:t>
      </w:r>
      <w:r w:rsidRPr="0046567B">
        <w:rPr>
          <w:lang w:val="fr-FR" w:bidi="fr-FR"/>
        </w:rPr>
        <w:t>année scolaire</w:t>
      </w:r>
      <w:r w:rsidR="002A20B0" w:rsidRPr="0046567B">
        <w:rPr>
          <w:lang w:val="fr-FR" w:bidi="fr-FR"/>
        </w:rPr>
        <w:t xml:space="preserve"> </w:t>
      </w:r>
      <w:r w:rsidRPr="0046567B">
        <w:rPr>
          <w:lang w:val="fr-FR" w:bidi="fr-FR"/>
        </w:rPr>
        <w:t>2018-2019. On estime que 51</w:t>
      </w:r>
      <w:r w:rsidR="002A20B0" w:rsidRPr="0046567B">
        <w:rPr>
          <w:lang w:val="fr-FR" w:bidi="fr-FR"/>
        </w:rPr>
        <w:t> </w:t>
      </w:r>
      <w:r w:rsidRPr="0046567B">
        <w:rPr>
          <w:lang w:val="fr-FR" w:bidi="fr-FR"/>
        </w:rPr>
        <w:t>infirmières scolaires et 18</w:t>
      </w:r>
      <w:r w:rsidR="002A20B0" w:rsidRPr="0046567B">
        <w:rPr>
          <w:lang w:val="fr-FR" w:bidi="fr-FR"/>
        </w:rPr>
        <w:t xml:space="preserve"> </w:t>
      </w:r>
      <w:r w:rsidRPr="0046567B">
        <w:rPr>
          <w:lang w:val="fr-FR" w:bidi="fr-FR"/>
        </w:rPr>
        <w:t>travailleurs sociaux scolaires supplémentaires seront nouvellement affectés.</w:t>
      </w:r>
    </w:p>
    <w:p w14:paraId="0B7FB1E2" w14:textId="3CD7DA15" w:rsidR="00B408C7" w:rsidRPr="0046567B" w:rsidRDefault="00B408C7" w:rsidP="00B408C7">
      <w:pPr>
        <w:pStyle w:val="SingleTxt"/>
        <w:spacing w:after="0" w:line="120" w:lineRule="exact"/>
        <w:rPr>
          <w:sz w:val="10"/>
          <w:lang w:val="fr-FR" w:bidi="fr-FR"/>
        </w:rPr>
      </w:pPr>
    </w:p>
    <w:p w14:paraId="3FD62D33" w14:textId="1690C1A4" w:rsidR="00B408C7" w:rsidRPr="0046567B" w:rsidRDefault="00B408C7" w:rsidP="00B408C7">
      <w:pPr>
        <w:pStyle w:val="SingleTxt"/>
        <w:spacing w:after="0" w:line="120" w:lineRule="exact"/>
        <w:rPr>
          <w:sz w:val="10"/>
          <w:lang w:val="fr-FR"/>
        </w:rPr>
      </w:pPr>
    </w:p>
    <w:p w14:paraId="49D54ED2" w14:textId="1B85F66B"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Enseignement dispensé à certains groupes</w:t>
      </w:r>
    </w:p>
    <w:p w14:paraId="7D4B3551" w14:textId="7BEBD013" w:rsidR="00B408C7" w:rsidRPr="0046567B" w:rsidRDefault="00B408C7" w:rsidP="00B408C7">
      <w:pPr>
        <w:pStyle w:val="SingleTxt"/>
        <w:spacing w:after="0" w:line="120" w:lineRule="exact"/>
        <w:rPr>
          <w:sz w:val="10"/>
          <w:lang w:val="fr-FR" w:bidi="fr-FR"/>
        </w:rPr>
      </w:pPr>
    </w:p>
    <w:p w14:paraId="209A50FB" w14:textId="5B216C32" w:rsidR="00B408C7" w:rsidRPr="0046567B" w:rsidRDefault="00B408C7" w:rsidP="00B408C7">
      <w:pPr>
        <w:pStyle w:val="SingleTxt"/>
        <w:spacing w:after="0" w:line="120" w:lineRule="exact"/>
        <w:rPr>
          <w:sz w:val="10"/>
          <w:lang w:val="fr-FR" w:bidi="fr-FR"/>
        </w:rPr>
      </w:pPr>
    </w:p>
    <w:p w14:paraId="173D9819" w14:textId="314CECEA"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Les étudiants non sinophones, les enfants ne disposant pas d</w:t>
      </w:r>
      <w:r w:rsidR="00FB11B3" w:rsidRPr="0046567B">
        <w:rPr>
          <w:lang w:val="fr-FR" w:bidi="fr-FR"/>
        </w:rPr>
        <w:t>’</w:t>
      </w:r>
      <w:r w:rsidRPr="0046567B">
        <w:rPr>
          <w:lang w:val="fr-FR" w:bidi="fr-FR"/>
        </w:rPr>
        <w:t>un titre de séjour et ceux nouvellement arrivés du continent bénéficient des mêmes chances d</w:t>
      </w:r>
      <w:r w:rsidR="00FB11B3" w:rsidRPr="0046567B">
        <w:rPr>
          <w:lang w:val="fr-FR" w:bidi="fr-FR"/>
        </w:rPr>
        <w:t>’</w:t>
      </w:r>
      <w:r w:rsidRPr="0046567B">
        <w:rPr>
          <w:lang w:val="fr-FR" w:bidi="fr-FR"/>
        </w:rPr>
        <w:t>accès à l</w:t>
      </w:r>
      <w:r w:rsidR="00FB11B3" w:rsidRPr="0046567B">
        <w:rPr>
          <w:lang w:val="fr-FR" w:bidi="fr-FR"/>
        </w:rPr>
        <w:t>’</w:t>
      </w:r>
      <w:r w:rsidRPr="0046567B">
        <w:rPr>
          <w:lang w:val="fr-FR" w:bidi="fr-FR"/>
        </w:rPr>
        <w:t>enseignement, indépendamment de leur sexe. Quel que soit leur genre, le Bureau de l</w:t>
      </w:r>
      <w:r w:rsidR="00FB11B3" w:rsidRPr="0046567B">
        <w:rPr>
          <w:lang w:val="fr-FR" w:bidi="fr-FR"/>
        </w:rPr>
        <w:t>’</w:t>
      </w:r>
      <w:r w:rsidRPr="0046567B">
        <w:rPr>
          <w:lang w:val="fr-FR" w:bidi="fr-FR"/>
        </w:rPr>
        <w:t>éducation leur propose des services de soutien scolaires pour les aider à s</w:t>
      </w:r>
      <w:r w:rsidR="00FB11B3" w:rsidRPr="0046567B">
        <w:rPr>
          <w:lang w:val="fr-FR" w:bidi="fr-FR"/>
        </w:rPr>
        <w:t>’</w:t>
      </w:r>
      <w:r w:rsidRPr="0046567B">
        <w:rPr>
          <w:lang w:val="fr-FR" w:bidi="fr-FR"/>
        </w:rPr>
        <w:t>intégrer à la société civile de Hong Kong et à surmonter les obstacles liés à l</w:t>
      </w:r>
      <w:r w:rsidR="00FB11B3" w:rsidRPr="0046567B">
        <w:rPr>
          <w:lang w:val="fr-FR" w:bidi="fr-FR"/>
        </w:rPr>
        <w:t>’</w:t>
      </w:r>
      <w:r w:rsidRPr="0046567B">
        <w:rPr>
          <w:lang w:val="fr-FR" w:bidi="fr-FR"/>
        </w:rPr>
        <w:t>apprentissage. Ce dispositif est expliqué à l</w:t>
      </w:r>
      <w:r w:rsidR="00FB11B3" w:rsidRPr="0046567B">
        <w:rPr>
          <w:lang w:val="fr-FR" w:bidi="fr-FR"/>
        </w:rPr>
        <w:t>’</w:t>
      </w:r>
      <w:r w:rsidRPr="0046567B">
        <w:rPr>
          <w:lang w:val="fr-FR" w:bidi="fr-FR"/>
        </w:rPr>
        <w:t>article</w:t>
      </w:r>
      <w:r w:rsidR="002A20B0" w:rsidRPr="0046567B">
        <w:rPr>
          <w:lang w:val="fr-FR" w:bidi="fr-FR"/>
        </w:rPr>
        <w:t xml:space="preserve"> </w:t>
      </w:r>
      <w:r w:rsidRPr="0046567B">
        <w:rPr>
          <w:lang w:val="fr-FR" w:bidi="fr-FR"/>
        </w:rPr>
        <w:t>23.20(b) et aux articles</w:t>
      </w:r>
      <w:r w:rsidR="002A20B0" w:rsidRPr="0046567B">
        <w:rPr>
          <w:lang w:val="fr-FR" w:bidi="fr-FR"/>
        </w:rPr>
        <w:t xml:space="preserve"> </w:t>
      </w:r>
      <w:r w:rsidRPr="0046567B">
        <w:rPr>
          <w:lang w:val="fr-FR" w:bidi="fr-FR"/>
        </w:rPr>
        <w:t>27.3 à</w:t>
      </w:r>
      <w:r w:rsidR="002A20B0" w:rsidRPr="0046567B">
        <w:rPr>
          <w:lang w:val="fr-FR" w:bidi="fr-FR"/>
        </w:rPr>
        <w:t xml:space="preserve"> </w:t>
      </w:r>
      <w:r w:rsidRPr="0046567B">
        <w:rPr>
          <w:lang w:val="fr-FR" w:bidi="fr-FR"/>
        </w:rPr>
        <w:t>27.15 du quatrième rapport en vertu du Pacte international relatif aux droits civils et politiques.</w:t>
      </w:r>
    </w:p>
    <w:p w14:paraId="1EE7608A" w14:textId="2D6F486E" w:rsidR="00B408C7" w:rsidRPr="0046567B" w:rsidRDefault="00B408C7" w:rsidP="00B408C7">
      <w:pPr>
        <w:pStyle w:val="SingleTxt"/>
        <w:spacing w:after="0" w:line="120" w:lineRule="exact"/>
        <w:rPr>
          <w:sz w:val="10"/>
          <w:lang w:val="fr-FR" w:bidi="fr-FR"/>
        </w:rPr>
      </w:pPr>
    </w:p>
    <w:p w14:paraId="213A6394" w14:textId="580AE068" w:rsidR="00B408C7" w:rsidRPr="0046567B" w:rsidRDefault="00B408C7" w:rsidP="00B408C7">
      <w:pPr>
        <w:pStyle w:val="SingleTxt"/>
        <w:spacing w:after="0" w:line="120" w:lineRule="exact"/>
        <w:rPr>
          <w:sz w:val="10"/>
          <w:lang w:val="fr-FR"/>
        </w:rPr>
      </w:pPr>
    </w:p>
    <w:p w14:paraId="3100A756" w14:textId="783B31A2" w:rsidR="00FC36AA" w:rsidRPr="0046567B" w:rsidRDefault="00FC36AA" w:rsidP="0079723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bidi="fr-FR"/>
        </w:rPr>
      </w:pPr>
      <w:r w:rsidRPr="0046567B">
        <w:rPr>
          <w:lang w:val="fr-FR" w:bidi="fr-FR"/>
        </w:rPr>
        <w:tab/>
      </w:r>
      <w:r w:rsidRPr="0046567B">
        <w:rPr>
          <w:lang w:val="fr-FR" w:bidi="fr-FR"/>
        </w:rPr>
        <w:tab/>
        <w:t>Éducation sexuelle</w:t>
      </w:r>
    </w:p>
    <w:p w14:paraId="11EC0AEA" w14:textId="276B7E9D" w:rsidR="00B408C7" w:rsidRPr="0046567B" w:rsidRDefault="00B408C7" w:rsidP="00797231">
      <w:pPr>
        <w:pStyle w:val="SingleTxt"/>
        <w:keepNext/>
        <w:keepLines/>
        <w:spacing w:after="0" w:line="120" w:lineRule="exact"/>
        <w:rPr>
          <w:sz w:val="10"/>
          <w:lang w:val="fr-FR" w:bidi="fr-FR"/>
        </w:rPr>
      </w:pPr>
    </w:p>
    <w:p w14:paraId="61E50B13" w14:textId="090DC2C1" w:rsidR="00B408C7" w:rsidRPr="0046567B" w:rsidRDefault="00B408C7" w:rsidP="00797231">
      <w:pPr>
        <w:pStyle w:val="SingleTxt"/>
        <w:keepNext/>
        <w:keepLines/>
        <w:spacing w:after="0" w:line="120" w:lineRule="exact"/>
        <w:rPr>
          <w:sz w:val="10"/>
          <w:lang w:val="fr-FR" w:bidi="fr-FR"/>
        </w:rPr>
      </w:pPr>
    </w:p>
    <w:p w14:paraId="01206730" w14:textId="7AB1AFA7" w:rsidR="00FC36AA" w:rsidRPr="0046567B" w:rsidRDefault="00FC36AA" w:rsidP="00797231">
      <w:pPr>
        <w:pStyle w:val="SingleTxt"/>
        <w:keepNext/>
        <w:keepLines/>
        <w:numPr>
          <w:ilvl w:val="0"/>
          <w:numId w:val="32"/>
        </w:numPr>
        <w:spacing w:line="240" w:lineRule="exact"/>
        <w:ind w:left="1267" w:firstLine="0"/>
        <w:rPr>
          <w:lang w:val="fr-FR"/>
        </w:rPr>
      </w:pPr>
      <w:r w:rsidRPr="0046567B">
        <w:rPr>
          <w:lang w:val="fr-FR" w:bidi="fr-FR"/>
        </w:rPr>
        <w:t>L</w:t>
      </w:r>
      <w:r w:rsidR="00FB11B3" w:rsidRPr="0046567B">
        <w:rPr>
          <w:lang w:val="fr-FR" w:bidi="fr-FR"/>
        </w:rPr>
        <w:t>’</w:t>
      </w:r>
      <w:r w:rsidRPr="0046567B">
        <w:rPr>
          <w:lang w:val="fr-FR" w:bidi="fr-FR"/>
        </w:rPr>
        <w:t>éducation sexuelle fait partie intégrante des valeurs éducatives qui composent notre cursus scolaire. Les éléments d</w:t>
      </w:r>
      <w:r w:rsidR="00FB11B3" w:rsidRPr="0046567B">
        <w:rPr>
          <w:lang w:val="fr-FR" w:bidi="fr-FR"/>
        </w:rPr>
        <w:t>’</w:t>
      </w:r>
      <w:r w:rsidRPr="0046567B">
        <w:rPr>
          <w:lang w:val="fr-FR" w:bidi="fr-FR"/>
        </w:rPr>
        <w:t>apprentissage liés à l</w:t>
      </w:r>
      <w:r w:rsidR="00FB11B3" w:rsidRPr="0046567B">
        <w:rPr>
          <w:lang w:val="fr-FR" w:bidi="fr-FR"/>
        </w:rPr>
        <w:t>’</w:t>
      </w:r>
      <w:r w:rsidRPr="0046567B">
        <w:rPr>
          <w:lang w:val="fr-FR" w:bidi="fr-FR"/>
        </w:rPr>
        <w:t>éducation sexuelle, y compris l</w:t>
      </w:r>
      <w:r w:rsidR="00FB11B3" w:rsidRPr="0046567B">
        <w:rPr>
          <w:lang w:val="fr-FR" w:bidi="fr-FR"/>
        </w:rPr>
        <w:t>’</w:t>
      </w:r>
      <w:r w:rsidRPr="0046567B">
        <w:rPr>
          <w:lang w:val="fr-FR" w:bidi="fr-FR"/>
        </w:rPr>
        <w:t>égalité de genre</w:t>
      </w:r>
      <w:r w:rsidRPr="0046567B">
        <w:rPr>
          <w:rFonts w:hint="eastAsia"/>
          <w:lang w:val="fr-FR" w:bidi="fr-FR"/>
        </w:rPr>
        <w:t>,</w:t>
      </w:r>
      <w:r w:rsidRPr="0046567B">
        <w:rPr>
          <w:lang w:val="fr-FR" w:bidi="fr-FR"/>
        </w:rPr>
        <w:t xml:space="preserve"> sont intégrés dans les programmes d</w:t>
      </w:r>
      <w:r w:rsidR="00FB11B3" w:rsidRPr="0046567B">
        <w:rPr>
          <w:lang w:val="fr-FR" w:bidi="fr-FR"/>
        </w:rPr>
        <w:t>’</w:t>
      </w:r>
      <w:r w:rsidRPr="0046567B">
        <w:rPr>
          <w:lang w:val="fr-FR" w:bidi="fr-FR"/>
        </w:rPr>
        <w:t>enseignement des principales disciplines au niveau des écoles primaires et secondaires et dans les programmes d</w:t>
      </w:r>
      <w:r w:rsidR="00FB11B3" w:rsidRPr="0046567B">
        <w:rPr>
          <w:lang w:val="fr-FR" w:bidi="fr-FR"/>
        </w:rPr>
        <w:t>’</w:t>
      </w:r>
      <w:r w:rsidRPr="0046567B">
        <w:rPr>
          <w:lang w:val="fr-FR" w:bidi="fr-FR"/>
        </w:rPr>
        <w:t>éducation civique au sein des établissements primaires et secondaires. Outre l</w:t>
      </w:r>
      <w:r w:rsidR="00FB11B3" w:rsidRPr="0046567B">
        <w:rPr>
          <w:lang w:val="fr-FR" w:bidi="fr-FR"/>
        </w:rPr>
        <w:t>’</w:t>
      </w:r>
      <w:r w:rsidRPr="0046567B">
        <w:rPr>
          <w:lang w:val="fr-FR" w:bidi="fr-FR"/>
        </w:rPr>
        <w:t>enseignement en classe, les écoles organisent d</w:t>
      </w:r>
      <w:r w:rsidR="00FB11B3" w:rsidRPr="0046567B">
        <w:rPr>
          <w:lang w:val="fr-FR" w:bidi="fr-FR"/>
        </w:rPr>
        <w:t>’</w:t>
      </w:r>
      <w:r w:rsidRPr="0046567B">
        <w:rPr>
          <w:lang w:val="fr-FR" w:bidi="fr-FR"/>
        </w:rPr>
        <w:t>autres activités éducatives telles que des conférences, des visites et des expositions, afin d</w:t>
      </w:r>
      <w:r w:rsidR="00FB11B3" w:rsidRPr="0046567B">
        <w:rPr>
          <w:lang w:val="fr-FR" w:bidi="fr-FR"/>
        </w:rPr>
        <w:t>’</w:t>
      </w:r>
      <w:r w:rsidRPr="0046567B">
        <w:rPr>
          <w:lang w:val="fr-FR" w:bidi="fr-FR"/>
        </w:rPr>
        <w:t>offrir aux élèves des expériences d</w:t>
      </w:r>
      <w:r w:rsidR="00FB11B3" w:rsidRPr="0046567B">
        <w:rPr>
          <w:lang w:val="fr-FR" w:bidi="fr-FR"/>
        </w:rPr>
        <w:t>’</w:t>
      </w:r>
      <w:r w:rsidRPr="0046567B">
        <w:rPr>
          <w:lang w:val="fr-FR" w:bidi="fr-FR"/>
        </w:rPr>
        <w:t>apprentissage propices à leur développement personnel.</w:t>
      </w:r>
    </w:p>
    <w:p w14:paraId="33D507AD" w14:textId="2812484B" w:rsidR="00B408C7" w:rsidRPr="0046567B" w:rsidRDefault="00B408C7" w:rsidP="00B408C7">
      <w:pPr>
        <w:pStyle w:val="SingleTxt"/>
        <w:spacing w:after="0" w:line="120" w:lineRule="exact"/>
        <w:rPr>
          <w:sz w:val="10"/>
          <w:lang w:val="fr-FR" w:bidi="fr-FR"/>
        </w:rPr>
      </w:pPr>
    </w:p>
    <w:p w14:paraId="606C2FCC" w14:textId="77777777" w:rsidR="00B408C7" w:rsidRPr="0046567B" w:rsidRDefault="00B408C7" w:rsidP="00B408C7">
      <w:pPr>
        <w:pStyle w:val="SingleTxt"/>
        <w:spacing w:after="0" w:line="120" w:lineRule="exact"/>
        <w:rPr>
          <w:sz w:val="10"/>
          <w:lang w:val="fr-FR" w:bidi="fr-FR"/>
        </w:rPr>
      </w:pPr>
    </w:p>
    <w:p w14:paraId="532340DA" w14:textId="3169D3D4" w:rsidR="00FC36AA" w:rsidRPr="0046567B" w:rsidRDefault="00FC36AA" w:rsidP="00B408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r>
      <w:r w:rsidRPr="0046567B">
        <w:rPr>
          <w:szCs w:val="20"/>
          <w:lang w:val="fr-FR" w:bidi="fr-FR"/>
        </w:rPr>
        <w:t>Article</w:t>
      </w:r>
      <w:r w:rsidRPr="0046567B">
        <w:rPr>
          <w:lang w:val="fr-FR" w:bidi="fr-FR"/>
        </w:rPr>
        <w:t xml:space="preserve"> 11 </w:t>
      </w:r>
      <w:r w:rsidR="002A20B0" w:rsidRPr="0046567B">
        <w:rPr>
          <w:lang w:val="fr-FR" w:bidi="fr-FR"/>
        </w:rPr>
        <w:t>–</w:t>
      </w:r>
      <w:r w:rsidRPr="0046567B">
        <w:rPr>
          <w:lang w:val="fr-FR" w:bidi="fr-FR"/>
        </w:rPr>
        <w:t xml:space="preserve"> Égalité en matière d</w:t>
      </w:r>
      <w:r w:rsidR="00FB11B3" w:rsidRPr="0046567B">
        <w:rPr>
          <w:lang w:val="fr-FR" w:bidi="fr-FR"/>
        </w:rPr>
        <w:t>’</w:t>
      </w:r>
      <w:r w:rsidRPr="0046567B">
        <w:rPr>
          <w:lang w:val="fr-FR" w:bidi="fr-FR"/>
        </w:rPr>
        <w:t>emploi et de droits</w:t>
      </w:r>
      <w:r w:rsidR="00B408C7" w:rsidRPr="0046567B">
        <w:rPr>
          <w:lang w:val="fr-FR" w:bidi="fr-FR"/>
        </w:rPr>
        <w:br/>
        <w:t>d</w:t>
      </w:r>
      <w:r w:rsidRPr="0046567B">
        <w:rPr>
          <w:lang w:val="fr-FR" w:bidi="fr-FR"/>
        </w:rPr>
        <w:t>u travail</w:t>
      </w:r>
    </w:p>
    <w:p w14:paraId="1B12FF7B" w14:textId="42DFD0B3" w:rsidR="00B408C7" w:rsidRPr="0046567B" w:rsidRDefault="00B408C7" w:rsidP="00B408C7">
      <w:pPr>
        <w:pStyle w:val="SingleTxt"/>
        <w:spacing w:after="0" w:line="120" w:lineRule="exact"/>
        <w:rPr>
          <w:sz w:val="10"/>
          <w:lang w:val="fr-FR" w:bidi="fr-FR"/>
        </w:rPr>
      </w:pPr>
    </w:p>
    <w:p w14:paraId="1F5633A7" w14:textId="4FB952FF" w:rsidR="00B408C7" w:rsidRPr="0046567B" w:rsidRDefault="00B408C7" w:rsidP="00B408C7">
      <w:pPr>
        <w:pStyle w:val="SingleTxt"/>
        <w:spacing w:after="0" w:line="120" w:lineRule="exact"/>
        <w:rPr>
          <w:sz w:val="10"/>
          <w:lang w:val="fr-FR" w:bidi="fr-FR"/>
        </w:rPr>
      </w:pPr>
    </w:p>
    <w:p w14:paraId="0A7BCFAE" w14:textId="3D2DF2E9"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Réserves</w:t>
      </w:r>
    </w:p>
    <w:p w14:paraId="26CC9E9A" w14:textId="12ED3824" w:rsidR="00B408C7" w:rsidRPr="0046567B" w:rsidRDefault="00B408C7" w:rsidP="00B408C7">
      <w:pPr>
        <w:pStyle w:val="SingleTxt"/>
        <w:spacing w:after="0" w:line="120" w:lineRule="exact"/>
        <w:rPr>
          <w:sz w:val="10"/>
          <w:lang w:val="fr-FR" w:bidi="fr-FR"/>
        </w:rPr>
      </w:pPr>
    </w:p>
    <w:p w14:paraId="318F676A" w14:textId="657F1909" w:rsidR="00B408C7" w:rsidRPr="0046567B" w:rsidRDefault="00B408C7" w:rsidP="00B408C7">
      <w:pPr>
        <w:pStyle w:val="SingleTxt"/>
        <w:spacing w:after="0" w:line="120" w:lineRule="exact"/>
        <w:rPr>
          <w:sz w:val="10"/>
          <w:lang w:val="fr-FR" w:bidi="fr-FR"/>
        </w:rPr>
      </w:pPr>
    </w:p>
    <w:p w14:paraId="4ADAF50A" w14:textId="0E1F858B"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Gouvernement de la République populaire de Chine se réserve le droit, pour la Région administrative spéciale de Hong Kong, d</w:t>
      </w:r>
      <w:r w:rsidR="00FB11B3" w:rsidRPr="0046567B">
        <w:rPr>
          <w:lang w:val="fr-FR" w:bidi="fr-FR"/>
        </w:rPr>
        <w:t>’</w:t>
      </w:r>
      <w:r w:rsidRPr="0046567B">
        <w:rPr>
          <w:lang w:val="fr-FR" w:bidi="fr-FR"/>
        </w:rPr>
        <w:t>appliquer des critères non discriminatoires pour une période de travail donné, dans le cadre des dispositions de l</w:t>
      </w:r>
      <w:r w:rsidR="00FB11B3" w:rsidRPr="0046567B">
        <w:rPr>
          <w:lang w:val="fr-FR" w:bidi="fr-FR"/>
        </w:rPr>
        <w:t>’</w:t>
      </w:r>
      <w:r w:rsidRPr="0046567B">
        <w:rPr>
          <w:lang w:val="fr-FR" w:bidi="fr-FR"/>
        </w:rPr>
        <w:t>article</w:t>
      </w:r>
      <w:r w:rsidR="002A20B0" w:rsidRPr="0046567B">
        <w:rPr>
          <w:lang w:val="fr-FR" w:bidi="fr-FR"/>
        </w:rPr>
        <w:t xml:space="preserve"> </w:t>
      </w:r>
      <w:r w:rsidRPr="0046567B">
        <w:rPr>
          <w:lang w:val="fr-FR" w:bidi="fr-FR"/>
        </w:rPr>
        <w:t>11, paragraphe</w:t>
      </w:r>
      <w:r w:rsidR="002A20B0" w:rsidRPr="0046567B">
        <w:rPr>
          <w:lang w:val="fr-FR" w:bidi="fr-FR"/>
        </w:rPr>
        <w:t xml:space="preserve"> </w:t>
      </w:r>
      <w:r w:rsidRPr="0046567B">
        <w:rPr>
          <w:lang w:val="fr-FR" w:bidi="fr-FR"/>
        </w:rPr>
        <w:t>2, de la Convention. En ce qui concerne l</w:t>
      </w:r>
      <w:r w:rsidR="00FB11B3" w:rsidRPr="0046567B">
        <w:rPr>
          <w:lang w:val="fr-FR" w:bidi="fr-FR"/>
        </w:rPr>
        <w:t>’</w:t>
      </w:r>
      <w:r w:rsidRPr="0046567B">
        <w:rPr>
          <w:lang w:val="fr-FR" w:bidi="fr-FR"/>
        </w:rPr>
        <w:t>avis du Comité, figurant aux paragraphes</w:t>
      </w:r>
      <w:r w:rsidR="002A20B0" w:rsidRPr="0046567B">
        <w:rPr>
          <w:lang w:val="fr-FR" w:bidi="fr-FR"/>
        </w:rPr>
        <w:t> </w:t>
      </w:r>
      <w:r w:rsidRPr="0046567B">
        <w:rPr>
          <w:lang w:val="fr-FR" w:bidi="fr-FR"/>
        </w:rPr>
        <w:t>8 et</w:t>
      </w:r>
      <w:r w:rsidR="002A20B0" w:rsidRPr="0046567B">
        <w:rPr>
          <w:lang w:val="fr-FR" w:bidi="fr-FR"/>
        </w:rPr>
        <w:t xml:space="preserve"> </w:t>
      </w:r>
      <w:r w:rsidRPr="0046567B">
        <w:rPr>
          <w:lang w:val="fr-FR" w:bidi="fr-FR"/>
        </w:rPr>
        <w:t>9 de ses précédentes observations finales, qui recommande de lever cette réserve, nous estimons que l</w:t>
      </w:r>
      <w:r w:rsidR="00FB11B3" w:rsidRPr="0046567B">
        <w:rPr>
          <w:lang w:val="fr-FR" w:bidi="fr-FR"/>
        </w:rPr>
        <w:t>’</w:t>
      </w:r>
      <w:r w:rsidRPr="0046567B">
        <w:rPr>
          <w:lang w:val="fr-FR" w:bidi="fr-FR"/>
        </w:rPr>
        <w:t>exigence actuelle d</w:t>
      </w:r>
      <w:r w:rsidR="00FB11B3" w:rsidRPr="0046567B">
        <w:rPr>
          <w:lang w:val="fr-FR" w:bidi="fr-FR"/>
        </w:rPr>
        <w:t>’</w:t>
      </w:r>
      <w:r w:rsidRPr="0046567B">
        <w:rPr>
          <w:lang w:val="fr-FR" w:bidi="fr-FR"/>
        </w:rPr>
        <w:t>un contrat ininterrompu est nécessaire pour prétendre à un congé légal de maternité et à l</w:t>
      </w:r>
      <w:r w:rsidR="00FB11B3" w:rsidRPr="0046567B">
        <w:rPr>
          <w:lang w:val="fr-FR" w:bidi="fr-FR"/>
        </w:rPr>
        <w:t>’</w:t>
      </w:r>
      <w:r w:rsidRPr="0046567B">
        <w:rPr>
          <w:lang w:val="fr-FR" w:bidi="fr-FR"/>
        </w:rPr>
        <w:t xml:space="preserve">indemnité de congé de maternité, et que cette exigence </w:t>
      </w:r>
      <w:r w:rsidRPr="0046567B">
        <w:rPr>
          <w:rFonts w:hint="eastAsia"/>
          <w:lang w:val="fr-FR" w:bidi="fr-FR"/>
        </w:rPr>
        <w:t>tient compte</w:t>
      </w:r>
      <w:r w:rsidRPr="0046567B">
        <w:rPr>
          <w:lang w:val="fr-FR" w:bidi="fr-FR"/>
        </w:rPr>
        <w:t xml:space="preserve"> des intérêts </w:t>
      </w:r>
      <w:r w:rsidRPr="0046567B">
        <w:rPr>
          <w:rFonts w:hint="eastAsia"/>
          <w:lang w:val="fr-FR" w:bidi="fr-FR"/>
        </w:rPr>
        <w:t xml:space="preserve">des </w:t>
      </w:r>
      <w:r w:rsidRPr="0046567B">
        <w:rPr>
          <w:lang w:val="fr-FR" w:bidi="fr-FR"/>
        </w:rPr>
        <w:t>employeurs et des employés.</w:t>
      </w:r>
    </w:p>
    <w:p w14:paraId="4CF76EA1" w14:textId="5DAAA07C"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Comme exposé au paragraphe</w:t>
      </w:r>
      <w:r w:rsidR="002A20B0" w:rsidRPr="0046567B">
        <w:rPr>
          <w:lang w:val="fr-FR" w:bidi="fr-FR"/>
        </w:rPr>
        <w:t> </w:t>
      </w:r>
      <w:r w:rsidRPr="0046567B">
        <w:rPr>
          <w:lang w:val="fr-FR" w:bidi="fr-FR"/>
        </w:rPr>
        <w:t>214 du rapport précédent, la position du Gouvernement demeure inchangée en ce qu</w:t>
      </w:r>
      <w:r w:rsidR="00FB11B3" w:rsidRPr="0046567B">
        <w:rPr>
          <w:lang w:val="fr-FR" w:bidi="fr-FR"/>
        </w:rPr>
        <w:t>’</w:t>
      </w:r>
      <w:r w:rsidRPr="0046567B">
        <w:rPr>
          <w:lang w:val="fr-FR" w:bidi="fr-FR"/>
        </w:rPr>
        <w:t>il se réserve le droit d</w:t>
      </w:r>
      <w:r w:rsidR="00FB11B3" w:rsidRPr="0046567B">
        <w:rPr>
          <w:lang w:val="fr-FR" w:bidi="fr-FR"/>
        </w:rPr>
        <w:t>’</w:t>
      </w:r>
      <w:r w:rsidRPr="0046567B">
        <w:rPr>
          <w:lang w:val="fr-FR" w:bidi="fr-FR"/>
        </w:rPr>
        <w:t>appliquer l</w:t>
      </w:r>
      <w:r w:rsidR="00FB11B3" w:rsidRPr="0046567B">
        <w:rPr>
          <w:lang w:val="fr-FR" w:bidi="fr-FR"/>
        </w:rPr>
        <w:t>’</w:t>
      </w:r>
      <w:r w:rsidRPr="0046567B">
        <w:rPr>
          <w:lang w:val="fr-FR" w:bidi="fr-FR"/>
        </w:rPr>
        <w:t>ensemble de sa législation et les règles relatives aux pensions de retraite, pensions de réversion et autres prestations liées au décès ou à la retraite (y compris en cas de licenciement), qu</w:t>
      </w:r>
      <w:r w:rsidR="00FB11B3" w:rsidRPr="0046567B">
        <w:rPr>
          <w:lang w:val="fr-FR" w:bidi="fr-FR"/>
        </w:rPr>
        <w:t>’</w:t>
      </w:r>
      <w:r w:rsidRPr="0046567B">
        <w:rPr>
          <w:lang w:val="fr-FR" w:bidi="fr-FR"/>
        </w:rPr>
        <w:t>elles proviennent ou non d</w:t>
      </w:r>
      <w:r w:rsidR="00FB11B3" w:rsidRPr="0046567B">
        <w:rPr>
          <w:lang w:val="fr-FR" w:bidi="fr-FR"/>
        </w:rPr>
        <w:t>’</w:t>
      </w:r>
      <w:r w:rsidRPr="0046567B">
        <w:rPr>
          <w:lang w:val="fr-FR" w:bidi="fr-FR"/>
        </w:rPr>
        <w:t>un régime de sécurité sociale.</w:t>
      </w:r>
    </w:p>
    <w:p w14:paraId="0029B434" w14:textId="5AF2EB0F" w:rsidR="00B408C7" w:rsidRPr="0046567B" w:rsidRDefault="00B408C7" w:rsidP="00B408C7">
      <w:pPr>
        <w:pStyle w:val="SingleTxt"/>
        <w:spacing w:after="0" w:line="120" w:lineRule="exact"/>
        <w:rPr>
          <w:sz w:val="10"/>
          <w:lang w:val="fr-FR" w:bidi="fr-FR"/>
        </w:rPr>
      </w:pPr>
    </w:p>
    <w:p w14:paraId="343072D2" w14:textId="41B1B862" w:rsidR="00B408C7" w:rsidRPr="0046567B" w:rsidRDefault="00B408C7" w:rsidP="00B408C7">
      <w:pPr>
        <w:pStyle w:val="SingleTxt"/>
        <w:spacing w:after="0" w:line="120" w:lineRule="exact"/>
        <w:rPr>
          <w:sz w:val="10"/>
          <w:lang w:val="fr-FR"/>
        </w:rPr>
      </w:pPr>
    </w:p>
    <w:p w14:paraId="4B5BE2D7" w14:textId="0771F930" w:rsidR="00FC36AA" w:rsidRPr="0046567B" w:rsidRDefault="00FC36AA" w:rsidP="00B4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Participation et place des femmes dans l</w:t>
      </w:r>
      <w:r w:rsidR="00FB11B3" w:rsidRPr="0046567B">
        <w:rPr>
          <w:lang w:val="fr-FR" w:bidi="fr-FR"/>
        </w:rPr>
        <w:t>’</w:t>
      </w:r>
      <w:r w:rsidRPr="0046567B">
        <w:rPr>
          <w:lang w:val="fr-FR" w:bidi="fr-FR"/>
        </w:rPr>
        <w:t>économie</w:t>
      </w:r>
    </w:p>
    <w:p w14:paraId="50844A4F" w14:textId="7E238F9D" w:rsidR="00B408C7" w:rsidRPr="0046567B" w:rsidRDefault="00B408C7" w:rsidP="00B408C7">
      <w:pPr>
        <w:pStyle w:val="SingleTxt"/>
        <w:spacing w:after="0" w:line="120" w:lineRule="exact"/>
        <w:rPr>
          <w:sz w:val="10"/>
          <w:lang w:val="fr-FR" w:bidi="fr-FR"/>
        </w:rPr>
      </w:pPr>
    </w:p>
    <w:p w14:paraId="35496ED9" w14:textId="5D2E5B90" w:rsidR="00B408C7" w:rsidRPr="0046567B" w:rsidRDefault="00B408C7" w:rsidP="00B408C7">
      <w:pPr>
        <w:pStyle w:val="SingleTxt"/>
        <w:spacing w:after="0" w:line="120" w:lineRule="exact"/>
        <w:rPr>
          <w:sz w:val="10"/>
          <w:lang w:val="fr-FR" w:bidi="fr-FR"/>
        </w:rPr>
      </w:pPr>
    </w:p>
    <w:p w14:paraId="1F1A2F78" w14:textId="3787E095"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En</w:t>
      </w:r>
      <w:r w:rsidR="002A20B0" w:rsidRPr="0046567B">
        <w:rPr>
          <w:lang w:val="fr-FR" w:bidi="fr-FR"/>
        </w:rPr>
        <w:t xml:space="preserve"> </w:t>
      </w:r>
      <w:r w:rsidRPr="0046567B">
        <w:rPr>
          <w:lang w:val="fr-FR" w:bidi="fr-FR"/>
        </w:rPr>
        <w:t>2017, 51</w:t>
      </w:r>
      <w:r w:rsidR="00FB11B3" w:rsidRPr="0046567B">
        <w:rPr>
          <w:lang w:val="fr-FR" w:bidi="fr-FR"/>
        </w:rPr>
        <w:t> %</w:t>
      </w:r>
      <w:r w:rsidRPr="0046567B">
        <w:rPr>
          <w:lang w:val="fr-FR" w:bidi="fr-FR"/>
        </w:rPr>
        <w:t xml:space="preserve"> des femmes âgées de 15</w:t>
      </w:r>
      <w:r w:rsidR="002A20B0" w:rsidRPr="0046567B">
        <w:rPr>
          <w:lang w:val="fr-FR" w:bidi="fr-FR"/>
        </w:rPr>
        <w:t xml:space="preserve"> </w:t>
      </w:r>
      <w:r w:rsidRPr="0046567B">
        <w:rPr>
          <w:lang w:val="fr-FR" w:bidi="fr-FR"/>
        </w:rPr>
        <w:t>ans et plus faisaient partie de la population active, dont elles représentaient 45</w:t>
      </w:r>
      <w:r w:rsidR="00FB11B3" w:rsidRPr="0046567B">
        <w:rPr>
          <w:lang w:val="fr-FR" w:bidi="fr-FR"/>
        </w:rPr>
        <w:t> %</w:t>
      </w:r>
      <w:r w:rsidRPr="0046567B">
        <w:rPr>
          <w:lang w:val="fr-FR" w:bidi="fr-FR"/>
        </w:rPr>
        <w:t xml:space="preserve"> du total. Une grande partie des femmes actives se situe dans la tranche d</w:t>
      </w:r>
      <w:r w:rsidR="00FB11B3" w:rsidRPr="0046567B">
        <w:rPr>
          <w:lang w:val="fr-FR" w:bidi="fr-FR"/>
        </w:rPr>
        <w:t>’</w:t>
      </w:r>
      <w:r w:rsidRPr="0046567B">
        <w:rPr>
          <w:lang w:val="fr-FR" w:bidi="fr-FR"/>
        </w:rPr>
        <w:t>âge des 30-59</w:t>
      </w:r>
      <w:r w:rsidR="002A20B0" w:rsidRPr="0046567B">
        <w:rPr>
          <w:lang w:val="fr-FR" w:bidi="fr-FR"/>
        </w:rPr>
        <w:t xml:space="preserve"> </w:t>
      </w:r>
      <w:r w:rsidRPr="0046567B">
        <w:rPr>
          <w:lang w:val="fr-FR" w:bidi="fr-FR"/>
        </w:rPr>
        <w:t>ans, qui représente 33</w:t>
      </w:r>
      <w:r w:rsidR="00FB11B3" w:rsidRPr="0046567B">
        <w:rPr>
          <w:lang w:val="fr-FR" w:bidi="fr-FR"/>
        </w:rPr>
        <w:t> %</w:t>
      </w:r>
      <w:r w:rsidRPr="0046567B">
        <w:rPr>
          <w:lang w:val="fr-FR" w:bidi="fr-FR"/>
        </w:rPr>
        <w:t xml:space="preserve"> du total de la population active totale. Des statistiques détaillées sur la main-d</w:t>
      </w:r>
      <w:r w:rsidR="00FB11B3" w:rsidRPr="0046567B">
        <w:rPr>
          <w:lang w:val="fr-FR" w:bidi="fr-FR"/>
        </w:rPr>
        <w:t>’</w:t>
      </w:r>
      <w:r w:rsidRPr="0046567B">
        <w:rPr>
          <w:lang w:val="fr-FR" w:bidi="fr-FR"/>
        </w:rPr>
        <w:t>œuvre et le taux d</w:t>
      </w:r>
      <w:r w:rsidR="00FB11B3" w:rsidRPr="0046567B">
        <w:rPr>
          <w:lang w:val="fr-FR" w:bidi="fr-FR"/>
        </w:rPr>
        <w:t>’</w:t>
      </w:r>
      <w:r w:rsidRPr="0046567B">
        <w:rPr>
          <w:lang w:val="fr-FR" w:bidi="fr-FR"/>
        </w:rPr>
        <w:t>activité par sexe et par âge figurent à l</w:t>
      </w:r>
      <w:r w:rsidR="00FB11B3" w:rsidRPr="0046567B">
        <w:rPr>
          <w:lang w:val="fr-FR" w:bidi="fr-FR"/>
        </w:rPr>
        <w:t>’</w:t>
      </w:r>
      <w:r w:rsidRPr="0046567B">
        <w:rPr>
          <w:lang w:val="fr-FR" w:bidi="fr-FR"/>
        </w:rPr>
        <w:t>annexe</w:t>
      </w:r>
      <w:r w:rsidR="002A20B0" w:rsidRPr="0046567B">
        <w:rPr>
          <w:lang w:val="fr-FR" w:bidi="fr-FR"/>
        </w:rPr>
        <w:t xml:space="preserve"> </w:t>
      </w:r>
      <w:r w:rsidRPr="0046567B">
        <w:rPr>
          <w:lang w:val="fr-FR" w:bidi="fr-FR"/>
        </w:rPr>
        <w:t>11A et à l</w:t>
      </w:r>
      <w:r w:rsidR="00FB11B3" w:rsidRPr="0046567B">
        <w:rPr>
          <w:lang w:val="fr-FR" w:bidi="fr-FR"/>
        </w:rPr>
        <w:t>’</w:t>
      </w:r>
      <w:r w:rsidRPr="0046567B">
        <w:rPr>
          <w:lang w:val="fr-FR" w:bidi="fr-FR"/>
        </w:rPr>
        <w:t>annexe</w:t>
      </w:r>
      <w:r w:rsidR="002A20B0" w:rsidRPr="0046567B">
        <w:rPr>
          <w:lang w:val="fr-FR" w:bidi="fr-FR"/>
        </w:rPr>
        <w:t xml:space="preserve"> </w:t>
      </w:r>
      <w:r w:rsidRPr="0046567B">
        <w:rPr>
          <w:lang w:val="fr-FR" w:bidi="fr-FR"/>
        </w:rPr>
        <w:t>11B du présent rapport.</w:t>
      </w:r>
    </w:p>
    <w:p w14:paraId="4A9BCE82" w14:textId="1F50228E" w:rsidR="00FC36AA" w:rsidRPr="0046567B" w:rsidRDefault="00FC36AA" w:rsidP="00B408C7">
      <w:pPr>
        <w:pStyle w:val="SingleTxt"/>
        <w:numPr>
          <w:ilvl w:val="0"/>
          <w:numId w:val="32"/>
        </w:numPr>
        <w:spacing w:line="240" w:lineRule="exact"/>
        <w:ind w:left="1267" w:firstLine="0"/>
        <w:rPr>
          <w:lang w:val="fr-FR"/>
        </w:rPr>
      </w:pPr>
      <w:r w:rsidRPr="0046567B">
        <w:rPr>
          <w:lang w:val="fr-FR" w:bidi="fr-FR"/>
        </w:rPr>
        <w:t>Le taux de chômage des femmes est généralement inférieur à celui des hommes. En</w:t>
      </w:r>
      <w:r w:rsidR="002A20B0" w:rsidRPr="0046567B">
        <w:rPr>
          <w:lang w:val="fr-FR" w:bidi="fr-FR"/>
        </w:rPr>
        <w:t xml:space="preserve"> </w:t>
      </w:r>
      <w:r w:rsidRPr="0046567B">
        <w:rPr>
          <w:lang w:val="fr-FR" w:bidi="fr-FR"/>
        </w:rPr>
        <w:t>2017, les taux de chômage des femmes et des hommes étaient respectivement de 2,9</w:t>
      </w:r>
      <w:r w:rsidR="00FB11B3" w:rsidRPr="0046567B">
        <w:rPr>
          <w:lang w:val="fr-FR" w:bidi="fr-FR"/>
        </w:rPr>
        <w:t> %</w:t>
      </w:r>
      <w:r w:rsidRPr="0046567B">
        <w:rPr>
          <w:lang w:val="fr-FR" w:bidi="fr-FR"/>
        </w:rPr>
        <w:t xml:space="preserve"> et 3,4</w:t>
      </w:r>
      <w:r w:rsidR="00FB11B3" w:rsidRPr="0046567B">
        <w:rPr>
          <w:lang w:val="fr-FR" w:bidi="fr-FR"/>
        </w:rPr>
        <w:t> %</w:t>
      </w:r>
      <w:r w:rsidRPr="0046567B">
        <w:rPr>
          <w:lang w:val="fr-FR" w:bidi="fr-FR"/>
        </w:rPr>
        <w:t xml:space="preserve"> (annexe</w:t>
      </w:r>
      <w:r w:rsidR="002A20B0" w:rsidRPr="0046567B">
        <w:rPr>
          <w:lang w:val="fr-FR" w:bidi="fr-FR"/>
        </w:rPr>
        <w:t xml:space="preserve"> </w:t>
      </w:r>
      <w:r w:rsidRPr="0046567B">
        <w:rPr>
          <w:lang w:val="fr-FR" w:bidi="fr-FR"/>
        </w:rPr>
        <w:t>11C). Si l</w:t>
      </w:r>
      <w:r w:rsidR="00FB11B3" w:rsidRPr="0046567B">
        <w:rPr>
          <w:lang w:val="fr-FR" w:bidi="fr-FR"/>
        </w:rPr>
        <w:t>’</w:t>
      </w:r>
      <w:r w:rsidRPr="0046567B">
        <w:rPr>
          <w:lang w:val="fr-FR" w:bidi="fr-FR"/>
        </w:rPr>
        <w:t>on exclut le personnel domestique étranger (constitué en grande majorité de femmes), le taux de chômage des femmes était de 3,4</w:t>
      </w:r>
      <w:r w:rsidR="00FB11B3" w:rsidRPr="0046567B">
        <w:rPr>
          <w:lang w:val="fr-FR" w:bidi="fr-FR"/>
        </w:rPr>
        <w:t> %</w:t>
      </w:r>
      <w:r w:rsidRPr="0046567B">
        <w:rPr>
          <w:lang w:val="fr-FR" w:bidi="fr-FR"/>
        </w:rPr>
        <w:t>. L</w:t>
      </w:r>
      <w:r w:rsidR="00FB11B3" w:rsidRPr="0046567B">
        <w:rPr>
          <w:lang w:val="fr-FR" w:bidi="fr-FR"/>
        </w:rPr>
        <w:t>’</w:t>
      </w:r>
      <w:r w:rsidRPr="0046567B">
        <w:rPr>
          <w:lang w:val="fr-FR" w:bidi="fr-FR"/>
        </w:rPr>
        <w:t>écart entre les taux de chômage des hommes et des femmes s</w:t>
      </w:r>
      <w:r w:rsidR="00FB11B3" w:rsidRPr="0046567B">
        <w:rPr>
          <w:lang w:val="fr-FR" w:bidi="fr-FR"/>
        </w:rPr>
        <w:t>’</w:t>
      </w:r>
      <w:r w:rsidRPr="0046567B">
        <w:rPr>
          <w:lang w:val="fr-FR" w:bidi="fr-FR"/>
        </w:rPr>
        <w:t>est donc réduit.</w:t>
      </w:r>
    </w:p>
    <w:p w14:paraId="00655481" w14:textId="4A67824C" w:rsidR="00503CDF" w:rsidRPr="0046567B" w:rsidRDefault="00503CDF" w:rsidP="00503CDF">
      <w:pPr>
        <w:pStyle w:val="SingleTxt"/>
        <w:spacing w:after="0" w:line="120" w:lineRule="exact"/>
        <w:rPr>
          <w:sz w:val="10"/>
          <w:lang w:val="fr-FR" w:bidi="fr-FR"/>
        </w:rPr>
      </w:pPr>
    </w:p>
    <w:p w14:paraId="7FFE889B" w14:textId="62CB9938" w:rsidR="00503CDF" w:rsidRPr="0046567B" w:rsidRDefault="00503CDF" w:rsidP="00503CDF">
      <w:pPr>
        <w:pStyle w:val="SingleTxt"/>
        <w:spacing w:after="0" w:line="120" w:lineRule="exact"/>
        <w:rPr>
          <w:sz w:val="10"/>
          <w:lang w:val="fr-FR"/>
        </w:rPr>
      </w:pPr>
    </w:p>
    <w:p w14:paraId="564E28BE" w14:textId="2E21D05A" w:rsidR="00FC36AA" w:rsidRPr="0046567B" w:rsidRDefault="00FC36AA" w:rsidP="00503C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r>
      <w:r w:rsidRPr="0046567B">
        <w:rPr>
          <w:szCs w:val="20"/>
          <w:lang w:val="fr-FR" w:bidi="fr-FR"/>
        </w:rPr>
        <w:t>Législation</w:t>
      </w:r>
      <w:r w:rsidRPr="0046567B">
        <w:rPr>
          <w:lang w:val="fr-FR" w:bidi="fr-FR"/>
        </w:rPr>
        <w:t xml:space="preserve"> contre la discrimination dans l</w:t>
      </w:r>
      <w:r w:rsidR="00FB11B3" w:rsidRPr="0046567B">
        <w:rPr>
          <w:lang w:val="fr-FR" w:bidi="fr-FR"/>
        </w:rPr>
        <w:t>’</w:t>
      </w:r>
      <w:r w:rsidRPr="0046567B">
        <w:rPr>
          <w:lang w:val="fr-FR" w:bidi="fr-FR"/>
        </w:rPr>
        <w:t>emploi</w:t>
      </w:r>
    </w:p>
    <w:p w14:paraId="0C5C0B41" w14:textId="422886CB" w:rsidR="00503CDF" w:rsidRPr="0046567B" w:rsidRDefault="00503CDF" w:rsidP="00503CDF">
      <w:pPr>
        <w:pStyle w:val="SingleTxt"/>
        <w:spacing w:after="0" w:line="120" w:lineRule="exact"/>
        <w:rPr>
          <w:sz w:val="10"/>
          <w:lang w:val="fr-FR" w:bidi="fr-FR"/>
        </w:rPr>
      </w:pPr>
    </w:p>
    <w:p w14:paraId="27C7ECD8" w14:textId="772FFB47" w:rsidR="00503CDF" w:rsidRPr="0046567B" w:rsidRDefault="00503CDF" w:rsidP="00503CDF">
      <w:pPr>
        <w:pStyle w:val="SingleTxt"/>
        <w:spacing w:after="0" w:line="120" w:lineRule="exact"/>
        <w:rPr>
          <w:sz w:val="10"/>
          <w:lang w:val="fr-FR" w:bidi="fr-FR"/>
        </w:rPr>
      </w:pPr>
    </w:p>
    <w:p w14:paraId="0F7DE0DC" w14:textId="38FAE551"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Égalité des droits et des chances en matière d</w:t>
      </w:r>
      <w:r w:rsidR="00FB11B3" w:rsidRPr="0046567B">
        <w:rPr>
          <w:lang w:val="fr-FR" w:bidi="fr-FR"/>
        </w:rPr>
        <w:t>’</w:t>
      </w:r>
      <w:r w:rsidRPr="0046567B">
        <w:rPr>
          <w:lang w:val="fr-FR" w:bidi="fr-FR"/>
        </w:rPr>
        <w:t>emploi</w:t>
      </w:r>
    </w:p>
    <w:p w14:paraId="741B0C28" w14:textId="4CAE4980" w:rsidR="00503CDF" w:rsidRPr="0046567B" w:rsidRDefault="00503CDF" w:rsidP="00503CDF">
      <w:pPr>
        <w:pStyle w:val="SingleTxt"/>
        <w:spacing w:after="0" w:line="120" w:lineRule="exact"/>
        <w:rPr>
          <w:sz w:val="10"/>
          <w:lang w:val="fr-FR" w:bidi="fr-FR"/>
        </w:rPr>
      </w:pPr>
    </w:p>
    <w:p w14:paraId="6B28179C" w14:textId="55F7C740"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Le dispositif de protection légale contre la discrimination dans l</w:t>
      </w:r>
      <w:r w:rsidR="00FB11B3" w:rsidRPr="0046567B">
        <w:rPr>
          <w:lang w:val="fr-FR" w:bidi="fr-FR"/>
        </w:rPr>
        <w:t>’</w:t>
      </w:r>
      <w:r w:rsidRPr="0046567B">
        <w:rPr>
          <w:lang w:val="fr-FR" w:bidi="fr-FR"/>
        </w:rPr>
        <w:t>emploi n</w:t>
      </w:r>
      <w:r w:rsidR="00FB11B3" w:rsidRPr="0046567B">
        <w:rPr>
          <w:lang w:val="fr-FR" w:bidi="fr-FR"/>
        </w:rPr>
        <w:t>’</w:t>
      </w:r>
      <w:r w:rsidRPr="0046567B">
        <w:rPr>
          <w:lang w:val="fr-FR" w:bidi="fr-FR"/>
        </w:rPr>
        <w:t>a pas été modifié. Les femmes jouissent généralement des mêmes droits que les hommes au sein de la population active pour occuper l</w:t>
      </w:r>
      <w:r w:rsidR="00FB11B3" w:rsidRPr="0046567B">
        <w:rPr>
          <w:lang w:val="fr-FR" w:bidi="fr-FR"/>
        </w:rPr>
        <w:t>’</w:t>
      </w:r>
      <w:r w:rsidRPr="0046567B">
        <w:rPr>
          <w:lang w:val="fr-FR" w:bidi="fr-FR"/>
        </w:rPr>
        <w:t>emploi de leur choix. Ces droits sont également protégés et garantis par l</w:t>
      </w:r>
      <w:r w:rsidR="00FB11B3" w:rsidRPr="0046567B">
        <w:rPr>
          <w:lang w:val="fr-FR" w:bidi="fr-FR"/>
        </w:rPr>
        <w:t>’</w:t>
      </w:r>
      <w:r w:rsidRPr="0046567B">
        <w:rPr>
          <w:lang w:val="fr-FR" w:bidi="fr-FR"/>
        </w:rPr>
        <w:t>ordonnance sur la discrimination sexuelle.</w:t>
      </w:r>
    </w:p>
    <w:p w14:paraId="773D06AA" w14:textId="6DEA14D8" w:rsidR="00503CDF" w:rsidRPr="0046567B" w:rsidRDefault="00503CDF" w:rsidP="00503CDF">
      <w:pPr>
        <w:pStyle w:val="SingleTxt"/>
        <w:spacing w:after="0" w:line="120" w:lineRule="exact"/>
        <w:rPr>
          <w:sz w:val="10"/>
          <w:lang w:val="fr-FR"/>
        </w:rPr>
      </w:pPr>
    </w:p>
    <w:p w14:paraId="7C1EA4A5" w14:textId="306A6DE3"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Discrimination fondée sur le statut marital, la grossesse et l</w:t>
      </w:r>
      <w:r w:rsidR="00FB11B3" w:rsidRPr="0046567B">
        <w:rPr>
          <w:lang w:val="fr-FR" w:bidi="fr-FR"/>
        </w:rPr>
        <w:t>’</w:t>
      </w:r>
      <w:r w:rsidRPr="0046567B">
        <w:rPr>
          <w:lang w:val="fr-FR" w:bidi="fr-FR"/>
        </w:rPr>
        <w:t>allaitement</w:t>
      </w:r>
    </w:p>
    <w:p w14:paraId="1AAD55C0" w14:textId="06BF56A2" w:rsidR="00503CDF" w:rsidRPr="0046567B" w:rsidRDefault="00503CDF" w:rsidP="00503CDF">
      <w:pPr>
        <w:pStyle w:val="SingleTxt"/>
        <w:spacing w:after="0" w:line="120" w:lineRule="exact"/>
        <w:rPr>
          <w:sz w:val="10"/>
          <w:lang w:val="fr-FR" w:bidi="fr-FR"/>
        </w:rPr>
      </w:pPr>
    </w:p>
    <w:p w14:paraId="3E9F3A37" w14:textId="2A255FF2"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La protection contre la discrimination fondée sur le statut marital et la grossesse garantie par l</w:t>
      </w:r>
      <w:r w:rsidR="00FB11B3" w:rsidRPr="0046567B">
        <w:rPr>
          <w:lang w:val="fr-FR" w:bidi="fr-FR"/>
        </w:rPr>
        <w:t>’</w:t>
      </w:r>
      <w:r w:rsidRPr="0046567B">
        <w:rPr>
          <w:lang w:val="fr-FR" w:bidi="fr-FR"/>
        </w:rPr>
        <w:t>ordonnance sur la discrimination sexuelle et par l</w:t>
      </w:r>
      <w:r w:rsidR="00FB11B3" w:rsidRPr="0046567B">
        <w:rPr>
          <w:lang w:val="fr-FR" w:bidi="fr-FR"/>
        </w:rPr>
        <w:t>’</w:t>
      </w:r>
      <w:r w:rsidRPr="0046567B">
        <w:rPr>
          <w:lang w:val="fr-FR" w:bidi="fr-FR"/>
        </w:rPr>
        <w:t>ordonnance sur la discrimination fondée sur le statut familial demeure telle qu</w:t>
      </w:r>
      <w:r w:rsidR="00FB11B3" w:rsidRPr="0046567B">
        <w:rPr>
          <w:lang w:val="fr-FR" w:bidi="fr-FR"/>
        </w:rPr>
        <w:t>’</w:t>
      </w:r>
      <w:r w:rsidRPr="0046567B">
        <w:rPr>
          <w:lang w:val="fr-FR" w:bidi="fr-FR"/>
        </w:rPr>
        <w:t>exposée au paragraphe</w:t>
      </w:r>
      <w:r w:rsidR="00F2347E" w:rsidRPr="0046567B">
        <w:rPr>
          <w:lang w:val="fr-FR" w:bidi="fr-FR"/>
        </w:rPr>
        <w:t> </w:t>
      </w:r>
      <w:r w:rsidRPr="0046567B">
        <w:rPr>
          <w:lang w:val="fr-FR" w:bidi="fr-FR"/>
        </w:rPr>
        <w:t>11.10 du rapport précédent.</w:t>
      </w:r>
    </w:p>
    <w:p w14:paraId="7D891596" w14:textId="762CBFDE"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Outre l</w:t>
      </w:r>
      <w:r w:rsidR="00FB11B3" w:rsidRPr="0046567B">
        <w:rPr>
          <w:lang w:val="fr-FR" w:bidi="fr-FR"/>
        </w:rPr>
        <w:t>’</w:t>
      </w:r>
      <w:r w:rsidRPr="0046567B">
        <w:rPr>
          <w:lang w:val="fr-FR" w:bidi="fr-FR"/>
        </w:rPr>
        <w:t>ordonnance sur la discrimination sexuelle et l</w:t>
      </w:r>
      <w:r w:rsidR="00FB11B3" w:rsidRPr="0046567B">
        <w:rPr>
          <w:lang w:val="fr-FR" w:bidi="fr-FR"/>
        </w:rPr>
        <w:t>’</w:t>
      </w:r>
      <w:r w:rsidRPr="0046567B">
        <w:rPr>
          <w:lang w:val="fr-FR" w:bidi="fr-FR"/>
        </w:rPr>
        <w:t>ordonnance sur la discrimination fondée sur le statut familial, l</w:t>
      </w:r>
      <w:r w:rsidR="00FB11B3" w:rsidRPr="0046567B">
        <w:rPr>
          <w:lang w:val="fr-FR" w:bidi="fr-FR"/>
        </w:rPr>
        <w:t>’</w:t>
      </w:r>
      <w:r w:rsidRPr="0046567B">
        <w:rPr>
          <w:lang w:val="fr-FR" w:bidi="fr-FR"/>
        </w:rPr>
        <w:t>ordonnance relative à l</w:t>
      </w:r>
      <w:r w:rsidR="00FB11B3" w:rsidRPr="0046567B">
        <w:rPr>
          <w:lang w:val="fr-FR" w:bidi="fr-FR"/>
        </w:rPr>
        <w:t>’</w:t>
      </w:r>
      <w:r w:rsidRPr="0046567B">
        <w:rPr>
          <w:lang w:val="fr-FR" w:bidi="fr-FR"/>
        </w:rPr>
        <w:t>emploi (chap.</w:t>
      </w:r>
      <w:r w:rsidR="00F2347E" w:rsidRPr="0046567B">
        <w:rPr>
          <w:lang w:val="fr-FR" w:bidi="fr-FR"/>
        </w:rPr>
        <w:t> </w:t>
      </w:r>
      <w:r w:rsidRPr="0046567B">
        <w:rPr>
          <w:lang w:val="fr-FR" w:bidi="fr-FR"/>
        </w:rPr>
        <w:t>57) garantit une protection contre le licenciement durant la grossesse et le congé de maternité. À cet égard, la position du Gouvernement demeure identique à celle présentée au paragraphe</w:t>
      </w:r>
      <w:r w:rsidR="002A20B0" w:rsidRPr="0046567B">
        <w:rPr>
          <w:lang w:val="fr-FR" w:bidi="fr-FR"/>
        </w:rPr>
        <w:t xml:space="preserve"> </w:t>
      </w:r>
      <w:r w:rsidRPr="0046567B">
        <w:rPr>
          <w:lang w:val="fr-FR" w:bidi="fr-FR"/>
        </w:rPr>
        <w:t>223 du rapport précédent.</w:t>
      </w:r>
    </w:p>
    <w:p w14:paraId="4F2AE539" w14:textId="3BA89F83" w:rsidR="00503CDF" w:rsidRPr="0046567B" w:rsidRDefault="00503CDF" w:rsidP="00503CDF">
      <w:pPr>
        <w:pStyle w:val="SingleTxt"/>
        <w:spacing w:after="0" w:line="120" w:lineRule="exact"/>
        <w:rPr>
          <w:sz w:val="10"/>
          <w:lang w:val="fr-FR" w:bidi="fr-FR"/>
        </w:rPr>
      </w:pPr>
    </w:p>
    <w:p w14:paraId="0F0E11E2" w14:textId="32319E13"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Harcèlement sexuel</w:t>
      </w:r>
    </w:p>
    <w:p w14:paraId="3489FA2C" w14:textId="2C4F3776" w:rsidR="00503CDF" w:rsidRPr="0046567B" w:rsidRDefault="00503CDF" w:rsidP="00503CDF">
      <w:pPr>
        <w:pStyle w:val="SingleTxt"/>
        <w:spacing w:after="0" w:line="120" w:lineRule="exact"/>
        <w:rPr>
          <w:sz w:val="10"/>
          <w:lang w:val="fr-FR" w:bidi="fr-FR"/>
        </w:rPr>
      </w:pPr>
    </w:p>
    <w:p w14:paraId="29D0BE47" w14:textId="3DE98965"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Comme indiqué au paragraphe</w:t>
      </w:r>
      <w:r w:rsidR="002A20B0" w:rsidRPr="0046567B">
        <w:rPr>
          <w:lang w:val="fr-FR" w:bidi="fr-FR"/>
        </w:rPr>
        <w:t xml:space="preserve"> </w:t>
      </w:r>
      <w:r w:rsidRPr="0046567B">
        <w:rPr>
          <w:lang w:val="fr-FR" w:bidi="fr-FR"/>
        </w:rPr>
        <w:t>12, le Gouvernement a étendu la protection et la portée territoriale de l</w:t>
      </w:r>
      <w:r w:rsidR="00FB11B3" w:rsidRPr="0046567B">
        <w:rPr>
          <w:lang w:val="fr-FR" w:bidi="fr-FR"/>
        </w:rPr>
        <w:t>’</w:t>
      </w:r>
      <w:r w:rsidRPr="0046567B">
        <w:rPr>
          <w:lang w:val="fr-FR" w:bidi="fr-FR"/>
        </w:rPr>
        <w:t>ordonnance sur la discrimination sexuelle à travers l</w:t>
      </w:r>
      <w:r w:rsidR="00FB11B3" w:rsidRPr="0046567B">
        <w:rPr>
          <w:lang w:val="fr-FR" w:bidi="fr-FR"/>
        </w:rPr>
        <w:t>’</w:t>
      </w:r>
      <w:r w:rsidRPr="0046567B">
        <w:rPr>
          <w:lang w:val="fr-FR" w:bidi="fr-FR"/>
        </w:rPr>
        <w:t>ordonnance amendée de</w:t>
      </w:r>
      <w:r w:rsidR="002A20B0" w:rsidRPr="0046567B">
        <w:rPr>
          <w:lang w:val="fr-FR" w:bidi="fr-FR"/>
        </w:rPr>
        <w:t xml:space="preserve"> </w:t>
      </w:r>
      <w:r w:rsidRPr="0046567B">
        <w:rPr>
          <w:lang w:val="fr-FR" w:bidi="fr-FR"/>
        </w:rPr>
        <w:t>2014 sur la discrimination sexuelle.</w:t>
      </w:r>
    </w:p>
    <w:p w14:paraId="45C46667" w14:textId="1A99578F" w:rsidR="00503CDF" w:rsidRPr="0046567B" w:rsidRDefault="00503CDF" w:rsidP="00503CDF">
      <w:pPr>
        <w:pStyle w:val="SingleTxt"/>
        <w:spacing w:after="0" w:line="120" w:lineRule="exact"/>
        <w:rPr>
          <w:sz w:val="10"/>
          <w:lang w:val="fr-FR" w:bidi="fr-FR"/>
        </w:rPr>
      </w:pPr>
    </w:p>
    <w:p w14:paraId="482085F4" w14:textId="4BDB40BB"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Congé de maternité et rémunération du congé de maternité</w:t>
      </w:r>
    </w:p>
    <w:p w14:paraId="354F2E4F" w14:textId="39B06783" w:rsidR="00503CDF" w:rsidRPr="0046567B" w:rsidRDefault="00503CDF" w:rsidP="00503CDF">
      <w:pPr>
        <w:pStyle w:val="SingleTxt"/>
        <w:spacing w:after="0" w:line="120" w:lineRule="exact"/>
        <w:rPr>
          <w:sz w:val="10"/>
          <w:lang w:val="fr-FR" w:bidi="fr-FR"/>
        </w:rPr>
      </w:pPr>
    </w:p>
    <w:p w14:paraId="22BFCB84" w14:textId="6E8BA93F"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Nous prenons note de l</w:t>
      </w:r>
      <w:r w:rsidR="00FB11B3" w:rsidRPr="0046567B">
        <w:rPr>
          <w:lang w:val="fr-FR" w:bidi="fr-FR"/>
        </w:rPr>
        <w:t>’</w:t>
      </w:r>
      <w:r w:rsidRPr="0046567B">
        <w:rPr>
          <w:lang w:val="fr-FR" w:bidi="fr-FR"/>
        </w:rPr>
        <w:t>avis du Comité figurant aux paragraphes</w:t>
      </w:r>
      <w:r w:rsidR="002A20B0" w:rsidRPr="0046567B">
        <w:rPr>
          <w:lang w:val="fr-FR" w:bidi="fr-FR"/>
        </w:rPr>
        <w:t xml:space="preserve"> </w:t>
      </w:r>
      <w:r w:rsidRPr="0046567B">
        <w:rPr>
          <w:lang w:val="fr-FR" w:bidi="fr-FR"/>
        </w:rPr>
        <w:t>62 et</w:t>
      </w:r>
      <w:r w:rsidR="002A20B0" w:rsidRPr="0046567B">
        <w:rPr>
          <w:lang w:val="fr-FR" w:bidi="fr-FR"/>
        </w:rPr>
        <w:t xml:space="preserve"> </w:t>
      </w:r>
      <w:r w:rsidRPr="0046567B">
        <w:rPr>
          <w:lang w:val="fr-FR" w:bidi="fr-FR"/>
        </w:rPr>
        <w:t>63 de ses précédentes observations finales concernant le congé de maternité. Afin d</w:t>
      </w:r>
      <w:r w:rsidR="00FB11B3" w:rsidRPr="0046567B">
        <w:rPr>
          <w:lang w:val="fr-FR" w:bidi="fr-FR"/>
        </w:rPr>
        <w:t>’</w:t>
      </w:r>
      <w:r w:rsidRPr="0046567B">
        <w:rPr>
          <w:lang w:val="fr-FR" w:bidi="fr-FR"/>
        </w:rPr>
        <w:t>améliorer les prestations de maternité pour les femmes salariées, comme annoncé dans le discours de politique de</w:t>
      </w:r>
      <w:r w:rsidR="002A20B0" w:rsidRPr="0046567B">
        <w:rPr>
          <w:lang w:val="fr-FR" w:bidi="fr-FR"/>
        </w:rPr>
        <w:t xml:space="preserve"> </w:t>
      </w:r>
      <w:r w:rsidRPr="0046567B">
        <w:rPr>
          <w:lang w:val="fr-FR" w:bidi="fr-FR"/>
        </w:rPr>
        <w:t>2017, le Gouvernement conduit actuellement une étude visant à améliorer le congé de maternité prévu par la loi. Ce réexamen du texte tiendra compte à la fois des besoins des femmes qui occupent un emploi mais aussi des possibilités financières des entreprises et s</w:t>
      </w:r>
      <w:r w:rsidR="00FB11B3" w:rsidRPr="0046567B">
        <w:rPr>
          <w:lang w:val="fr-FR" w:bidi="fr-FR"/>
        </w:rPr>
        <w:t>’</w:t>
      </w:r>
      <w:r w:rsidRPr="0046567B">
        <w:rPr>
          <w:lang w:val="fr-FR" w:bidi="fr-FR"/>
        </w:rPr>
        <w:t>inspirera également des normes internationales et des prestations de maternité d</w:t>
      </w:r>
      <w:r w:rsidR="00FB11B3" w:rsidRPr="0046567B">
        <w:rPr>
          <w:lang w:val="fr-FR" w:bidi="fr-FR"/>
        </w:rPr>
        <w:t>’</w:t>
      </w:r>
      <w:r w:rsidRPr="0046567B">
        <w:rPr>
          <w:lang w:val="fr-FR" w:bidi="fr-FR"/>
        </w:rPr>
        <w:t>autres pays.</w:t>
      </w:r>
    </w:p>
    <w:p w14:paraId="39F5A08C" w14:textId="1F1CEDBB" w:rsidR="00503CDF" w:rsidRPr="0046567B" w:rsidRDefault="00503CDF" w:rsidP="00503CDF">
      <w:pPr>
        <w:pStyle w:val="SingleTxt"/>
        <w:spacing w:after="0" w:line="120" w:lineRule="exact"/>
        <w:rPr>
          <w:sz w:val="10"/>
          <w:lang w:val="fr-FR" w:bidi="fr-FR"/>
        </w:rPr>
      </w:pPr>
    </w:p>
    <w:p w14:paraId="32EF53AE" w14:textId="6661A491"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Congé de paternité</w:t>
      </w:r>
    </w:p>
    <w:p w14:paraId="4AF34F2D" w14:textId="73315EE4" w:rsidR="00503CDF" w:rsidRPr="0046567B" w:rsidRDefault="00503CDF" w:rsidP="00503CDF">
      <w:pPr>
        <w:pStyle w:val="SingleTxt"/>
        <w:spacing w:after="0" w:line="120" w:lineRule="exact"/>
        <w:rPr>
          <w:sz w:val="10"/>
          <w:lang w:val="fr-FR" w:bidi="fr-FR"/>
        </w:rPr>
      </w:pPr>
    </w:p>
    <w:p w14:paraId="226A140D" w14:textId="74042EA3"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Depuis le 27</w:t>
      </w:r>
      <w:r w:rsidR="002A20B0" w:rsidRPr="0046567B">
        <w:rPr>
          <w:lang w:val="fr-FR" w:bidi="fr-FR"/>
        </w:rPr>
        <w:t xml:space="preserve"> </w:t>
      </w:r>
      <w:r w:rsidRPr="0046567B">
        <w:rPr>
          <w:lang w:val="fr-FR" w:bidi="fr-FR"/>
        </w:rPr>
        <w:t>février</w:t>
      </w:r>
      <w:r w:rsidR="002A20B0" w:rsidRPr="0046567B">
        <w:rPr>
          <w:lang w:val="fr-FR" w:bidi="fr-FR"/>
        </w:rPr>
        <w:t xml:space="preserve"> </w:t>
      </w:r>
      <w:r w:rsidRPr="0046567B">
        <w:rPr>
          <w:lang w:val="fr-FR" w:bidi="fr-FR"/>
        </w:rPr>
        <w:t>2015, les employés de sexe masculin concernés ont droit à 3</w:t>
      </w:r>
      <w:r w:rsidR="002A20B0" w:rsidRPr="0046567B">
        <w:rPr>
          <w:lang w:val="fr-FR" w:bidi="fr-FR"/>
        </w:rPr>
        <w:t xml:space="preserve"> </w:t>
      </w:r>
      <w:r w:rsidRPr="0046567B">
        <w:rPr>
          <w:lang w:val="fr-FR" w:bidi="fr-FR"/>
        </w:rPr>
        <w:t>jours de congé de paternité, à prendre consécutivement ou séparément à l</w:t>
      </w:r>
      <w:r w:rsidR="00FB11B3" w:rsidRPr="0046567B">
        <w:rPr>
          <w:lang w:val="fr-FR" w:bidi="fr-FR"/>
        </w:rPr>
        <w:t>’</w:t>
      </w:r>
      <w:r w:rsidRPr="0046567B">
        <w:rPr>
          <w:lang w:val="fr-FR" w:bidi="fr-FR"/>
        </w:rPr>
        <w:t>occasion de chaque accouchement de leur conjointe ou de leur partenaire</w:t>
      </w:r>
      <w:r w:rsidRPr="0046567B">
        <w:rPr>
          <w:rFonts w:hint="eastAsia"/>
          <w:lang w:val="fr-FR" w:bidi="fr-FR"/>
        </w:rPr>
        <w:t xml:space="preserve">. </w:t>
      </w:r>
      <w:r w:rsidRPr="0046567B">
        <w:rPr>
          <w:lang w:val="fr-FR" w:bidi="fr-FR"/>
        </w:rPr>
        <w:t>Le congé de paternité est rémunéré à un taux journalier correspondant à quatre cinquièmes de leur salaire moyen s</w:t>
      </w:r>
      <w:r w:rsidR="00FB11B3" w:rsidRPr="0046567B">
        <w:rPr>
          <w:lang w:val="fr-FR" w:bidi="fr-FR"/>
        </w:rPr>
        <w:t>’</w:t>
      </w:r>
      <w:r w:rsidRPr="0046567B">
        <w:rPr>
          <w:lang w:val="fr-FR" w:bidi="fr-FR"/>
        </w:rPr>
        <w:t>ils remplissent par ailleurs d</w:t>
      </w:r>
      <w:r w:rsidR="00FB11B3" w:rsidRPr="0046567B">
        <w:rPr>
          <w:lang w:val="fr-FR" w:bidi="fr-FR"/>
        </w:rPr>
        <w:t>’</w:t>
      </w:r>
      <w:r w:rsidRPr="0046567B">
        <w:rPr>
          <w:lang w:val="fr-FR" w:bidi="fr-FR"/>
        </w:rPr>
        <w:t>autres conditions prévues par la loi.</w:t>
      </w:r>
    </w:p>
    <w:p w14:paraId="5A900865" w14:textId="229307C8"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Certaines des personnes consultées ont salué l</w:t>
      </w:r>
      <w:r w:rsidR="00FB11B3" w:rsidRPr="0046567B">
        <w:rPr>
          <w:lang w:val="fr-FR" w:bidi="fr-FR"/>
        </w:rPr>
        <w:t>’</w:t>
      </w:r>
      <w:r w:rsidRPr="0046567B">
        <w:rPr>
          <w:lang w:val="fr-FR" w:bidi="fr-FR"/>
        </w:rPr>
        <w:t>introduction du congé de paternité mais ont suggéré qu</w:t>
      </w:r>
      <w:r w:rsidR="00FB11B3" w:rsidRPr="0046567B">
        <w:rPr>
          <w:lang w:val="fr-FR" w:bidi="fr-FR"/>
        </w:rPr>
        <w:t>’</w:t>
      </w:r>
      <w:r w:rsidRPr="0046567B">
        <w:rPr>
          <w:lang w:val="fr-FR" w:bidi="fr-FR"/>
        </w:rPr>
        <w:t xml:space="preserve">il soit encore </w:t>
      </w:r>
      <w:r w:rsidRPr="0046567B">
        <w:rPr>
          <w:rFonts w:hint="eastAsia"/>
          <w:lang w:val="fr-FR" w:bidi="fr-FR"/>
        </w:rPr>
        <w:t>étendu</w:t>
      </w:r>
      <w:r w:rsidRPr="0046567B">
        <w:rPr>
          <w:lang w:val="fr-FR" w:bidi="fr-FR"/>
        </w:rPr>
        <w:t>. Comme annoncé dans le discours de politique de</w:t>
      </w:r>
      <w:r w:rsidR="002A20B0" w:rsidRPr="0046567B">
        <w:rPr>
          <w:lang w:val="fr-FR" w:bidi="fr-FR"/>
        </w:rPr>
        <w:t xml:space="preserve"> </w:t>
      </w:r>
      <w:r w:rsidRPr="0046567B">
        <w:rPr>
          <w:lang w:val="fr-FR" w:bidi="fr-FR"/>
        </w:rPr>
        <w:t>2017, le Gouvernement a proposé d</w:t>
      </w:r>
      <w:r w:rsidR="00FB11B3" w:rsidRPr="0046567B">
        <w:rPr>
          <w:lang w:val="fr-FR" w:bidi="fr-FR"/>
        </w:rPr>
        <w:t>’</w:t>
      </w:r>
      <w:r w:rsidRPr="0046567B">
        <w:rPr>
          <w:lang w:val="fr-FR" w:bidi="fr-FR"/>
        </w:rPr>
        <w:t>étendre la durée du congé de paternité prévu par la loi à cinq jours. Le Conseil consultatif du travail</w:t>
      </w:r>
      <w:r w:rsidRPr="0046567B">
        <w:rPr>
          <w:rStyle w:val="FootnoteReference"/>
          <w:sz w:val="20"/>
          <w:szCs w:val="20"/>
          <w:lang w:val="fr-FR" w:bidi="fr-FR"/>
        </w:rPr>
        <w:footnoteReference w:id="2"/>
      </w:r>
      <w:r w:rsidRPr="0046567B">
        <w:rPr>
          <w:lang w:val="fr-FR" w:bidi="fr-FR"/>
        </w:rPr>
        <w:t xml:space="preserve"> et le Groupe de travail du Conseil législatif sur la main-d</w:t>
      </w:r>
      <w:r w:rsidR="00FB11B3" w:rsidRPr="0046567B">
        <w:rPr>
          <w:lang w:val="fr-FR" w:bidi="fr-FR"/>
        </w:rPr>
        <w:t>’</w:t>
      </w:r>
      <w:r w:rsidRPr="0046567B">
        <w:rPr>
          <w:lang w:val="fr-FR" w:bidi="fr-FR"/>
        </w:rPr>
        <w:t>œuvre ont soutenu cette proposition. En juin</w:t>
      </w:r>
      <w:r w:rsidR="002A20B0" w:rsidRPr="0046567B">
        <w:rPr>
          <w:lang w:val="fr-FR" w:bidi="fr-FR"/>
        </w:rPr>
        <w:t xml:space="preserve"> </w:t>
      </w:r>
      <w:r w:rsidRPr="0046567B">
        <w:rPr>
          <w:lang w:val="fr-FR" w:bidi="fr-FR"/>
        </w:rPr>
        <w:t>2018, le Gouvernement a présenté un projet de loi au Conseil législatif visant à porter le congé de paternité prévu par la loi à cinq jours.</w:t>
      </w:r>
    </w:p>
    <w:p w14:paraId="6430DD09" w14:textId="419C9FED" w:rsidR="00503CDF" w:rsidRPr="0046567B" w:rsidRDefault="00503CDF" w:rsidP="00503CDF">
      <w:pPr>
        <w:pStyle w:val="SingleTxt"/>
        <w:spacing w:after="0" w:line="120" w:lineRule="exact"/>
        <w:rPr>
          <w:sz w:val="10"/>
          <w:lang w:val="fr-FR" w:bidi="fr-FR"/>
        </w:rPr>
      </w:pPr>
    </w:p>
    <w:p w14:paraId="629EE414" w14:textId="38D70816"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Protection des travailleuses et travailleurs à temps partiel ou occasionnels</w:t>
      </w:r>
    </w:p>
    <w:p w14:paraId="2C5E17F3" w14:textId="30C98498" w:rsidR="00503CDF" w:rsidRPr="0046567B" w:rsidRDefault="00503CDF" w:rsidP="00503CDF">
      <w:pPr>
        <w:pStyle w:val="SingleTxt"/>
        <w:spacing w:after="0" w:line="120" w:lineRule="exact"/>
        <w:rPr>
          <w:sz w:val="10"/>
          <w:lang w:val="fr-FR" w:bidi="fr-FR"/>
        </w:rPr>
      </w:pPr>
    </w:p>
    <w:p w14:paraId="04A0C7DC" w14:textId="7F8067EC"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La protection des travailleuses et travailleurs à temps partiel ou occasionnels garantie par l</w:t>
      </w:r>
      <w:r w:rsidR="00FB11B3" w:rsidRPr="0046567B">
        <w:rPr>
          <w:lang w:val="fr-FR" w:bidi="fr-FR"/>
        </w:rPr>
        <w:t>’</w:t>
      </w:r>
      <w:r w:rsidRPr="0046567B">
        <w:rPr>
          <w:lang w:val="fr-FR" w:bidi="fr-FR"/>
        </w:rPr>
        <w:t>ordonnance relative à l</w:t>
      </w:r>
      <w:r w:rsidR="00FB11B3" w:rsidRPr="0046567B">
        <w:rPr>
          <w:lang w:val="fr-FR" w:bidi="fr-FR"/>
        </w:rPr>
        <w:t>’</w:t>
      </w:r>
      <w:r w:rsidRPr="0046567B">
        <w:rPr>
          <w:lang w:val="fr-FR" w:bidi="fr-FR"/>
        </w:rPr>
        <w:t>emploi demeure identique à celle exposée au paragraphe</w:t>
      </w:r>
      <w:r w:rsidR="002A20B0" w:rsidRPr="0046567B">
        <w:rPr>
          <w:lang w:val="fr-FR" w:bidi="fr-FR"/>
        </w:rPr>
        <w:t xml:space="preserve"> </w:t>
      </w:r>
      <w:r w:rsidRPr="0046567B">
        <w:rPr>
          <w:lang w:val="fr-FR" w:bidi="fr-FR"/>
        </w:rPr>
        <w:t>231 du rapport précédent.</w:t>
      </w:r>
    </w:p>
    <w:p w14:paraId="271FE850" w14:textId="3100E5EB"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Comme indiqué au Comité, aux paragraphes</w:t>
      </w:r>
      <w:r w:rsidR="002A20B0" w:rsidRPr="0046567B">
        <w:rPr>
          <w:lang w:val="fr-FR" w:bidi="fr-FR"/>
        </w:rPr>
        <w:t xml:space="preserve"> </w:t>
      </w:r>
      <w:r w:rsidRPr="0046567B">
        <w:rPr>
          <w:lang w:val="fr-FR" w:bidi="fr-FR"/>
        </w:rPr>
        <w:t xml:space="preserve">232 et 233 du rapport précédent, le </w:t>
      </w:r>
      <w:r w:rsidRPr="0046567B">
        <w:rPr>
          <w:szCs w:val="20"/>
          <w:lang w:val="fr-FR" w:bidi="fr-FR"/>
        </w:rPr>
        <w:t>Gouvernement</w:t>
      </w:r>
      <w:r w:rsidRPr="0046567B">
        <w:rPr>
          <w:lang w:val="fr-FR" w:bidi="fr-FR"/>
        </w:rPr>
        <w:t xml:space="preserve"> a examiné l</w:t>
      </w:r>
      <w:r w:rsidR="00FB11B3" w:rsidRPr="0046567B">
        <w:rPr>
          <w:lang w:val="fr-FR" w:bidi="fr-FR"/>
        </w:rPr>
        <w:t>’</w:t>
      </w:r>
      <w:r w:rsidRPr="0046567B">
        <w:rPr>
          <w:lang w:val="fr-FR" w:bidi="fr-FR"/>
        </w:rPr>
        <w:t>exigence de contrat continu</w:t>
      </w:r>
      <w:r w:rsidRPr="00AB0B0B">
        <w:rPr>
          <w:rStyle w:val="FootnoteReference"/>
          <w:sz w:val="20"/>
          <w:szCs w:val="20"/>
          <w:lang w:val="fr-FR" w:bidi="fr-FR"/>
        </w:rPr>
        <w:footnoteReference w:id="3"/>
      </w:r>
      <w:r w:rsidRPr="0046567B">
        <w:rPr>
          <w:lang w:val="fr-FR" w:bidi="fr-FR"/>
        </w:rPr>
        <w:t xml:space="preserve"> dans le cadre de l</w:t>
      </w:r>
      <w:r w:rsidR="00FB11B3" w:rsidRPr="0046567B">
        <w:rPr>
          <w:lang w:val="fr-FR" w:bidi="fr-FR"/>
        </w:rPr>
        <w:t>’</w:t>
      </w:r>
      <w:r w:rsidRPr="0046567B">
        <w:rPr>
          <w:lang w:val="fr-FR" w:bidi="fr-FR"/>
        </w:rPr>
        <w:t>ordonnance relative à l</w:t>
      </w:r>
      <w:r w:rsidR="00FB11B3" w:rsidRPr="0046567B">
        <w:rPr>
          <w:lang w:val="fr-FR" w:bidi="fr-FR"/>
        </w:rPr>
        <w:t>’</w:t>
      </w:r>
      <w:r w:rsidRPr="0046567B">
        <w:rPr>
          <w:lang w:val="fr-FR" w:bidi="fr-FR"/>
        </w:rPr>
        <w:t>emploi et a proposé différentes améliorations possibles au Conseil consultatif du travail. Malgré une série de délibérations en</w:t>
      </w:r>
      <w:r w:rsidR="002A20B0" w:rsidRPr="0046567B">
        <w:rPr>
          <w:lang w:val="fr-FR" w:bidi="fr-FR"/>
        </w:rPr>
        <w:t xml:space="preserve"> </w:t>
      </w:r>
      <w:r w:rsidRPr="0046567B">
        <w:rPr>
          <w:lang w:val="fr-FR" w:bidi="fr-FR"/>
        </w:rPr>
        <w:t>2013 et</w:t>
      </w:r>
      <w:r w:rsidR="002A20B0" w:rsidRPr="0046567B">
        <w:rPr>
          <w:lang w:val="fr-FR" w:bidi="fr-FR"/>
        </w:rPr>
        <w:t xml:space="preserve"> </w:t>
      </w:r>
      <w:r w:rsidRPr="0046567B">
        <w:rPr>
          <w:lang w:val="fr-FR" w:bidi="fr-FR"/>
        </w:rPr>
        <w:t>2014, les représentants des employeurs et des employés au sein du Conseil consultatif du travail ne sont pas parvenus à un consensus en raison de la complexité de la question et des divergences de vues des différentes parties prenantes. Le Gouvernement a prévu de mener une nouvelle série d</w:t>
      </w:r>
      <w:r w:rsidR="00FB11B3" w:rsidRPr="0046567B">
        <w:rPr>
          <w:lang w:val="fr-FR" w:bidi="fr-FR"/>
        </w:rPr>
        <w:t>’</w:t>
      </w:r>
      <w:r w:rsidRPr="0046567B">
        <w:rPr>
          <w:lang w:val="fr-FR" w:bidi="fr-FR"/>
        </w:rPr>
        <w:t>examens statistiques portant sur les dernières caractéristiques et tendances de l</w:t>
      </w:r>
      <w:r w:rsidR="00FB11B3" w:rsidRPr="0046567B">
        <w:rPr>
          <w:lang w:val="fr-FR" w:bidi="fr-FR"/>
        </w:rPr>
        <w:t>’</w:t>
      </w:r>
      <w:r w:rsidRPr="0046567B">
        <w:rPr>
          <w:lang w:val="fr-FR" w:bidi="fr-FR"/>
        </w:rPr>
        <w:t>emploi chez les employés travaillant à court terme ou à temps réduit et soumettra cette question le moment venu au Conseil consultatif du travail pour réexamen.</w:t>
      </w:r>
    </w:p>
    <w:p w14:paraId="7BE41607" w14:textId="782DF3F7" w:rsidR="00503CDF" w:rsidRPr="0046567B" w:rsidRDefault="00503CDF" w:rsidP="00503CDF">
      <w:pPr>
        <w:pStyle w:val="SingleTxt"/>
        <w:spacing w:after="0" w:line="120" w:lineRule="exact"/>
        <w:rPr>
          <w:sz w:val="10"/>
          <w:lang w:val="fr-FR" w:bidi="fr-FR"/>
        </w:rPr>
      </w:pPr>
    </w:p>
    <w:p w14:paraId="0E20110B" w14:textId="1D3AE3F3"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Égalité des conditions de travail</w:t>
      </w:r>
    </w:p>
    <w:p w14:paraId="774794AD" w14:textId="3A937B0A" w:rsidR="00503CDF" w:rsidRPr="0046567B" w:rsidRDefault="00503CDF" w:rsidP="00503CDF">
      <w:pPr>
        <w:pStyle w:val="SingleTxt"/>
        <w:spacing w:after="0" w:line="120" w:lineRule="exact"/>
        <w:rPr>
          <w:sz w:val="10"/>
          <w:lang w:val="fr-FR" w:bidi="fr-FR"/>
        </w:rPr>
      </w:pPr>
    </w:p>
    <w:p w14:paraId="7F3A8D83" w14:textId="29DF6E11"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La position du Gouvernement demeure celle décrite aux paragraphes</w:t>
      </w:r>
      <w:r w:rsidR="002A20B0" w:rsidRPr="0046567B">
        <w:rPr>
          <w:lang w:val="fr-FR" w:bidi="fr-FR"/>
        </w:rPr>
        <w:t xml:space="preserve"> </w:t>
      </w:r>
      <w:r w:rsidRPr="0046567B">
        <w:rPr>
          <w:lang w:val="fr-FR" w:bidi="fr-FR"/>
        </w:rPr>
        <w:t>234 à</w:t>
      </w:r>
      <w:r w:rsidR="002A20B0" w:rsidRPr="0046567B">
        <w:rPr>
          <w:lang w:val="fr-FR" w:bidi="fr-FR"/>
        </w:rPr>
        <w:t xml:space="preserve"> </w:t>
      </w:r>
      <w:r w:rsidRPr="0046567B">
        <w:rPr>
          <w:lang w:val="fr-FR" w:bidi="fr-FR"/>
        </w:rPr>
        <w:t>236 du rapport précédent.</w:t>
      </w:r>
    </w:p>
    <w:p w14:paraId="50630429" w14:textId="01A36F5E" w:rsidR="00503CDF" w:rsidRPr="0046567B" w:rsidRDefault="00503CDF" w:rsidP="00503CDF">
      <w:pPr>
        <w:pStyle w:val="SingleTxt"/>
        <w:spacing w:after="0" w:line="120" w:lineRule="exact"/>
        <w:rPr>
          <w:sz w:val="10"/>
          <w:lang w:val="fr-FR" w:bidi="fr-FR"/>
        </w:rPr>
      </w:pPr>
    </w:p>
    <w:p w14:paraId="0453D57A" w14:textId="5F823D8E"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Salaire minimum légal</w:t>
      </w:r>
    </w:p>
    <w:p w14:paraId="22804EC6" w14:textId="2F5AC1C5" w:rsidR="00503CDF" w:rsidRPr="0046567B" w:rsidRDefault="00503CDF" w:rsidP="00503CDF">
      <w:pPr>
        <w:pStyle w:val="SingleTxt"/>
        <w:spacing w:after="0" w:line="120" w:lineRule="exact"/>
        <w:rPr>
          <w:sz w:val="10"/>
          <w:lang w:val="fr-FR" w:bidi="fr-FR"/>
        </w:rPr>
      </w:pPr>
    </w:p>
    <w:p w14:paraId="1F31589A" w14:textId="14B51F15"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Le taux horaire du salaire minimum légal, initialement fixé à 28</w:t>
      </w:r>
      <w:r w:rsidR="002A20B0" w:rsidRPr="0046567B">
        <w:rPr>
          <w:lang w:val="fr-FR" w:bidi="fr-FR"/>
        </w:rPr>
        <w:t> </w:t>
      </w:r>
      <w:r w:rsidRPr="0046567B">
        <w:rPr>
          <w:lang w:val="fr-FR" w:bidi="fr-FR"/>
        </w:rPr>
        <w:t>dollars hongkongais (3,6</w:t>
      </w:r>
      <w:r w:rsidR="002A20B0" w:rsidRPr="0046567B">
        <w:rPr>
          <w:lang w:val="fr-FR" w:bidi="fr-FR"/>
        </w:rPr>
        <w:t xml:space="preserve"> </w:t>
      </w:r>
      <w:r w:rsidRPr="0046567B">
        <w:rPr>
          <w:lang w:val="fr-FR" w:bidi="fr-FR"/>
        </w:rPr>
        <w:t>USD) en mai</w:t>
      </w:r>
      <w:r w:rsidR="002A20B0" w:rsidRPr="0046567B">
        <w:rPr>
          <w:lang w:val="fr-FR" w:bidi="fr-FR"/>
        </w:rPr>
        <w:t xml:space="preserve"> </w:t>
      </w:r>
      <w:r w:rsidRPr="0046567B">
        <w:rPr>
          <w:lang w:val="fr-FR" w:bidi="fr-FR"/>
        </w:rPr>
        <w:t>2011, a été porté à 30</w:t>
      </w:r>
      <w:r w:rsidR="002A20B0" w:rsidRPr="0046567B">
        <w:rPr>
          <w:lang w:val="fr-FR" w:bidi="fr-FR"/>
        </w:rPr>
        <w:t xml:space="preserve"> </w:t>
      </w:r>
      <w:r w:rsidRPr="0046567B">
        <w:rPr>
          <w:lang w:val="fr-FR" w:bidi="fr-FR"/>
        </w:rPr>
        <w:t>dollars hongkongais (3,8</w:t>
      </w:r>
      <w:r w:rsidR="002A20B0" w:rsidRPr="0046567B">
        <w:rPr>
          <w:lang w:val="fr-FR" w:bidi="fr-FR"/>
        </w:rPr>
        <w:t xml:space="preserve"> </w:t>
      </w:r>
      <w:r w:rsidRPr="0046567B">
        <w:rPr>
          <w:lang w:val="fr-FR" w:bidi="fr-FR"/>
        </w:rPr>
        <w:t>USD) en mai</w:t>
      </w:r>
      <w:r w:rsidR="002A20B0" w:rsidRPr="0046567B">
        <w:rPr>
          <w:lang w:val="fr-FR" w:bidi="fr-FR"/>
        </w:rPr>
        <w:t xml:space="preserve"> </w:t>
      </w:r>
      <w:r w:rsidRPr="0046567B">
        <w:rPr>
          <w:lang w:val="fr-FR" w:bidi="fr-FR"/>
        </w:rPr>
        <w:t>2013, à 32,5</w:t>
      </w:r>
      <w:r w:rsidR="002A20B0" w:rsidRPr="0046567B">
        <w:rPr>
          <w:lang w:val="fr-FR" w:bidi="fr-FR"/>
        </w:rPr>
        <w:t xml:space="preserve"> </w:t>
      </w:r>
      <w:r w:rsidRPr="0046567B">
        <w:rPr>
          <w:lang w:val="fr-FR" w:bidi="fr-FR"/>
        </w:rPr>
        <w:t>dollars hongkongais (4,1</w:t>
      </w:r>
      <w:r w:rsidR="002A20B0" w:rsidRPr="0046567B">
        <w:rPr>
          <w:lang w:val="fr-FR" w:bidi="fr-FR"/>
        </w:rPr>
        <w:t xml:space="preserve"> </w:t>
      </w:r>
      <w:r w:rsidRPr="0046567B">
        <w:rPr>
          <w:lang w:val="fr-FR" w:bidi="fr-FR"/>
        </w:rPr>
        <w:t>USD) en mai</w:t>
      </w:r>
      <w:r w:rsidR="002A20B0" w:rsidRPr="0046567B">
        <w:rPr>
          <w:lang w:val="fr-FR" w:bidi="fr-FR"/>
        </w:rPr>
        <w:t xml:space="preserve"> </w:t>
      </w:r>
      <w:r w:rsidRPr="0046567B">
        <w:rPr>
          <w:lang w:val="fr-FR" w:bidi="fr-FR"/>
        </w:rPr>
        <w:t>2015 et à 34,5</w:t>
      </w:r>
      <w:r w:rsidR="002A20B0" w:rsidRPr="0046567B">
        <w:rPr>
          <w:lang w:val="fr-FR" w:bidi="fr-FR"/>
        </w:rPr>
        <w:t xml:space="preserve"> </w:t>
      </w:r>
      <w:r w:rsidRPr="0046567B">
        <w:rPr>
          <w:lang w:val="fr-FR" w:bidi="fr-FR"/>
        </w:rPr>
        <w:t>dollars hongkongais (4,4</w:t>
      </w:r>
      <w:r w:rsidR="002A20B0" w:rsidRPr="0046567B">
        <w:rPr>
          <w:lang w:val="fr-FR" w:bidi="fr-FR"/>
        </w:rPr>
        <w:t xml:space="preserve"> </w:t>
      </w:r>
      <w:r w:rsidRPr="0046567B">
        <w:rPr>
          <w:lang w:val="fr-FR" w:bidi="fr-FR"/>
        </w:rPr>
        <w:t>USD) en mai</w:t>
      </w:r>
      <w:r w:rsidR="002A20B0" w:rsidRPr="0046567B">
        <w:rPr>
          <w:lang w:val="fr-FR" w:bidi="fr-FR"/>
        </w:rPr>
        <w:t xml:space="preserve"> </w:t>
      </w:r>
      <w:r w:rsidRPr="0046567B">
        <w:rPr>
          <w:lang w:val="fr-FR" w:bidi="fr-FR"/>
        </w:rPr>
        <w:t>2017. La Commission du salaire minimum mène actuellement une nouvelle série d</w:t>
      </w:r>
      <w:r w:rsidR="00FB11B3" w:rsidRPr="0046567B">
        <w:rPr>
          <w:lang w:val="fr-FR" w:bidi="fr-FR"/>
        </w:rPr>
        <w:t>’</w:t>
      </w:r>
      <w:r w:rsidRPr="0046567B">
        <w:rPr>
          <w:lang w:val="fr-FR" w:bidi="fr-FR"/>
        </w:rPr>
        <w:t>examens sur le taux du salaire minimum légal et soumettra ses recommandations au Chef de l</w:t>
      </w:r>
      <w:r w:rsidR="00FB11B3" w:rsidRPr="0046567B">
        <w:rPr>
          <w:lang w:val="fr-FR" w:bidi="fr-FR"/>
        </w:rPr>
        <w:t>’</w:t>
      </w:r>
      <w:r w:rsidRPr="0046567B">
        <w:rPr>
          <w:lang w:val="fr-FR" w:bidi="fr-FR"/>
        </w:rPr>
        <w:t>exécutif avant la fin octobre</w:t>
      </w:r>
      <w:r w:rsidR="002A20B0" w:rsidRPr="0046567B">
        <w:rPr>
          <w:lang w:val="fr-FR" w:bidi="fr-FR"/>
        </w:rPr>
        <w:t xml:space="preserve"> </w:t>
      </w:r>
      <w:r w:rsidRPr="0046567B">
        <w:rPr>
          <w:lang w:val="fr-FR" w:bidi="fr-FR"/>
        </w:rPr>
        <w:t>2018.</w:t>
      </w:r>
    </w:p>
    <w:p w14:paraId="4320D706" w14:textId="68DBE0E0"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La mise en œuvre du salaire minimum légal s</w:t>
      </w:r>
      <w:r w:rsidR="00FB11B3" w:rsidRPr="0046567B">
        <w:rPr>
          <w:lang w:val="fr-FR" w:bidi="fr-FR"/>
        </w:rPr>
        <w:t>’</w:t>
      </w:r>
      <w:r w:rsidRPr="0046567B">
        <w:rPr>
          <w:lang w:val="fr-FR" w:bidi="fr-FR"/>
        </w:rPr>
        <w:t>est faite en souplesse et les ressources des travailleurs à faible revenu ont connu une amélioration sensible. De décembre</w:t>
      </w:r>
      <w:r w:rsidR="002A20B0" w:rsidRPr="0046567B">
        <w:rPr>
          <w:lang w:val="fr-FR" w:bidi="fr-FR"/>
        </w:rPr>
        <w:t xml:space="preserve"> </w:t>
      </w:r>
      <w:r w:rsidRPr="0046567B">
        <w:rPr>
          <w:lang w:val="fr-FR" w:bidi="fr-FR"/>
        </w:rPr>
        <w:t>2017 à février</w:t>
      </w:r>
      <w:r w:rsidR="002A20B0" w:rsidRPr="0046567B">
        <w:rPr>
          <w:lang w:val="fr-FR" w:bidi="fr-FR"/>
        </w:rPr>
        <w:t xml:space="preserve"> </w:t>
      </w:r>
      <w:r w:rsidRPr="0046567B">
        <w:rPr>
          <w:lang w:val="fr-FR" w:bidi="fr-FR"/>
        </w:rPr>
        <w:t>2018, les revenus mensuels moyens des employés à temps plein</w:t>
      </w:r>
      <w:r w:rsidRPr="0046567B">
        <w:rPr>
          <w:rStyle w:val="FootnoteReference"/>
          <w:sz w:val="20"/>
          <w:szCs w:val="20"/>
          <w:lang w:val="fr-FR" w:bidi="fr-FR"/>
        </w:rPr>
        <w:footnoteReference w:id="4"/>
      </w:r>
      <w:r w:rsidRPr="0046567B">
        <w:rPr>
          <w:lang w:val="fr-FR" w:bidi="fr-FR"/>
        </w:rPr>
        <w:t xml:space="preserve"> ont augmenté de 55,8</w:t>
      </w:r>
      <w:r w:rsidR="00FB11B3" w:rsidRPr="0046567B">
        <w:rPr>
          <w:lang w:val="fr-FR" w:bidi="fr-FR"/>
        </w:rPr>
        <w:t> %</w:t>
      </w:r>
      <w:r w:rsidRPr="0046567B">
        <w:rPr>
          <w:lang w:val="fr-FR" w:bidi="fr-FR"/>
        </w:rPr>
        <w:t xml:space="preserve"> (ou 23,3</w:t>
      </w:r>
      <w:r w:rsidR="00FB11B3" w:rsidRPr="0046567B">
        <w:rPr>
          <w:lang w:val="fr-FR" w:bidi="fr-FR"/>
        </w:rPr>
        <w:t> %</w:t>
      </w:r>
      <w:r w:rsidRPr="0046567B">
        <w:rPr>
          <w:lang w:val="fr-FR" w:bidi="fr-FR"/>
        </w:rPr>
        <w:t xml:space="preserve"> en tenant compte de l</w:t>
      </w:r>
      <w:r w:rsidR="00FB11B3" w:rsidRPr="0046567B">
        <w:rPr>
          <w:lang w:val="fr-FR" w:bidi="fr-FR"/>
        </w:rPr>
        <w:t>’</w:t>
      </w:r>
      <w:r w:rsidRPr="0046567B">
        <w:rPr>
          <w:lang w:val="fr-FR" w:bidi="fr-FR"/>
        </w:rPr>
        <w:t>inflation) par rapport au trimestre précédant l</w:t>
      </w:r>
      <w:r w:rsidR="00FB11B3" w:rsidRPr="0046567B">
        <w:rPr>
          <w:lang w:val="fr-FR" w:bidi="fr-FR"/>
        </w:rPr>
        <w:t>’</w:t>
      </w:r>
      <w:r w:rsidRPr="0046567B">
        <w:rPr>
          <w:lang w:val="fr-FR" w:bidi="fr-FR"/>
        </w:rPr>
        <w:t>introduction du salaire minimum légal. Les perspectives de revenus à la hausse, associées à un marché du travail largement stable, ont contribué à attirer davantage de personnes, en particulier des femmes âgées, sur le marché du travail.</w:t>
      </w:r>
    </w:p>
    <w:p w14:paraId="7AC2EB73" w14:textId="22CF8ED8" w:rsidR="00503CDF" w:rsidRPr="0046567B" w:rsidRDefault="00503CDF" w:rsidP="00503CDF">
      <w:pPr>
        <w:pStyle w:val="SingleTxt"/>
        <w:spacing w:after="0" w:line="120" w:lineRule="exact"/>
        <w:rPr>
          <w:sz w:val="10"/>
          <w:lang w:val="fr-FR" w:bidi="fr-FR"/>
        </w:rPr>
      </w:pPr>
    </w:p>
    <w:p w14:paraId="5DE5DB2B" w14:textId="4990D90A"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Politique en matière de temps de travail</w:t>
      </w:r>
    </w:p>
    <w:p w14:paraId="54E343E6" w14:textId="2DB0C4A5" w:rsidR="00503CDF" w:rsidRPr="0046567B" w:rsidRDefault="00503CDF" w:rsidP="00503CDF">
      <w:pPr>
        <w:pStyle w:val="SingleTxt"/>
        <w:spacing w:after="0" w:line="120" w:lineRule="exact"/>
        <w:rPr>
          <w:sz w:val="10"/>
          <w:lang w:val="fr-FR" w:bidi="fr-FR"/>
        </w:rPr>
      </w:pPr>
    </w:p>
    <w:p w14:paraId="5615E03B" w14:textId="3D9985CD"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Le Gouvernement a créé en avril</w:t>
      </w:r>
      <w:r w:rsidR="002A20B0" w:rsidRPr="0046567B">
        <w:rPr>
          <w:lang w:val="fr-FR" w:bidi="fr-FR"/>
        </w:rPr>
        <w:t xml:space="preserve"> </w:t>
      </w:r>
      <w:r w:rsidRPr="0046567B">
        <w:rPr>
          <w:lang w:val="fr-FR" w:bidi="fr-FR"/>
        </w:rPr>
        <w:t>2013 le Comité sur les horaires de travail normalisés afin d</w:t>
      </w:r>
      <w:r w:rsidR="00FB11B3" w:rsidRPr="0046567B">
        <w:rPr>
          <w:lang w:val="fr-FR" w:bidi="fr-FR"/>
        </w:rPr>
        <w:t>’</w:t>
      </w:r>
      <w:r w:rsidRPr="0046567B">
        <w:rPr>
          <w:lang w:val="fr-FR" w:bidi="fr-FR"/>
        </w:rPr>
        <w:t>étudier les différentes options de politique en matière d</w:t>
      </w:r>
      <w:r w:rsidR="00FB11B3" w:rsidRPr="0046567B">
        <w:rPr>
          <w:lang w:val="fr-FR" w:bidi="fr-FR"/>
        </w:rPr>
        <w:t>’</w:t>
      </w:r>
      <w:r w:rsidRPr="0046567B">
        <w:rPr>
          <w:lang w:val="fr-FR" w:bidi="fr-FR"/>
        </w:rPr>
        <w:t>heures de travail adaptées à la situation socioéconomique de Hong Kong. En janvier</w:t>
      </w:r>
      <w:r w:rsidR="002A20B0" w:rsidRPr="0046567B">
        <w:rPr>
          <w:lang w:val="fr-FR" w:bidi="fr-FR"/>
        </w:rPr>
        <w:t xml:space="preserve"> </w:t>
      </w:r>
      <w:r w:rsidRPr="0046567B">
        <w:rPr>
          <w:lang w:val="fr-FR" w:bidi="fr-FR"/>
        </w:rPr>
        <w:t>2017, ce comité a présenté un rapport contenant des recommandations, lequel a été approuvé par le Gouvernement en juin</w:t>
      </w:r>
      <w:r w:rsidR="002A20B0" w:rsidRPr="0046567B">
        <w:rPr>
          <w:lang w:val="fr-FR" w:bidi="fr-FR"/>
        </w:rPr>
        <w:t xml:space="preserve"> </w:t>
      </w:r>
      <w:r w:rsidRPr="0046567B">
        <w:rPr>
          <w:lang w:val="fr-FR" w:bidi="fr-FR"/>
        </w:rPr>
        <w:t>2017 pour servir de cadre général à sa politique en matière de temps de travail.</w:t>
      </w:r>
    </w:p>
    <w:p w14:paraId="20480895" w14:textId="522A06A7"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Compte tenu des divergences de vues sur les propositions législatives présentées par le Comité sur les heures de travail standard, le Gouvernement continuera à écouter les avis de la société civile sur les options possibles pour améliorer sa politique en matière de temps de travail. Entre-temps, le Ministère du travail, par l</w:t>
      </w:r>
      <w:r w:rsidR="00FB11B3" w:rsidRPr="0046567B">
        <w:rPr>
          <w:lang w:val="fr-FR" w:bidi="fr-FR"/>
        </w:rPr>
        <w:t>’</w:t>
      </w:r>
      <w:r w:rsidRPr="0046567B">
        <w:rPr>
          <w:lang w:val="fr-FR" w:bidi="fr-FR"/>
        </w:rPr>
        <w:t xml:space="preserve">intermédiaire de ses comités tripartites, qui </w:t>
      </w:r>
      <w:r w:rsidRPr="0046567B">
        <w:rPr>
          <w:rFonts w:hint="eastAsia"/>
          <w:lang w:val="fr-FR" w:bidi="fr-FR"/>
        </w:rPr>
        <w:t>comprennent</w:t>
      </w:r>
      <w:r w:rsidRPr="0046567B">
        <w:rPr>
          <w:lang w:val="fr-FR" w:bidi="fr-FR"/>
        </w:rPr>
        <w:t xml:space="preserve"> des représentants des employeurs, des employés et du Gouvernement, a commencé à élaborer des lignes directrices sur les horaires de travail dans 11</w:t>
      </w:r>
      <w:r w:rsidR="002A20B0" w:rsidRPr="0046567B">
        <w:rPr>
          <w:lang w:val="fr-FR" w:bidi="fr-FR"/>
        </w:rPr>
        <w:t xml:space="preserve"> </w:t>
      </w:r>
      <w:r w:rsidRPr="0046567B">
        <w:rPr>
          <w:lang w:val="fr-FR" w:bidi="fr-FR"/>
        </w:rPr>
        <w:t>secteurs. Ces lignes directrices portent sur des propositions d</w:t>
      </w:r>
      <w:r w:rsidR="00FB11B3" w:rsidRPr="0046567B">
        <w:rPr>
          <w:lang w:val="fr-FR" w:bidi="fr-FR"/>
        </w:rPr>
        <w:t>’</w:t>
      </w:r>
      <w:r w:rsidRPr="0046567B">
        <w:rPr>
          <w:lang w:val="fr-FR" w:bidi="fr-FR"/>
        </w:rPr>
        <w:t>aménagement du temps de travail, des modes de compensation des heures supplémentaires et des mesures de gestion du temps de travail à l</w:t>
      </w:r>
      <w:r w:rsidR="00FB11B3" w:rsidRPr="0046567B">
        <w:rPr>
          <w:lang w:val="fr-FR" w:bidi="fr-FR"/>
        </w:rPr>
        <w:t>’</w:t>
      </w:r>
      <w:r w:rsidRPr="0046567B">
        <w:rPr>
          <w:lang w:val="fr-FR" w:bidi="fr-FR"/>
        </w:rPr>
        <w:t>attention des employeurs, de façon à améliorer l</w:t>
      </w:r>
      <w:r w:rsidR="00FB11B3" w:rsidRPr="0046567B">
        <w:rPr>
          <w:lang w:val="fr-FR" w:bidi="fr-FR"/>
        </w:rPr>
        <w:t>’</w:t>
      </w:r>
      <w:r w:rsidRPr="0046567B">
        <w:rPr>
          <w:lang w:val="fr-FR" w:bidi="fr-FR"/>
        </w:rPr>
        <w:t>organisation du temps de travail des salariés en général (notamment celui des femmes).</w:t>
      </w:r>
    </w:p>
    <w:p w14:paraId="143F5F63" w14:textId="09290F59" w:rsidR="00503CDF" w:rsidRPr="0046567B" w:rsidRDefault="00503CDF" w:rsidP="00503CDF">
      <w:pPr>
        <w:pStyle w:val="SingleTxt"/>
        <w:spacing w:after="0" w:line="120" w:lineRule="exact"/>
        <w:rPr>
          <w:sz w:val="10"/>
          <w:lang w:val="fr-FR" w:bidi="fr-FR"/>
        </w:rPr>
      </w:pPr>
    </w:p>
    <w:p w14:paraId="073E867A" w14:textId="77777777" w:rsidR="00503CDF" w:rsidRPr="0046567B" w:rsidRDefault="00503CDF" w:rsidP="00503CDF">
      <w:pPr>
        <w:pStyle w:val="SingleTxt"/>
        <w:spacing w:after="0" w:line="120" w:lineRule="exact"/>
        <w:rPr>
          <w:sz w:val="10"/>
          <w:lang w:val="fr-FR" w:bidi="fr-FR"/>
        </w:rPr>
      </w:pPr>
    </w:p>
    <w:p w14:paraId="067E0B1B" w14:textId="1BCB94AD" w:rsidR="00FC36AA" w:rsidRPr="0046567B" w:rsidRDefault="00FC36AA" w:rsidP="00503C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Mesures administratives pour lutter contre la discrimination</w:t>
      </w:r>
      <w:r w:rsidR="002A20B0" w:rsidRPr="0046567B">
        <w:rPr>
          <w:lang w:val="fr-FR" w:bidi="fr-FR"/>
        </w:rPr>
        <w:br/>
      </w:r>
      <w:r w:rsidRPr="0046567B">
        <w:rPr>
          <w:lang w:val="fr-FR" w:bidi="fr-FR"/>
        </w:rPr>
        <w:t>en matière d</w:t>
      </w:r>
      <w:r w:rsidR="00FB11B3" w:rsidRPr="0046567B">
        <w:rPr>
          <w:lang w:val="fr-FR" w:bidi="fr-FR"/>
        </w:rPr>
        <w:t>’</w:t>
      </w:r>
      <w:r w:rsidRPr="0046567B">
        <w:rPr>
          <w:lang w:val="fr-FR" w:bidi="fr-FR"/>
        </w:rPr>
        <w:t>emploi</w:t>
      </w:r>
    </w:p>
    <w:p w14:paraId="62F5BA4B" w14:textId="07F8CDCE" w:rsidR="00503CDF" w:rsidRPr="0046567B" w:rsidRDefault="00503CDF" w:rsidP="00503CDF">
      <w:pPr>
        <w:pStyle w:val="SingleTxt"/>
        <w:spacing w:after="0" w:line="120" w:lineRule="exact"/>
        <w:rPr>
          <w:sz w:val="10"/>
          <w:lang w:val="fr-FR" w:bidi="fr-FR"/>
        </w:rPr>
      </w:pPr>
    </w:p>
    <w:p w14:paraId="6EFC034B" w14:textId="1BFD4E57" w:rsidR="00503CDF" w:rsidRPr="0046567B" w:rsidRDefault="00503CDF" w:rsidP="00503CDF">
      <w:pPr>
        <w:pStyle w:val="SingleTxt"/>
        <w:spacing w:after="0" w:line="120" w:lineRule="exact"/>
        <w:rPr>
          <w:sz w:val="10"/>
          <w:lang w:val="fr-FR" w:bidi="fr-FR"/>
        </w:rPr>
      </w:pPr>
    </w:p>
    <w:p w14:paraId="2C7CCF85" w14:textId="64061DDE"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La Commission de l</w:t>
      </w:r>
      <w:r w:rsidR="00FB11B3" w:rsidRPr="0046567B">
        <w:rPr>
          <w:lang w:val="fr-FR" w:bidi="fr-FR"/>
        </w:rPr>
        <w:t>’</w:t>
      </w:r>
      <w:r w:rsidRPr="0046567B">
        <w:rPr>
          <w:lang w:val="fr-FR" w:bidi="fr-FR"/>
        </w:rPr>
        <w:t>égalité des chances a élaboré un total de quatre ensembles de codes de bonnes pratiques sur l</w:t>
      </w:r>
      <w:r w:rsidR="00FB11B3" w:rsidRPr="0046567B">
        <w:rPr>
          <w:lang w:val="fr-FR" w:bidi="fr-FR"/>
        </w:rPr>
        <w:t>’</w:t>
      </w:r>
      <w:r w:rsidRPr="0046567B">
        <w:rPr>
          <w:lang w:val="fr-FR" w:bidi="fr-FR"/>
        </w:rPr>
        <w:t>emploi, pour faciliter l</w:t>
      </w:r>
      <w:r w:rsidR="00FB11B3" w:rsidRPr="0046567B">
        <w:rPr>
          <w:lang w:val="fr-FR" w:bidi="fr-FR"/>
        </w:rPr>
        <w:t>’</w:t>
      </w:r>
      <w:r w:rsidRPr="0046567B">
        <w:rPr>
          <w:lang w:val="fr-FR" w:bidi="fr-FR"/>
        </w:rPr>
        <w:t xml:space="preserve">application des quatre </w:t>
      </w:r>
      <w:r w:rsidRPr="0046567B">
        <w:rPr>
          <w:rFonts w:hint="eastAsia"/>
          <w:lang w:val="fr-FR" w:bidi="fr-FR"/>
        </w:rPr>
        <w:t>ordonnances</w:t>
      </w:r>
      <w:r w:rsidRPr="0046567B">
        <w:rPr>
          <w:lang w:val="fr-FR" w:bidi="fr-FR"/>
        </w:rPr>
        <w:t xml:space="preserve"> anti-discrimination par les employeurs et les salariés. Selon la Commission de l</w:t>
      </w:r>
      <w:r w:rsidR="00FB11B3" w:rsidRPr="0046567B">
        <w:rPr>
          <w:lang w:val="fr-FR" w:bidi="fr-FR"/>
        </w:rPr>
        <w:t>’</w:t>
      </w:r>
      <w:r w:rsidRPr="0046567B">
        <w:rPr>
          <w:lang w:val="fr-FR" w:bidi="fr-FR"/>
        </w:rPr>
        <w:t>égalité des chances, la majorité des plaintes reçues dans le cadre de l</w:t>
      </w:r>
      <w:r w:rsidR="00FB11B3" w:rsidRPr="0046567B">
        <w:rPr>
          <w:lang w:val="fr-FR" w:bidi="fr-FR"/>
        </w:rPr>
        <w:t>’</w:t>
      </w:r>
      <w:r w:rsidRPr="0046567B">
        <w:rPr>
          <w:lang w:val="fr-FR" w:bidi="fr-FR"/>
        </w:rPr>
        <w:t>ordonnance sur la discrimination sexuelle sont liées à l</w:t>
      </w:r>
      <w:r w:rsidR="00FB11B3" w:rsidRPr="0046567B">
        <w:rPr>
          <w:lang w:val="fr-FR" w:bidi="fr-FR"/>
        </w:rPr>
        <w:t>’</w:t>
      </w:r>
      <w:r w:rsidRPr="0046567B">
        <w:rPr>
          <w:lang w:val="fr-FR" w:bidi="fr-FR"/>
        </w:rPr>
        <w:t>emploi. À cet égard, cette commission est actuellement en train de procéder à la révision de ces codes de bonnes pratiques dans le cadre de l</w:t>
      </w:r>
      <w:r w:rsidR="00FB11B3" w:rsidRPr="0046567B">
        <w:rPr>
          <w:lang w:val="fr-FR" w:bidi="fr-FR"/>
        </w:rPr>
        <w:t>’</w:t>
      </w:r>
      <w:r w:rsidRPr="0046567B">
        <w:rPr>
          <w:lang w:val="fr-FR" w:bidi="fr-FR"/>
        </w:rPr>
        <w:t>ordonnance sur la discrimination sexuelle, pour tenir compte du développement socioéconomique de Hong Kong.</w:t>
      </w:r>
    </w:p>
    <w:p w14:paraId="5C6EA421" w14:textId="1B9B8080" w:rsidR="00503CDF" w:rsidRPr="0046567B" w:rsidRDefault="00503CDF" w:rsidP="00503CDF">
      <w:pPr>
        <w:pStyle w:val="SingleTxt"/>
        <w:spacing w:after="0" w:line="120" w:lineRule="exact"/>
        <w:rPr>
          <w:sz w:val="10"/>
          <w:lang w:val="fr-FR" w:bidi="fr-FR"/>
        </w:rPr>
      </w:pPr>
    </w:p>
    <w:p w14:paraId="379D614D" w14:textId="2BAAA6A8" w:rsidR="00503CDF" w:rsidRPr="0046567B" w:rsidRDefault="00503CDF" w:rsidP="00503CDF">
      <w:pPr>
        <w:pStyle w:val="SingleTxt"/>
        <w:spacing w:after="0" w:line="120" w:lineRule="exact"/>
        <w:rPr>
          <w:sz w:val="10"/>
          <w:lang w:val="fr-FR"/>
        </w:rPr>
      </w:pPr>
    </w:p>
    <w:p w14:paraId="4B31EA72" w14:textId="7456E74A" w:rsidR="00FC36AA" w:rsidRPr="0046567B" w:rsidRDefault="00FC36AA" w:rsidP="00503C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Protection des retraites</w:t>
      </w:r>
    </w:p>
    <w:p w14:paraId="44F3F845" w14:textId="5E88489B" w:rsidR="00503CDF" w:rsidRPr="0046567B" w:rsidRDefault="00503CDF" w:rsidP="00503CDF">
      <w:pPr>
        <w:pStyle w:val="SingleTxt"/>
        <w:spacing w:after="0" w:line="120" w:lineRule="exact"/>
        <w:rPr>
          <w:sz w:val="10"/>
          <w:lang w:val="fr-FR" w:bidi="fr-FR"/>
        </w:rPr>
      </w:pPr>
    </w:p>
    <w:p w14:paraId="2D563E79" w14:textId="5969CEA0" w:rsidR="00503CDF" w:rsidRPr="0046567B" w:rsidRDefault="00503CDF" w:rsidP="00503CDF">
      <w:pPr>
        <w:pStyle w:val="SingleTxt"/>
        <w:spacing w:after="0" w:line="120" w:lineRule="exact"/>
        <w:rPr>
          <w:sz w:val="10"/>
          <w:lang w:val="fr-FR" w:bidi="fr-FR"/>
        </w:rPr>
      </w:pPr>
    </w:p>
    <w:p w14:paraId="54FBFC0B" w14:textId="2A83706B"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Hong Kong, s</w:t>
      </w:r>
      <w:r w:rsidR="00FB11B3" w:rsidRPr="0046567B">
        <w:rPr>
          <w:lang w:val="fr-FR" w:bidi="fr-FR"/>
        </w:rPr>
        <w:t>’</w:t>
      </w:r>
      <w:r w:rsidRPr="0046567B">
        <w:rPr>
          <w:lang w:val="fr-FR" w:bidi="fr-FR"/>
        </w:rPr>
        <w:t>inspirant du modèle à composantes multiples préconisé par la Banque mondiale, a adopté quatre grands socles de protection, dont le système de sécurité sociale à plusieurs niveaux (le premier socle), le régime de la caisse de prévoyance obligatoire et des autres régimes de retraite professionnels (le deuxième socle), l</w:t>
      </w:r>
      <w:r w:rsidR="00FB11B3" w:rsidRPr="0046567B">
        <w:rPr>
          <w:lang w:val="fr-FR" w:bidi="fr-FR"/>
        </w:rPr>
        <w:t>’</w:t>
      </w:r>
      <w:r w:rsidRPr="0046567B">
        <w:rPr>
          <w:lang w:val="fr-FR" w:bidi="fr-FR"/>
        </w:rPr>
        <w:t>épargne volontaire (le troisième socle), ainsi que les services publics, le soutien familial et les actifs personnels (le quatrième socle)</w:t>
      </w:r>
      <w:bookmarkStart w:id="11" w:name="_Ref511666389"/>
      <w:r w:rsidRPr="0046567B">
        <w:rPr>
          <w:rStyle w:val="FootnoteReference"/>
          <w:sz w:val="20"/>
          <w:szCs w:val="20"/>
          <w:lang w:val="fr-FR" w:bidi="fr-FR"/>
        </w:rPr>
        <w:footnoteReference w:id="5"/>
      </w:r>
      <w:bookmarkEnd w:id="11"/>
      <w:r w:rsidRPr="0046567B">
        <w:rPr>
          <w:lang w:val="fr-FR" w:bidi="fr-FR"/>
        </w:rPr>
        <w:t>.</w:t>
      </w:r>
    </w:p>
    <w:p w14:paraId="620109A9" w14:textId="4FF9E3DC" w:rsidR="00FC36AA" w:rsidRPr="0046567B" w:rsidRDefault="00FC36AA" w:rsidP="00503CDF">
      <w:pPr>
        <w:pStyle w:val="SingleTxt"/>
        <w:numPr>
          <w:ilvl w:val="0"/>
          <w:numId w:val="32"/>
        </w:numPr>
        <w:spacing w:line="240" w:lineRule="exact"/>
        <w:ind w:left="1267" w:firstLine="0"/>
      </w:pPr>
      <w:r w:rsidRPr="0046567B">
        <w:rPr>
          <w:lang w:val="fr-FR" w:bidi="fr-FR"/>
        </w:rPr>
        <w:t>La Commission sur la pauvreté a conduit entre décembre</w:t>
      </w:r>
      <w:r w:rsidR="002A20B0" w:rsidRPr="0046567B">
        <w:rPr>
          <w:lang w:val="fr-FR" w:bidi="fr-FR"/>
        </w:rPr>
        <w:t xml:space="preserve"> </w:t>
      </w:r>
      <w:r w:rsidRPr="0046567B">
        <w:rPr>
          <w:lang w:val="fr-FR" w:bidi="fr-FR"/>
        </w:rPr>
        <w:t>2015 et juin</w:t>
      </w:r>
      <w:r w:rsidR="002A20B0" w:rsidRPr="0046567B">
        <w:rPr>
          <w:lang w:val="fr-FR" w:bidi="fr-FR"/>
        </w:rPr>
        <w:t xml:space="preserve"> </w:t>
      </w:r>
      <w:r w:rsidRPr="0046567B">
        <w:rPr>
          <w:lang w:val="fr-FR" w:bidi="fr-FR"/>
        </w:rPr>
        <w:t>2016 une enquête publique intitulée «</w:t>
      </w:r>
      <w:r w:rsidR="002A20B0" w:rsidRPr="0046567B">
        <w:rPr>
          <w:lang w:val="fr-FR" w:bidi="fr-FR"/>
        </w:rPr>
        <w:t> </w:t>
      </w:r>
      <w:r w:rsidRPr="0046567B">
        <w:rPr>
          <w:lang w:val="fr-FR" w:bidi="fr-FR"/>
        </w:rPr>
        <w:t>Faire avancer la protection des retraites</w:t>
      </w:r>
      <w:r w:rsidR="002A20B0" w:rsidRPr="0046567B">
        <w:rPr>
          <w:lang w:val="fr-FR" w:bidi="fr-FR"/>
        </w:rPr>
        <w:t> </w:t>
      </w:r>
      <w:r w:rsidRPr="0046567B">
        <w:rPr>
          <w:lang w:val="fr-FR" w:bidi="fr-FR"/>
        </w:rPr>
        <w:t>» (Retirement Protection Forging Ahead). Début</w:t>
      </w:r>
      <w:r w:rsidR="002A20B0" w:rsidRPr="0046567B">
        <w:rPr>
          <w:lang w:val="fr-FR" w:bidi="fr-FR"/>
        </w:rPr>
        <w:t xml:space="preserve"> </w:t>
      </w:r>
      <w:r w:rsidRPr="0046567B">
        <w:rPr>
          <w:lang w:val="fr-FR" w:bidi="fr-FR"/>
        </w:rPr>
        <w:t>2017, le Gouvernement a annoncé une série de mesures visant à renforcer le système de protection des retraites afin de répondre aux différents besoins des personnes âgées en termes de sécurité sociale, de soins médicaux, de soins de proximité, de gestion financière, etc. Les mesures sont mises en œuvre progressivement.</w:t>
      </w:r>
    </w:p>
    <w:p w14:paraId="5CDC862A" w14:textId="5936E978"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Comme il s</w:t>
      </w:r>
      <w:r w:rsidR="00FB11B3" w:rsidRPr="0046567B">
        <w:rPr>
          <w:lang w:val="fr-FR" w:bidi="fr-FR"/>
        </w:rPr>
        <w:t>’</w:t>
      </w:r>
      <w:r w:rsidRPr="0046567B">
        <w:rPr>
          <w:lang w:val="fr-FR" w:bidi="fr-FR"/>
        </w:rPr>
        <w:t>y était engagé dans son discours de politique de</w:t>
      </w:r>
      <w:r w:rsidR="002A20B0" w:rsidRPr="0046567B">
        <w:rPr>
          <w:lang w:val="fr-FR" w:bidi="fr-FR"/>
        </w:rPr>
        <w:t xml:space="preserve"> </w:t>
      </w:r>
      <w:r w:rsidRPr="0046567B">
        <w:rPr>
          <w:lang w:val="fr-FR" w:bidi="fr-FR"/>
        </w:rPr>
        <w:t>2017, le Gouvernement a présenté en mars</w:t>
      </w:r>
      <w:r w:rsidR="002A20B0" w:rsidRPr="0046567B">
        <w:rPr>
          <w:lang w:val="fr-FR" w:bidi="fr-FR"/>
        </w:rPr>
        <w:t xml:space="preserve"> </w:t>
      </w:r>
      <w:r w:rsidRPr="0046567B">
        <w:rPr>
          <w:lang w:val="fr-FR" w:bidi="fr-FR"/>
        </w:rPr>
        <w:t xml:space="preserve">2018 une </w:t>
      </w:r>
      <w:r w:rsidRPr="0046567B">
        <w:rPr>
          <w:rFonts w:hint="eastAsia"/>
          <w:lang w:val="fr-FR" w:bidi="fr-FR"/>
        </w:rPr>
        <w:t>première</w:t>
      </w:r>
      <w:r w:rsidRPr="0046567B">
        <w:rPr>
          <w:lang w:val="fr-FR" w:bidi="fr-FR"/>
        </w:rPr>
        <w:t xml:space="preserve"> idée visant à supprimer l</w:t>
      </w:r>
      <w:r w:rsidR="00FB11B3" w:rsidRPr="0046567B">
        <w:rPr>
          <w:lang w:val="fr-FR" w:bidi="fr-FR"/>
        </w:rPr>
        <w:t>’</w:t>
      </w:r>
      <w:r w:rsidRPr="0046567B">
        <w:rPr>
          <w:lang w:val="fr-FR" w:bidi="fr-FR"/>
        </w:rPr>
        <w:t>accord de compensation sur les indemnités de départ et les indemnités d</w:t>
      </w:r>
      <w:r w:rsidR="00FB11B3" w:rsidRPr="0046567B">
        <w:rPr>
          <w:lang w:val="fr-FR" w:bidi="fr-FR"/>
        </w:rPr>
        <w:t>’</w:t>
      </w:r>
      <w:r w:rsidRPr="0046567B">
        <w:rPr>
          <w:lang w:val="fr-FR" w:bidi="fr-FR"/>
        </w:rPr>
        <w:t>ancienneté en application de l</w:t>
      </w:r>
      <w:r w:rsidR="00FB11B3" w:rsidRPr="0046567B">
        <w:rPr>
          <w:lang w:val="fr-FR" w:bidi="fr-FR"/>
        </w:rPr>
        <w:t>’</w:t>
      </w:r>
      <w:r w:rsidRPr="0046567B">
        <w:rPr>
          <w:lang w:val="fr-FR" w:bidi="fr-FR"/>
        </w:rPr>
        <w:t>ordonnance relative à l</w:t>
      </w:r>
      <w:r w:rsidR="00FB11B3" w:rsidRPr="0046567B">
        <w:rPr>
          <w:lang w:val="fr-FR" w:bidi="fr-FR"/>
        </w:rPr>
        <w:t>’</w:t>
      </w:r>
      <w:r w:rsidRPr="0046567B">
        <w:rPr>
          <w:lang w:val="fr-FR" w:bidi="fr-FR"/>
        </w:rPr>
        <w:t>emploi, qui prévoit des cotisations obligatoires à la charge des employeurs au titre du système de la caisse de prévoyance obligatoire, ceci afin de préserver les cotisations de cette caisse pour la retraite des employés. Le budget</w:t>
      </w:r>
      <w:r w:rsidR="002A20B0" w:rsidRPr="0046567B">
        <w:rPr>
          <w:lang w:val="fr-FR" w:bidi="fr-FR"/>
        </w:rPr>
        <w:t xml:space="preserve"> </w:t>
      </w:r>
      <w:r w:rsidRPr="0046567B">
        <w:rPr>
          <w:lang w:val="fr-FR" w:bidi="fr-FR"/>
        </w:rPr>
        <w:t xml:space="preserve">2018-2019 a prévu </w:t>
      </w:r>
      <w:r w:rsidRPr="0046567B">
        <w:rPr>
          <w:rFonts w:hint="eastAsia"/>
          <w:lang w:val="fr-FR" w:bidi="fr-FR"/>
        </w:rPr>
        <w:t>15</w:t>
      </w:r>
      <w:r w:rsidR="002A20B0" w:rsidRPr="0046567B">
        <w:rPr>
          <w:lang w:val="fr-FR" w:bidi="fr-FR"/>
        </w:rPr>
        <w:t xml:space="preserve"> </w:t>
      </w:r>
      <w:r w:rsidRPr="0046567B">
        <w:rPr>
          <w:lang w:val="fr-FR" w:bidi="fr-FR"/>
        </w:rPr>
        <w:t xml:space="preserve">milliards de </w:t>
      </w:r>
      <w:r w:rsidRPr="0046567B">
        <w:rPr>
          <w:rFonts w:hint="eastAsia"/>
          <w:lang w:val="fr-FR" w:bidi="fr-FR"/>
        </w:rPr>
        <w:t>dollars hongkongais</w:t>
      </w:r>
      <w:r w:rsidRPr="0046567B">
        <w:rPr>
          <w:lang w:val="fr-FR" w:bidi="fr-FR"/>
        </w:rPr>
        <w:t xml:space="preserve"> pour la mise en œuvre des mesures visant à abolir le système de « compensation ». Le Gouvernement affinera cette première idée à la lumière des avis qui seront recueillis auprès des principales parties prenantes, notamment dans le monde du travail et des affaires.</w:t>
      </w:r>
    </w:p>
    <w:p w14:paraId="2A7C7C0F" w14:textId="04B0061F" w:rsidR="00503CDF" w:rsidRPr="0046567B" w:rsidRDefault="00503CDF" w:rsidP="00503CDF">
      <w:pPr>
        <w:pStyle w:val="SingleTxt"/>
        <w:spacing w:after="0" w:line="120" w:lineRule="exact"/>
        <w:rPr>
          <w:sz w:val="10"/>
          <w:lang w:val="fr-FR" w:bidi="fr-FR"/>
        </w:rPr>
      </w:pPr>
    </w:p>
    <w:p w14:paraId="6FE78F5A" w14:textId="21736376" w:rsidR="00503CDF" w:rsidRPr="0046567B" w:rsidRDefault="00503CDF" w:rsidP="00503CDF">
      <w:pPr>
        <w:pStyle w:val="SingleTxt"/>
        <w:spacing w:after="0" w:line="120" w:lineRule="exact"/>
        <w:rPr>
          <w:sz w:val="10"/>
          <w:lang w:val="fr-FR"/>
        </w:rPr>
      </w:pPr>
    </w:p>
    <w:p w14:paraId="1313D712" w14:textId="1858DC6C" w:rsidR="00FC36AA" w:rsidRPr="0046567B" w:rsidRDefault="00FC36AA" w:rsidP="00F234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et la pauvreté</w:t>
      </w:r>
    </w:p>
    <w:p w14:paraId="240CE9FC" w14:textId="1E793EB7" w:rsidR="00503CDF" w:rsidRPr="0046567B" w:rsidRDefault="00503CDF" w:rsidP="00F2347E">
      <w:pPr>
        <w:pStyle w:val="SingleTxt"/>
        <w:keepNext/>
        <w:keepLines/>
        <w:spacing w:after="0" w:line="120" w:lineRule="exact"/>
        <w:rPr>
          <w:sz w:val="10"/>
          <w:lang w:val="fr-FR" w:bidi="fr-FR"/>
        </w:rPr>
      </w:pPr>
    </w:p>
    <w:p w14:paraId="2C67C7FA" w14:textId="246F7EF7" w:rsidR="00503CDF" w:rsidRPr="0046567B" w:rsidRDefault="00503CDF" w:rsidP="00F2347E">
      <w:pPr>
        <w:pStyle w:val="SingleTxt"/>
        <w:keepNext/>
        <w:keepLines/>
        <w:spacing w:after="0" w:line="120" w:lineRule="exact"/>
        <w:rPr>
          <w:sz w:val="10"/>
          <w:lang w:val="fr-FR" w:bidi="fr-FR"/>
        </w:rPr>
      </w:pPr>
    </w:p>
    <w:p w14:paraId="7B2E90E5" w14:textId="4FF410AB" w:rsidR="00FC36AA" w:rsidRPr="0046567B" w:rsidRDefault="00FC36AA" w:rsidP="00F23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Aperçu</w:t>
      </w:r>
    </w:p>
    <w:p w14:paraId="18C87E36" w14:textId="4707219B" w:rsidR="00503CDF" w:rsidRPr="0046567B" w:rsidRDefault="00503CDF" w:rsidP="00F2347E">
      <w:pPr>
        <w:pStyle w:val="SingleTxt"/>
        <w:keepNext/>
        <w:keepLines/>
        <w:spacing w:after="0" w:line="120" w:lineRule="exact"/>
        <w:rPr>
          <w:sz w:val="10"/>
          <w:lang w:val="fr-FR" w:bidi="fr-FR"/>
        </w:rPr>
      </w:pPr>
    </w:p>
    <w:p w14:paraId="4479ACB5" w14:textId="34C9BC43" w:rsidR="00FC36AA" w:rsidRPr="0046567B" w:rsidRDefault="00FC36AA" w:rsidP="00F2347E">
      <w:pPr>
        <w:pStyle w:val="SingleTxt"/>
        <w:keepNext/>
        <w:keepLines/>
        <w:numPr>
          <w:ilvl w:val="0"/>
          <w:numId w:val="32"/>
        </w:numPr>
        <w:spacing w:line="240" w:lineRule="exact"/>
        <w:ind w:left="1267" w:firstLine="0"/>
        <w:rPr>
          <w:lang w:val="fr-FR"/>
        </w:rPr>
      </w:pPr>
      <w:r w:rsidRPr="0046567B">
        <w:rPr>
          <w:lang w:val="fr-FR" w:bidi="fr-FR"/>
        </w:rPr>
        <w:t>En</w:t>
      </w:r>
      <w:r w:rsidR="002A20B0" w:rsidRPr="0046567B">
        <w:rPr>
          <w:lang w:val="fr-FR" w:bidi="fr-FR"/>
        </w:rPr>
        <w:t xml:space="preserve"> </w:t>
      </w:r>
      <w:r w:rsidRPr="0046567B">
        <w:rPr>
          <w:lang w:val="fr-FR" w:bidi="fr-FR"/>
        </w:rPr>
        <w:t>2016, le taux de pauvreté des femmes était généralement plus élevé que celui des hommes, principalement parce qu</w:t>
      </w:r>
      <w:r w:rsidR="00FB11B3" w:rsidRPr="0046567B">
        <w:rPr>
          <w:lang w:val="fr-FR" w:bidi="fr-FR"/>
        </w:rPr>
        <w:t>’</w:t>
      </w:r>
      <w:r w:rsidRPr="0046567B">
        <w:rPr>
          <w:lang w:val="fr-FR" w:bidi="fr-FR"/>
        </w:rPr>
        <w:t>un plus grand nombre d</w:t>
      </w:r>
      <w:r w:rsidR="00FB11B3" w:rsidRPr="0046567B">
        <w:rPr>
          <w:lang w:val="fr-FR" w:bidi="fr-FR"/>
        </w:rPr>
        <w:t>’</w:t>
      </w:r>
      <w:r w:rsidRPr="0046567B">
        <w:rPr>
          <w:lang w:val="fr-FR" w:bidi="fr-FR"/>
        </w:rPr>
        <w:t>entre elles (surtout les femmes âgées et retraitées) résidaient dans des familles économiquement inactives et sans revenus. La proportion de femmes bénéficiant de la sécurité sociale tend à être plus élevée. La part de femmes résidant dans des familles bénéficiant déjà des principaux régimes de sécurité sociale était également plus élevée que celle des hommes. Ainsi, l</w:t>
      </w:r>
      <w:r w:rsidR="00FB11B3" w:rsidRPr="0046567B">
        <w:rPr>
          <w:lang w:val="fr-FR" w:bidi="fr-FR"/>
        </w:rPr>
        <w:t>’</w:t>
      </w:r>
      <w:r w:rsidRPr="0046567B">
        <w:rPr>
          <w:lang w:val="fr-FR" w:bidi="fr-FR"/>
        </w:rPr>
        <w:t>écart entre le taux de pauvreté des hommes et celui des femmes s</w:t>
      </w:r>
      <w:r w:rsidR="00FB11B3" w:rsidRPr="0046567B">
        <w:rPr>
          <w:lang w:val="fr-FR" w:bidi="fr-FR"/>
        </w:rPr>
        <w:t>’</w:t>
      </w:r>
      <w:r w:rsidRPr="0046567B">
        <w:rPr>
          <w:lang w:val="fr-FR" w:bidi="fr-FR"/>
        </w:rPr>
        <w:t>est légèrement réduit après les politiques d</w:t>
      </w:r>
      <w:r w:rsidR="00FB11B3" w:rsidRPr="0046567B">
        <w:rPr>
          <w:lang w:val="fr-FR" w:bidi="fr-FR"/>
        </w:rPr>
        <w:t>’</w:t>
      </w:r>
      <w:r w:rsidRPr="0046567B">
        <w:rPr>
          <w:lang w:val="fr-FR" w:bidi="fr-FR"/>
        </w:rPr>
        <w:t>intervention. Des statistiques détaillées sur la population pauvre et le taux de pauvreté par sexe figurent à l</w:t>
      </w:r>
      <w:r w:rsidR="00FB11B3" w:rsidRPr="0046567B">
        <w:rPr>
          <w:lang w:val="fr-FR" w:bidi="fr-FR"/>
        </w:rPr>
        <w:t>’</w:t>
      </w:r>
      <w:r w:rsidRPr="0046567B">
        <w:rPr>
          <w:lang w:val="fr-FR" w:bidi="fr-FR"/>
        </w:rPr>
        <w:t>annexe</w:t>
      </w:r>
      <w:r w:rsidR="002A20B0" w:rsidRPr="0046567B">
        <w:rPr>
          <w:lang w:val="fr-FR" w:bidi="fr-FR"/>
        </w:rPr>
        <w:t xml:space="preserve"> </w:t>
      </w:r>
      <w:r w:rsidRPr="0046567B">
        <w:rPr>
          <w:lang w:val="fr-FR" w:bidi="fr-FR"/>
        </w:rPr>
        <w:t>11D du présent rapport.</w:t>
      </w:r>
    </w:p>
    <w:p w14:paraId="76DFCE16" w14:textId="02F2214D" w:rsidR="00503CDF" w:rsidRPr="0046567B" w:rsidRDefault="00503CDF" w:rsidP="00503CDF">
      <w:pPr>
        <w:pStyle w:val="SingleTxt"/>
        <w:spacing w:after="0" w:line="120" w:lineRule="exact"/>
        <w:rPr>
          <w:sz w:val="10"/>
          <w:lang w:val="fr-FR" w:bidi="fr-FR"/>
        </w:rPr>
      </w:pPr>
    </w:p>
    <w:p w14:paraId="0AE37DFD" w14:textId="3A390797"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Commission sur la pauvreté</w:t>
      </w:r>
    </w:p>
    <w:p w14:paraId="38E50638" w14:textId="452C6E6E" w:rsidR="00503CDF" w:rsidRPr="0046567B" w:rsidRDefault="00503CDF" w:rsidP="00503CDF">
      <w:pPr>
        <w:pStyle w:val="SingleTxt"/>
        <w:spacing w:after="0" w:line="120" w:lineRule="exact"/>
        <w:rPr>
          <w:sz w:val="10"/>
          <w:lang w:val="fr-FR" w:bidi="fr-FR"/>
        </w:rPr>
      </w:pPr>
    </w:p>
    <w:p w14:paraId="54650B68" w14:textId="44132E4E"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 xml:space="preserve">Le Gouvernement a rétabli la </w:t>
      </w:r>
      <w:r w:rsidRPr="0046567B">
        <w:rPr>
          <w:rFonts w:hint="eastAsia"/>
          <w:lang w:val="fr-FR" w:bidi="fr-FR"/>
        </w:rPr>
        <w:t>Commission sur la pauvreté</w:t>
      </w:r>
      <w:r w:rsidRPr="0046567B">
        <w:rPr>
          <w:lang w:val="fr-FR" w:bidi="fr-FR"/>
        </w:rPr>
        <w:t xml:space="preserve"> en décembre</w:t>
      </w:r>
      <w:r w:rsidR="002A20B0" w:rsidRPr="0046567B">
        <w:rPr>
          <w:lang w:val="fr-FR" w:bidi="fr-FR"/>
        </w:rPr>
        <w:t xml:space="preserve"> </w:t>
      </w:r>
      <w:r w:rsidRPr="0046567B">
        <w:rPr>
          <w:lang w:val="fr-FR" w:bidi="fr-FR"/>
        </w:rPr>
        <w:t>2012. Présidée par le Premier secrétaire de l</w:t>
      </w:r>
      <w:r w:rsidR="00FB11B3" w:rsidRPr="0046567B">
        <w:rPr>
          <w:lang w:val="fr-FR" w:bidi="fr-FR"/>
        </w:rPr>
        <w:t>’</w:t>
      </w:r>
      <w:r w:rsidRPr="0046567B">
        <w:rPr>
          <w:lang w:val="fr-FR" w:bidi="fr-FR"/>
        </w:rPr>
        <w:t xml:space="preserve">administration et composée de membres de droit et de membres non officiels issus de divers secteurs de la société civile, la </w:t>
      </w:r>
      <w:r w:rsidRPr="0046567B">
        <w:rPr>
          <w:rFonts w:hint="eastAsia"/>
          <w:lang w:val="fr-FR" w:bidi="fr-FR"/>
        </w:rPr>
        <w:t>Commission sur la pauvreté</w:t>
      </w:r>
      <w:r w:rsidRPr="0046567B">
        <w:rPr>
          <w:lang w:val="fr-FR" w:bidi="fr-FR"/>
        </w:rPr>
        <w:t xml:space="preserve"> a été un lieu d</w:t>
      </w:r>
      <w:r w:rsidR="00FB11B3" w:rsidRPr="0046567B">
        <w:rPr>
          <w:lang w:val="fr-FR" w:bidi="fr-FR"/>
        </w:rPr>
        <w:t>’</w:t>
      </w:r>
      <w:r w:rsidRPr="0046567B">
        <w:rPr>
          <w:lang w:val="fr-FR" w:bidi="fr-FR"/>
        </w:rPr>
        <w:t>échanges et de délibérations sur les initiatives de lutte contre la pauvreté, en partenariat avec la société civile, le monde des affaires et le Gouvernement.</w:t>
      </w:r>
    </w:p>
    <w:p w14:paraId="2CE67270" w14:textId="1FC0F29B" w:rsidR="00503CDF" w:rsidRPr="0046567B" w:rsidRDefault="00503CDF" w:rsidP="00503CDF">
      <w:pPr>
        <w:pStyle w:val="SingleTxt"/>
        <w:spacing w:after="0" w:line="120" w:lineRule="exact"/>
        <w:rPr>
          <w:sz w:val="10"/>
          <w:lang w:val="fr-FR" w:bidi="fr-FR"/>
        </w:rPr>
      </w:pPr>
    </w:p>
    <w:p w14:paraId="43736CF9" w14:textId="06EEBF78"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Programme d</w:t>
      </w:r>
      <w:r w:rsidR="00FB11B3" w:rsidRPr="0046567B">
        <w:rPr>
          <w:lang w:val="fr-FR" w:bidi="fr-FR"/>
        </w:rPr>
        <w:t>’</w:t>
      </w:r>
      <w:r w:rsidRPr="0046567B">
        <w:rPr>
          <w:lang w:val="fr-FR" w:bidi="fr-FR"/>
        </w:rPr>
        <w:t>aide aux familles de travailleuses et travailleurs à faibles revenus</w:t>
      </w:r>
    </w:p>
    <w:p w14:paraId="653A8FFA" w14:textId="12B2477C" w:rsidR="00503CDF" w:rsidRPr="0046567B" w:rsidRDefault="00503CDF" w:rsidP="00503CDF">
      <w:pPr>
        <w:pStyle w:val="SingleTxt"/>
        <w:spacing w:after="0" w:line="120" w:lineRule="exact"/>
        <w:rPr>
          <w:sz w:val="10"/>
          <w:lang w:val="fr-FR" w:bidi="fr-FR"/>
        </w:rPr>
      </w:pPr>
    </w:p>
    <w:p w14:paraId="3E285E47" w14:textId="5D94934D"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Afin d</w:t>
      </w:r>
      <w:r w:rsidR="00FB11B3" w:rsidRPr="0046567B">
        <w:rPr>
          <w:lang w:val="fr-FR" w:bidi="fr-FR"/>
        </w:rPr>
        <w:t>’</w:t>
      </w:r>
      <w:r w:rsidRPr="0046567B">
        <w:rPr>
          <w:lang w:val="fr-FR" w:bidi="fr-FR"/>
        </w:rPr>
        <w:t>encourager l</w:t>
      </w:r>
      <w:r w:rsidR="00FB11B3" w:rsidRPr="0046567B">
        <w:rPr>
          <w:lang w:val="fr-FR" w:bidi="fr-FR"/>
        </w:rPr>
        <w:t>’</w:t>
      </w:r>
      <w:r w:rsidRPr="0046567B">
        <w:rPr>
          <w:lang w:val="fr-FR" w:bidi="fr-FR"/>
        </w:rPr>
        <w:t>autonomie par le travail et de réduire la pauvreté intergénérationnelle, le régime d</w:t>
      </w:r>
      <w:r w:rsidR="00FB11B3" w:rsidRPr="0046567B">
        <w:rPr>
          <w:lang w:val="fr-FR" w:bidi="fr-FR"/>
        </w:rPr>
        <w:t>’</w:t>
      </w:r>
      <w:r w:rsidRPr="0046567B">
        <w:rPr>
          <w:lang w:val="fr-FR" w:bidi="fr-FR"/>
        </w:rPr>
        <w:t>aide aux familles de travailleuses et travailleurs à faible revenu a été introduit en mai</w:t>
      </w:r>
      <w:r w:rsidR="002A20B0" w:rsidRPr="0046567B">
        <w:rPr>
          <w:lang w:val="fr-FR" w:bidi="fr-FR"/>
        </w:rPr>
        <w:t xml:space="preserve"> </w:t>
      </w:r>
      <w:r w:rsidRPr="0046567B">
        <w:rPr>
          <w:lang w:val="fr-FR" w:bidi="fr-FR"/>
        </w:rPr>
        <w:t>2016 pour apporter un soutien financier aux familles de travailleurs à faible revenu qui ne bénéficient pas du régime général de sécurité sociale. Les allocations versées au titre de ce régime ont été accordées en fonction de l</w:t>
      </w:r>
      <w:r w:rsidR="00FB11B3" w:rsidRPr="0046567B">
        <w:rPr>
          <w:lang w:val="fr-FR" w:bidi="fr-FR"/>
        </w:rPr>
        <w:t>’</w:t>
      </w:r>
      <w:r w:rsidRPr="0046567B">
        <w:rPr>
          <w:lang w:val="fr-FR" w:bidi="fr-FR"/>
        </w:rPr>
        <w:t xml:space="preserve">emploi et des heures de travail effectuées, afin de rendre plus autonomes les personnes concernées. Ce programme a </w:t>
      </w:r>
      <w:r w:rsidRPr="0046567B">
        <w:rPr>
          <w:rFonts w:hint="eastAsia"/>
          <w:lang w:val="fr-FR" w:bidi="fr-FR"/>
        </w:rPr>
        <w:t xml:space="preserve">également </w:t>
      </w:r>
      <w:r w:rsidRPr="0046567B">
        <w:rPr>
          <w:lang w:val="fr-FR" w:bidi="fr-FR"/>
        </w:rPr>
        <w:t>mis en place un horaire de travail limité pour les parents seuls afin de répondre à leurs besoins spécifiques. Fin mars</w:t>
      </w:r>
      <w:r w:rsidR="002A20B0" w:rsidRPr="0046567B">
        <w:rPr>
          <w:lang w:val="fr-FR" w:bidi="fr-FR"/>
        </w:rPr>
        <w:t xml:space="preserve"> </w:t>
      </w:r>
      <w:r w:rsidRPr="0046567B">
        <w:rPr>
          <w:lang w:val="fr-FR" w:bidi="fr-FR"/>
        </w:rPr>
        <w:t>2018, environ 40</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familles (soit 145</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personnes) bénéficiaient du régime d</w:t>
      </w:r>
      <w:r w:rsidR="00FB11B3" w:rsidRPr="0046567B">
        <w:rPr>
          <w:lang w:val="fr-FR" w:bidi="fr-FR"/>
        </w:rPr>
        <w:t>’</w:t>
      </w:r>
      <w:r w:rsidRPr="0046567B">
        <w:rPr>
          <w:lang w:val="fr-FR" w:bidi="fr-FR"/>
        </w:rPr>
        <w:t>aide aux familles de travailleurs à faible revenu.</w:t>
      </w:r>
    </w:p>
    <w:p w14:paraId="2DB5B11F" w14:textId="555D9DFC"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En</w:t>
      </w:r>
      <w:r w:rsidR="002A20B0" w:rsidRPr="0046567B">
        <w:rPr>
          <w:lang w:val="fr-FR" w:bidi="fr-FR"/>
        </w:rPr>
        <w:t xml:space="preserve"> </w:t>
      </w:r>
      <w:r w:rsidRPr="0046567B">
        <w:rPr>
          <w:lang w:val="fr-FR" w:bidi="fr-FR"/>
        </w:rPr>
        <w:t>2017, le Gouvernement a procédé à une révision complète de ce régime et a introduit une série d</w:t>
      </w:r>
      <w:r w:rsidR="00FB11B3" w:rsidRPr="0046567B">
        <w:rPr>
          <w:lang w:val="fr-FR" w:bidi="fr-FR"/>
        </w:rPr>
        <w:t>’</w:t>
      </w:r>
      <w:r w:rsidRPr="0046567B">
        <w:rPr>
          <w:lang w:val="fr-FR" w:bidi="fr-FR"/>
        </w:rPr>
        <w:t>améliorations, entrée en vigueur le 1</w:t>
      </w:r>
      <w:r w:rsidRPr="0046567B">
        <w:rPr>
          <w:vertAlign w:val="superscript"/>
          <w:lang w:val="fr-FR" w:bidi="fr-FR"/>
        </w:rPr>
        <w:t>er</w:t>
      </w:r>
      <w:r w:rsidR="002A20B0" w:rsidRPr="0046567B">
        <w:rPr>
          <w:lang w:val="fr-FR" w:bidi="fr-FR"/>
        </w:rPr>
        <w:t xml:space="preserve"> </w:t>
      </w:r>
      <w:r w:rsidRPr="0046567B">
        <w:rPr>
          <w:lang w:val="fr-FR" w:bidi="fr-FR"/>
        </w:rPr>
        <w:t>avril</w:t>
      </w:r>
      <w:r w:rsidR="002A20B0" w:rsidRPr="0046567B">
        <w:rPr>
          <w:lang w:val="fr-FR" w:bidi="fr-FR"/>
        </w:rPr>
        <w:t xml:space="preserve"> </w:t>
      </w:r>
      <w:r w:rsidRPr="0046567B">
        <w:rPr>
          <w:lang w:val="fr-FR" w:bidi="fr-FR"/>
        </w:rPr>
        <w:t>2018, y compris l</w:t>
      </w:r>
      <w:r w:rsidR="00FB11B3" w:rsidRPr="0046567B">
        <w:rPr>
          <w:lang w:val="fr-FR" w:bidi="fr-FR"/>
        </w:rPr>
        <w:t>’</w:t>
      </w:r>
      <w:r w:rsidRPr="0046567B">
        <w:rPr>
          <w:lang w:val="fr-FR" w:bidi="fr-FR"/>
        </w:rPr>
        <w:t>extension du régime aux ménages isolés, la possibilité pour les membres d</w:t>
      </w:r>
      <w:r w:rsidR="00FB11B3" w:rsidRPr="0046567B">
        <w:rPr>
          <w:lang w:val="fr-FR" w:bidi="fr-FR"/>
        </w:rPr>
        <w:t>’</w:t>
      </w:r>
      <w:r w:rsidRPr="0046567B">
        <w:rPr>
          <w:lang w:val="fr-FR" w:bidi="fr-FR"/>
        </w:rPr>
        <w:t>une même famille de cumuler leurs heures de travail, l</w:t>
      </w:r>
      <w:r w:rsidR="00FB11B3" w:rsidRPr="0046567B">
        <w:rPr>
          <w:lang w:val="fr-FR" w:bidi="fr-FR"/>
        </w:rPr>
        <w:t>’</w:t>
      </w:r>
      <w:r w:rsidRPr="0046567B">
        <w:rPr>
          <w:lang w:val="fr-FR" w:bidi="fr-FR"/>
        </w:rPr>
        <w:t>assouplissement des conditions de revenu, l</w:t>
      </w:r>
      <w:r w:rsidR="00FB11B3" w:rsidRPr="0046567B">
        <w:rPr>
          <w:lang w:val="fr-FR" w:bidi="fr-FR"/>
        </w:rPr>
        <w:t>’</w:t>
      </w:r>
      <w:r w:rsidRPr="0046567B">
        <w:rPr>
          <w:lang w:val="fr-FR" w:bidi="fr-FR"/>
        </w:rPr>
        <w:t>augmentation du montant des allocations, etc. Le régime d</w:t>
      </w:r>
      <w:r w:rsidR="00FB11B3" w:rsidRPr="0046567B">
        <w:rPr>
          <w:lang w:val="fr-FR" w:bidi="fr-FR"/>
        </w:rPr>
        <w:t>’</w:t>
      </w:r>
      <w:r w:rsidRPr="0046567B">
        <w:rPr>
          <w:lang w:val="fr-FR" w:bidi="fr-FR"/>
        </w:rPr>
        <w:t>aide aux familles de travailleuses et travailleurs à faible revenu a également été rebaptisé « régime d</w:t>
      </w:r>
      <w:r w:rsidR="00FB11B3" w:rsidRPr="0046567B">
        <w:rPr>
          <w:lang w:val="fr-FR" w:bidi="fr-FR"/>
        </w:rPr>
        <w:t>’</w:t>
      </w:r>
      <w:r w:rsidRPr="0046567B">
        <w:rPr>
          <w:lang w:val="fr-FR" w:bidi="fr-FR"/>
        </w:rPr>
        <w:t xml:space="preserve">allocations pour les familles de travailleurs » </w:t>
      </w:r>
      <w:r w:rsidRPr="0046567B">
        <w:rPr>
          <w:i/>
          <w:lang w:val="fr-FR" w:bidi="fr-FR"/>
        </w:rPr>
        <w:t>(Working Family Allowance)</w:t>
      </w:r>
      <w:r w:rsidRPr="0046567B">
        <w:rPr>
          <w:lang w:val="fr-FR" w:bidi="fr-FR"/>
        </w:rPr>
        <w:t>. Les nouvelles dispositions de ce régime devraient bénéficier à un plus grand nombre de ménages de cette catégorie (y compris les femmes et les parents seuls).</w:t>
      </w:r>
    </w:p>
    <w:p w14:paraId="14227272" w14:textId="088D318B" w:rsidR="00503CDF" w:rsidRPr="0046567B" w:rsidRDefault="00503CDF" w:rsidP="00503CDF">
      <w:pPr>
        <w:pStyle w:val="SingleTxt"/>
        <w:spacing w:after="0" w:line="120" w:lineRule="exact"/>
        <w:rPr>
          <w:sz w:val="10"/>
          <w:lang w:val="fr-FR" w:bidi="fr-FR"/>
        </w:rPr>
      </w:pPr>
    </w:p>
    <w:p w14:paraId="2BB268D4" w14:textId="766C63DB" w:rsidR="00503CDF" w:rsidRPr="0046567B" w:rsidRDefault="00503CDF" w:rsidP="00503CDF">
      <w:pPr>
        <w:pStyle w:val="SingleTxt"/>
        <w:spacing w:after="0" w:line="120" w:lineRule="exact"/>
        <w:rPr>
          <w:sz w:val="10"/>
          <w:lang w:val="fr-FR"/>
        </w:rPr>
      </w:pPr>
    </w:p>
    <w:p w14:paraId="2E58B83F" w14:textId="4A52064E" w:rsidR="00FC36AA" w:rsidRPr="0046567B" w:rsidRDefault="00FC36AA" w:rsidP="00503C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Services de l</w:t>
      </w:r>
      <w:r w:rsidR="00FB11B3" w:rsidRPr="0046567B">
        <w:rPr>
          <w:lang w:val="fr-FR" w:bidi="fr-FR"/>
        </w:rPr>
        <w:t>’</w:t>
      </w:r>
      <w:r w:rsidRPr="0046567B">
        <w:rPr>
          <w:lang w:val="fr-FR" w:bidi="fr-FR"/>
        </w:rPr>
        <w:t xml:space="preserve">emploi pour les femmes </w:t>
      </w:r>
      <w:r w:rsidRPr="0046567B">
        <w:rPr>
          <w:rFonts w:hint="eastAsia"/>
          <w:lang w:val="fr-FR" w:bidi="fr-FR"/>
        </w:rPr>
        <w:t>et les jeunes et programmes de reconversion professionnelle</w:t>
      </w:r>
    </w:p>
    <w:p w14:paraId="55B82DE6" w14:textId="15C5AC32" w:rsidR="00503CDF" w:rsidRPr="0046567B" w:rsidRDefault="00503CDF" w:rsidP="00503CDF">
      <w:pPr>
        <w:pStyle w:val="SingleTxt"/>
        <w:spacing w:after="0" w:line="120" w:lineRule="exact"/>
        <w:rPr>
          <w:sz w:val="10"/>
          <w:lang w:val="fr-FR" w:bidi="fr-FR"/>
        </w:rPr>
      </w:pPr>
    </w:p>
    <w:p w14:paraId="5B6BB342" w14:textId="04773F04" w:rsidR="00503CDF" w:rsidRPr="0046567B" w:rsidRDefault="00503CDF" w:rsidP="00503CDF">
      <w:pPr>
        <w:pStyle w:val="SingleTxt"/>
        <w:spacing w:after="0" w:line="120" w:lineRule="exact"/>
        <w:rPr>
          <w:sz w:val="10"/>
          <w:lang w:val="fr-FR" w:bidi="fr-FR"/>
        </w:rPr>
      </w:pPr>
    </w:p>
    <w:p w14:paraId="1CA11564" w14:textId="4BFE5A7D"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 xml:space="preserve">Le Ministère du travail </w:t>
      </w:r>
      <w:r w:rsidRPr="0046567B">
        <w:rPr>
          <w:rFonts w:hint="eastAsia"/>
          <w:lang w:val="fr-FR" w:bidi="fr-FR"/>
        </w:rPr>
        <w:t xml:space="preserve">et le Conseil de reconversion des employés </w:t>
      </w:r>
      <w:r w:rsidRPr="0046567B">
        <w:rPr>
          <w:lang w:val="fr-FR" w:bidi="fr-FR"/>
        </w:rPr>
        <w:t xml:space="preserve">offrent un large éventail de services et de </w:t>
      </w:r>
      <w:r w:rsidRPr="0046567B">
        <w:rPr>
          <w:rFonts w:hint="eastAsia"/>
          <w:lang w:val="fr-FR" w:bidi="fr-FR"/>
        </w:rPr>
        <w:t xml:space="preserve">programmes de reconversion professionnelle </w:t>
      </w:r>
      <w:r w:rsidRPr="0046567B">
        <w:rPr>
          <w:lang w:val="fr-FR" w:bidi="fr-FR"/>
        </w:rPr>
        <w:t>aux demandeurs d</w:t>
      </w:r>
      <w:r w:rsidR="00FB11B3" w:rsidRPr="0046567B">
        <w:rPr>
          <w:lang w:val="fr-FR" w:bidi="fr-FR"/>
        </w:rPr>
        <w:t>’</w:t>
      </w:r>
      <w:r w:rsidRPr="0046567B">
        <w:rPr>
          <w:lang w:val="fr-FR" w:bidi="fr-FR"/>
        </w:rPr>
        <w:t>emploi, notamment aux femmes et aux</w:t>
      </w:r>
      <w:r w:rsidRPr="0046567B">
        <w:rPr>
          <w:rFonts w:hint="eastAsia"/>
          <w:lang w:val="fr-FR" w:bidi="fr-FR"/>
        </w:rPr>
        <w:t xml:space="preserve"> jeunes</w:t>
      </w:r>
      <w:r w:rsidRPr="0046567B">
        <w:rPr>
          <w:lang w:val="fr-FR" w:bidi="fr-FR"/>
        </w:rPr>
        <w:t>.</w:t>
      </w:r>
      <w:r w:rsidRPr="0046567B">
        <w:rPr>
          <w:rFonts w:hint="eastAsia"/>
          <w:lang w:val="fr-FR" w:bidi="fr-FR"/>
        </w:rPr>
        <w:t xml:space="preserve"> </w:t>
      </w:r>
      <w:r w:rsidRPr="0046567B">
        <w:rPr>
          <w:lang w:val="fr-FR" w:bidi="fr-FR"/>
        </w:rPr>
        <w:t>C</w:t>
      </w:r>
      <w:r w:rsidRPr="0046567B">
        <w:rPr>
          <w:rFonts w:hint="eastAsia"/>
          <w:lang w:val="fr-FR" w:bidi="fr-FR"/>
        </w:rPr>
        <w:t>es services et ces programmes figurent à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11E du présent rapport.</w:t>
      </w:r>
    </w:p>
    <w:p w14:paraId="285BF052" w14:textId="6A1F4F81" w:rsidR="00503CDF" w:rsidRPr="0046567B" w:rsidRDefault="00503CDF" w:rsidP="00503CDF">
      <w:pPr>
        <w:pStyle w:val="SingleTxt"/>
        <w:spacing w:after="0" w:line="120" w:lineRule="exact"/>
        <w:rPr>
          <w:sz w:val="10"/>
          <w:lang w:val="fr-FR" w:bidi="fr-FR"/>
        </w:rPr>
      </w:pPr>
    </w:p>
    <w:p w14:paraId="4E3A0046" w14:textId="2229534D" w:rsidR="00503CDF" w:rsidRPr="0046567B" w:rsidRDefault="00503CDF" w:rsidP="00503CDF">
      <w:pPr>
        <w:pStyle w:val="SingleTxt"/>
        <w:spacing w:after="0" w:line="120" w:lineRule="exact"/>
        <w:rPr>
          <w:sz w:val="10"/>
          <w:lang w:val="fr-FR"/>
        </w:rPr>
      </w:pPr>
    </w:p>
    <w:p w14:paraId="6ABE6243" w14:textId="40300446" w:rsidR="00FC36AA" w:rsidRPr="0046567B" w:rsidRDefault="00FC36AA" w:rsidP="002A20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r>
      <w:r w:rsidRPr="0046567B">
        <w:rPr>
          <w:szCs w:val="20"/>
          <w:lang w:val="fr-FR" w:bidi="fr-FR"/>
        </w:rPr>
        <w:t>Main</w:t>
      </w:r>
      <w:r w:rsidRPr="0046567B">
        <w:rPr>
          <w:lang w:val="fr-FR" w:bidi="fr-FR"/>
        </w:rPr>
        <w:t xml:space="preserve"> d</w:t>
      </w:r>
      <w:r w:rsidR="00FB11B3" w:rsidRPr="0046567B">
        <w:rPr>
          <w:lang w:val="fr-FR" w:bidi="fr-FR"/>
        </w:rPr>
        <w:t>’</w:t>
      </w:r>
      <w:r w:rsidRPr="0046567B">
        <w:rPr>
          <w:lang w:val="fr-FR" w:bidi="fr-FR"/>
        </w:rPr>
        <w:t>œuvre importée et personnel domestique étranger</w:t>
      </w:r>
    </w:p>
    <w:p w14:paraId="0C57740B" w14:textId="49B641D9" w:rsidR="00503CDF" w:rsidRPr="0046567B" w:rsidRDefault="00503CDF" w:rsidP="002A20B0">
      <w:pPr>
        <w:pStyle w:val="SingleTxt"/>
        <w:keepNext/>
        <w:keepLines/>
        <w:spacing w:after="0" w:line="120" w:lineRule="exact"/>
        <w:rPr>
          <w:sz w:val="10"/>
          <w:lang w:val="fr-FR" w:bidi="fr-FR"/>
        </w:rPr>
      </w:pPr>
    </w:p>
    <w:p w14:paraId="70091093" w14:textId="77777777" w:rsidR="00503CDF" w:rsidRPr="0046567B" w:rsidRDefault="00503CDF" w:rsidP="002A20B0">
      <w:pPr>
        <w:pStyle w:val="SingleTxt"/>
        <w:keepNext/>
        <w:keepLines/>
        <w:spacing w:after="0" w:line="120" w:lineRule="exact"/>
        <w:rPr>
          <w:sz w:val="10"/>
          <w:lang w:val="fr-FR" w:bidi="fr-FR"/>
        </w:rPr>
      </w:pPr>
    </w:p>
    <w:p w14:paraId="24CC8260" w14:textId="21EACE67" w:rsidR="00FC36AA" w:rsidRPr="0046567B" w:rsidRDefault="00FC36AA" w:rsidP="002A20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Protection en </w:t>
      </w:r>
      <w:r w:rsidRPr="0046567B">
        <w:rPr>
          <w:szCs w:val="20"/>
          <w:lang w:val="fr-FR" w:bidi="fr-FR"/>
        </w:rPr>
        <w:t>vertu</w:t>
      </w:r>
      <w:r w:rsidRPr="0046567B">
        <w:rPr>
          <w:lang w:val="fr-FR" w:bidi="fr-FR"/>
        </w:rPr>
        <w:t xml:space="preserve"> de la législation du travail</w:t>
      </w:r>
    </w:p>
    <w:p w14:paraId="47FD1BF6" w14:textId="54267E56" w:rsidR="00503CDF" w:rsidRPr="0046567B" w:rsidRDefault="00503CDF" w:rsidP="002A20B0">
      <w:pPr>
        <w:pStyle w:val="SingleTxt"/>
        <w:keepNext/>
        <w:keepLines/>
        <w:spacing w:after="0" w:line="120" w:lineRule="exact"/>
        <w:rPr>
          <w:sz w:val="10"/>
          <w:lang w:val="fr-FR" w:bidi="fr-FR"/>
        </w:rPr>
      </w:pPr>
    </w:p>
    <w:p w14:paraId="54B27524" w14:textId="3E176842" w:rsidR="00FC36AA" w:rsidRPr="0046567B" w:rsidRDefault="00FC36AA" w:rsidP="002A20B0">
      <w:pPr>
        <w:pStyle w:val="SingleTxt"/>
        <w:keepNext/>
        <w:keepLines/>
        <w:numPr>
          <w:ilvl w:val="0"/>
          <w:numId w:val="32"/>
        </w:numPr>
        <w:spacing w:line="240" w:lineRule="exact"/>
        <w:ind w:left="1267" w:firstLine="0"/>
        <w:rPr>
          <w:lang w:val="fr-FR"/>
        </w:rPr>
      </w:pPr>
      <w:r w:rsidRPr="0046567B">
        <w:rPr>
          <w:lang w:val="fr-FR" w:bidi="fr-FR"/>
        </w:rPr>
        <w:t>Fin mars</w:t>
      </w:r>
      <w:r w:rsidR="002A20B0" w:rsidRPr="0046567B">
        <w:rPr>
          <w:lang w:val="fr-FR" w:bidi="fr-FR"/>
        </w:rPr>
        <w:t xml:space="preserve"> </w:t>
      </w:r>
      <w:r w:rsidRPr="0046567B">
        <w:rPr>
          <w:lang w:val="fr-FR" w:bidi="fr-FR"/>
        </w:rPr>
        <w:t>2018, environ 4</w:t>
      </w:r>
      <w:r w:rsidR="002A20B0" w:rsidRPr="0046567B">
        <w:rPr>
          <w:lang w:val="fr-FR" w:bidi="fr-FR"/>
        </w:rPr>
        <w:t xml:space="preserve"> </w:t>
      </w:r>
      <w:r w:rsidRPr="0046567B">
        <w:rPr>
          <w:lang w:val="fr-FR" w:bidi="fr-FR"/>
        </w:rPr>
        <w:t>800</w:t>
      </w:r>
      <w:r w:rsidR="002A20B0" w:rsidRPr="0046567B">
        <w:rPr>
          <w:lang w:val="fr-FR" w:bidi="fr-FR"/>
        </w:rPr>
        <w:t xml:space="preserve"> </w:t>
      </w:r>
      <w:r w:rsidRPr="0046567B">
        <w:rPr>
          <w:lang w:val="fr-FR" w:bidi="fr-FR"/>
        </w:rPr>
        <w:t>travailleurs détachés dans le cadre du Programme d</w:t>
      </w:r>
      <w:r w:rsidR="00FB11B3" w:rsidRPr="0046567B">
        <w:rPr>
          <w:lang w:val="fr-FR" w:bidi="fr-FR"/>
        </w:rPr>
        <w:t>’</w:t>
      </w:r>
      <w:r w:rsidRPr="0046567B">
        <w:rPr>
          <w:lang w:val="fr-FR" w:bidi="fr-FR"/>
        </w:rPr>
        <w:t xml:space="preserve">emplois supplémentaires </w:t>
      </w:r>
      <w:r w:rsidRPr="0046567B">
        <w:rPr>
          <w:i/>
          <w:lang w:val="fr-FR" w:bidi="fr-FR"/>
        </w:rPr>
        <w:t>(Supplementary Labour Scheme)</w:t>
      </w:r>
      <w:r w:rsidRPr="0046567B">
        <w:rPr>
          <w:lang w:val="fr-FR" w:bidi="fr-FR"/>
        </w:rPr>
        <w:t xml:space="preserve"> et plus de 376</w:t>
      </w:r>
      <w:r w:rsidR="002A20B0" w:rsidRPr="0046567B">
        <w:rPr>
          <w:lang w:val="fr-FR" w:bidi="fr-FR"/>
        </w:rPr>
        <w:t> </w:t>
      </w:r>
      <w:r w:rsidRPr="0046567B">
        <w:rPr>
          <w:lang w:val="fr-FR" w:bidi="fr-FR"/>
        </w:rPr>
        <w:t>000</w:t>
      </w:r>
      <w:r w:rsidR="002A20B0" w:rsidRPr="0046567B">
        <w:rPr>
          <w:lang w:val="fr-FR" w:bidi="fr-FR"/>
        </w:rPr>
        <w:t xml:space="preserve"> </w:t>
      </w:r>
      <w:r w:rsidRPr="0046567B">
        <w:rPr>
          <w:lang w:val="fr-FR" w:bidi="fr-FR"/>
        </w:rPr>
        <w:t>travailleurs domestiques étrangers étaient employés à Hong Kong.</w:t>
      </w:r>
    </w:p>
    <w:p w14:paraId="5D44BEDE" w14:textId="59E20AE0"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w:t>
      </w:r>
      <w:r w:rsidR="00FB11B3" w:rsidRPr="0046567B">
        <w:rPr>
          <w:lang w:val="fr-FR" w:bidi="fr-FR"/>
        </w:rPr>
        <w:t>’</w:t>
      </w:r>
      <w:r w:rsidRPr="0046567B">
        <w:rPr>
          <w:lang w:val="fr-FR" w:bidi="fr-FR"/>
        </w:rPr>
        <w:t>ordonnance relative à l</w:t>
      </w:r>
      <w:r w:rsidR="00FB11B3" w:rsidRPr="0046567B">
        <w:rPr>
          <w:lang w:val="fr-FR" w:bidi="fr-FR"/>
        </w:rPr>
        <w:t>’</w:t>
      </w:r>
      <w:r w:rsidRPr="0046567B">
        <w:rPr>
          <w:lang w:val="fr-FR" w:bidi="fr-FR"/>
        </w:rPr>
        <w:t>emploi et l</w:t>
      </w:r>
      <w:r w:rsidR="00FB11B3" w:rsidRPr="0046567B">
        <w:rPr>
          <w:lang w:val="fr-FR" w:bidi="fr-FR"/>
        </w:rPr>
        <w:t>’</w:t>
      </w:r>
      <w:r w:rsidRPr="0046567B">
        <w:rPr>
          <w:lang w:val="fr-FR" w:bidi="fr-FR"/>
        </w:rPr>
        <w:t>ordonnance sur l</w:t>
      </w:r>
      <w:r w:rsidR="00FB11B3" w:rsidRPr="0046567B">
        <w:rPr>
          <w:lang w:val="fr-FR" w:bidi="fr-FR"/>
        </w:rPr>
        <w:t>’</w:t>
      </w:r>
      <w:r w:rsidRPr="0046567B">
        <w:rPr>
          <w:lang w:val="fr-FR" w:bidi="fr-FR"/>
        </w:rPr>
        <w:t>indemnisation des employés (chap.</w:t>
      </w:r>
      <w:r w:rsidR="002A20B0" w:rsidRPr="0046567B">
        <w:rPr>
          <w:lang w:val="fr-FR" w:bidi="fr-FR"/>
        </w:rPr>
        <w:t> </w:t>
      </w:r>
      <w:r w:rsidRPr="0046567B">
        <w:rPr>
          <w:lang w:val="fr-FR" w:bidi="fr-FR"/>
        </w:rPr>
        <w:t>282) s</w:t>
      </w:r>
      <w:r w:rsidR="00FB11B3" w:rsidRPr="0046567B">
        <w:rPr>
          <w:lang w:val="fr-FR" w:bidi="fr-FR"/>
        </w:rPr>
        <w:t>’</w:t>
      </w:r>
      <w:r w:rsidRPr="0046567B">
        <w:rPr>
          <w:lang w:val="fr-FR" w:bidi="fr-FR"/>
        </w:rPr>
        <w:t>appliquent aux travailleurs locaux et migrants, indépendamment de leur sexe ou de leur race, comme exposé aux paragraphes</w:t>
      </w:r>
      <w:r w:rsidR="002A20B0" w:rsidRPr="0046567B">
        <w:rPr>
          <w:lang w:val="fr-FR" w:bidi="fr-FR"/>
        </w:rPr>
        <w:t xml:space="preserve"> </w:t>
      </w:r>
      <w:r w:rsidRPr="0046567B">
        <w:rPr>
          <w:lang w:val="fr-FR" w:bidi="fr-FR"/>
        </w:rPr>
        <w:t>272 et</w:t>
      </w:r>
      <w:r w:rsidR="002A20B0" w:rsidRPr="0046567B">
        <w:rPr>
          <w:lang w:val="fr-FR" w:bidi="fr-FR"/>
        </w:rPr>
        <w:t xml:space="preserve"> </w:t>
      </w:r>
      <w:r w:rsidRPr="0046567B">
        <w:rPr>
          <w:lang w:val="fr-FR" w:bidi="fr-FR"/>
        </w:rPr>
        <w:t>277 du rapport précédent.</w:t>
      </w:r>
    </w:p>
    <w:p w14:paraId="315B2DDB" w14:textId="136DA37D"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Aux paragraphes</w:t>
      </w:r>
      <w:r w:rsidR="002A20B0" w:rsidRPr="0046567B">
        <w:rPr>
          <w:lang w:val="fr-FR" w:bidi="fr-FR"/>
        </w:rPr>
        <w:t xml:space="preserve"> </w:t>
      </w:r>
      <w:r w:rsidRPr="0046567B">
        <w:rPr>
          <w:lang w:val="fr-FR" w:bidi="fr-FR"/>
        </w:rPr>
        <w:t>64 et</w:t>
      </w:r>
      <w:r w:rsidR="002A20B0" w:rsidRPr="0046567B">
        <w:rPr>
          <w:lang w:val="fr-FR" w:bidi="fr-FR"/>
        </w:rPr>
        <w:t xml:space="preserve"> </w:t>
      </w:r>
      <w:r w:rsidRPr="0046567B">
        <w:rPr>
          <w:lang w:val="fr-FR" w:bidi="fr-FR"/>
        </w:rPr>
        <w:t>65 de ses précédentes observations finales, le Comité s</w:t>
      </w:r>
      <w:r w:rsidR="00FB11B3" w:rsidRPr="0046567B">
        <w:rPr>
          <w:lang w:val="fr-FR" w:bidi="fr-FR"/>
        </w:rPr>
        <w:t>’</w:t>
      </w:r>
      <w:r w:rsidRPr="0046567B">
        <w:rPr>
          <w:lang w:val="fr-FR" w:bidi="fr-FR"/>
        </w:rPr>
        <w:t>est inquiété des observations selon lesquelles les employées de maison étrangères seraient victimes de discrimination sexuelles et/ou sexiste ou fondée sur l</w:t>
      </w:r>
      <w:r w:rsidR="00FB11B3" w:rsidRPr="0046567B">
        <w:rPr>
          <w:lang w:val="fr-FR" w:bidi="fr-FR"/>
        </w:rPr>
        <w:t>’</w:t>
      </w:r>
      <w:r w:rsidRPr="0046567B">
        <w:rPr>
          <w:lang w:val="fr-FR" w:bidi="fr-FR"/>
        </w:rPr>
        <w:t>appartenance ethnique, qu</w:t>
      </w:r>
      <w:r w:rsidR="00FB11B3" w:rsidRPr="0046567B">
        <w:rPr>
          <w:lang w:val="fr-FR" w:bidi="fr-FR"/>
        </w:rPr>
        <w:t>’</w:t>
      </w:r>
      <w:r w:rsidRPr="0046567B">
        <w:rPr>
          <w:lang w:val="fr-FR" w:bidi="fr-FR"/>
        </w:rPr>
        <w:t>elles auraient de plus bas salaires, moins de jours de vacances et plus d</w:t>
      </w:r>
      <w:r w:rsidR="00FB11B3" w:rsidRPr="0046567B">
        <w:rPr>
          <w:lang w:val="fr-FR" w:bidi="fr-FR"/>
        </w:rPr>
        <w:t>’</w:t>
      </w:r>
      <w:r w:rsidRPr="0046567B">
        <w:rPr>
          <w:lang w:val="fr-FR" w:bidi="fr-FR"/>
        </w:rPr>
        <w:t>heures de travail que ce que prévoit la loi. Le Comité est invité à prendre note du fait que la Région administrative spéciale de Hong Kong est l</w:t>
      </w:r>
      <w:r w:rsidR="00FB11B3" w:rsidRPr="0046567B">
        <w:rPr>
          <w:lang w:val="fr-FR" w:bidi="fr-FR"/>
        </w:rPr>
        <w:t>’</w:t>
      </w:r>
      <w:r w:rsidRPr="0046567B">
        <w:rPr>
          <w:lang w:val="fr-FR" w:bidi="fr-FR"/>
        </w:rPr>
        <w:t xml:space="preserve">un des rares endroits au monde qui accorde au personnel de maison étranger des droits et des avantages sociaux identiques à ceux dont bénéficient les travailleurs locaux. Les </w:t>
      </w:r>
      <w:r w:rsidRPr="0046567B">
        <w:rPr>
          <w:rFonts w:hint="eastAsia"/>
          <w:lang w:val="fr-FR" w:bidi="fr-FR"/>
        </w:rPr>
        <w:t xml:space="preserve">politiques et </w:t>
      </w:r>
      <w:r w:rsidRPr="0046567B">
        <w:rPr>
          <w:lang w:val="fr-FR" w:bidi="fr-FR"/>
        </w:rPr>
        <w:t>l</w:t>
      </w:r>
      <w:r w:rsidRPr="0046567B">
        <w:rPr>
          <w:rFonts w:hint="eastAsia"/>
          <w:lang w:val="fr-FR" w:bidi="fr-FR"/>
        </w:rPr>
        <w:t xml:space="preserve">es mesures prises par </w:t>
      </w:r>
      <w:r w:rsidRPr="0046567B">
        <w:rPr>
          <w:lang w:val="fr-FR" w:bidi="fr-FR"/>
        </w:rPr>
        <w:t xml:space="preserve">la </w:t>
      </w:r>
      <w:r w:rsidRPr="0046567B">
        <w:rPr>
          <w:rFonts w:hint="eastAsia"/>
          <w:lang w:val="fr-FR" w:bidi="fr-FR"/>
        </w:rPr>
        <w:t xml:space="preserve">Région administrative spéciale de Hong Kong </w:t>
      </w:r>
      <w:r w:rsidRPr="0046567B">
        <w:rPr>
          <w:lang w:val="fr-FR" w:bidi="fr-FR"/>
        </w:rPr>
        <w:t xml:space="preserve">à </w:t>
      </w:r>
      <w:r w:rsidRPr="0046567B">
        <w:rPr>
          <w:rFonts w:hint="eastAsia"/>
          <w:lang w:val="fr-FR" w:bidi="fr-FR"/>
        </w:rPr>
        <w:t>cet égard figurent à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11F du présent rapport</w:t>
      </w:r>
      <w:r w:rsidRPr="0046567B">
        <w:rPr>
          <w:lang w:val="fr-FR" w:bidi="fr-FR"/>
        </w:rPr>
        <w:t>.</w:t>
      </w:r>
    </w:p>
    <w:p w14:paraId="11FAF0EB" w14:textId="2EA517C4"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 xml:space="preserve">Le Gouvernement a pris note de la recommandation du Comité contenue dans ses précédentes observations finales, </w:t>
      </w:r>
      <w:r w:rsidRPr="0046567B">
        <w:rPr>
          <w:rFonts w:hint="eastAsia"/>
          <w:lang w:val="fr-FR" w:bidi="fr-FR"/>
        </w:rPr>
        <w:t>qui exhortait</w:t>
      </w:r>
      <w:r w:rsidRPr="0046567B">
        <w:rPr>
          <w:lang w:val="fr-FR" w:bidi="fr-FR"/>
        </w:rPr>
        <w:t xml:space="preserve"> la Région administrative spéciale de Hong Kong à adopter une législation conforme à la Convention de</w:t>
      </w:r>
      <w:r w:rsidR="002A20B0" w:rsidRPr="0046567B">
        <w:rPr>
          <w:lang w:val="fr-FR" w:bidi="fr-FR"/>
        </w:rPr>
        <w:t xml:space="preserve"> </w:t>
      </w:r>
      <w:r w:rsidRPr="0046567B">
        <w:rPr>
          <w:lang w:val="fr-FR" w:bidi="fr-FR"/>
        </w:rPr>
        <w:t>2011 sur les travailleuses et travailleurs domestiques de l</w:t>
      </w:r>
      <w:r w:rsidR="00FB11B3" w:rsidRPr="0046567B">
        <w:rPr>
          <w:lang w:val="fr-FR" w:bidi="fr-FR"/>
        </w:rPr>
        <w:t>’</w:t>
      </w:r>
      <w:r w:rsidRPr="0046567B">
        <w:rPr>
          <w:lang w:val="fr-FR" w:bidi="fr-FR"/>
        </w:rPr>
        <w:t>Organisation internationale du Travail (n</w:t>
      </w:r>
      <w:r w:rsidRPr="0046567B">
        <w:rPr>
          <w:vertAlign w:val="superscript"/>
          <w:lang w:val="fr-FR" w:bidi="fr-FR"/>
        </w:rPr>
        <w:t>o</w:t>
      </w:r>
      <w:r w:rsidR="00F2347E" w:rsidRPr="0046567B">
        <w:rPr>
          <w:lang w:val="fr-FR" w:bidi="fr-FR"/>
        </w:rPr>
        <w:t> </w:t>
      </w:r>
      <w:r w:rsidRPr="0046567B">
        <w:rPr>
          <w:lang w:val="fr-FR" w:bidi="fr-FR"/>
        </w:rPr>
        <w:t>189). À ce jour, cette convention n</w:t>
      </w:r>
      <w:r w:rsidR="00FB11B3" w:rsidRPr="0046567B">
        <w:rPr>
          <w:lang w:val="fr-FR" w:bidi="fr-FR"/>
        </w:rPr>
        <w:t>’</w:t>
      </w:r>
      <w:r w:rsidRPr="0046567B">
        <w:rPr>
          <w:lang w:val="fr-FR" w:bidi="fr-FR"/>
        </w:rPr>
        <w:t>a pas été ratifiée par la République populaire de Chine et n</w:t>
      </w:r>
      <w:r w:rsidR="00FB11B3" w:rsidRPr="0046567B">
        <w:rPr>
          <w:lang w:val="fr-FR" w:bidi="fr-FR"/>
        </w:rPr>
        <w:t>’</w:t>
      </w:r>
      <w:r w:rsidRPr="0046567B">
        <w:rPr>
          <w:lang w:val="fr-FR" w:bidi="fr-FR"/>
        </w:rPr>
        <w:t>a pas été appliquée à la Région administrative spéciale de Hong Kong. Néanmoins, comme exposé aux paragraphes ci-dessus et dans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11F</w:t>
      </w:r>
      <w:r w:rsidRPr="0046567B">
        <w:rPr>
          <w:lang w:val="fr-FR" w:bidi="fr-FR"/>
        </w:rPr>
        <w:t>, les travailleurs domestiques, y compris les employés de maison étrangers, bénéficient déjà d</w:t>
      </w:r>
      <w:r w:rsidR="00FB11B3" w:rsidRPr="0046567B">
        <w:rPr>
          <w:lang w:val="fr-FR" w:bidi="fr-FR"/>
        </w:rPr>
        <w:t>’</w:t>
      </w:r>
      <w:r w:rsidRPr="0046567B">
        <w:rPr>
          <w:lang w:val="fr-FR" w:bidi="fr-FR"/>
        </w:rPr>
        <w:t>une protection complète à l</w:t>
      </w:r>
      <w:r w:rsidR="00FB11B3" w:rsidRPr="0046567B">
        <w:rPr>
          <w:lang w:val="fr-FR" w:bidi="fr-FR"/>
        </w:rPr>
        <w:t>’</w:t>
      </w:r>
      <w:r w:rsidRPr="0046567B">
        <w:rPr>
          <w:lang w:val="fr-FR" w:bidi="fr-FR"/>
        </w:rPr>
        <w:t>instar des autres travailleurs en vertu de la législation du travail à Hong Kong.</w:t>
      </w:r>
      <w:r w:rsidR="002A20B0" w:rsidRPr="0046567B">
        <w:rPr>
          <w:lang w:val="fr-FR" w:bidi="fr-FR"/>
        </w:rPr>
        <w:t xml:space="preserve"> </w:t>
      </w:r>
      <w:r w:rsidRPr="0046567B">
        <w:rPr>
          <w:lang w:val="fr-FR" w:bidi="fr-FR"/>
        </w:rPr>
        <w:t>Les employés de maison étrangers bénéficient en outre de droits et d</w:t>
      </w:r>
      <w:r w:rsidR="00FB11B3" w:rsidRPr="0046567B">
        <w:rPr>
          <w:lang w:val="fr-FR" w:bidi="fr-FR"/>
        </w:rPr>
        <w:t>’</w:t>
      </w:r>
      <w:r w:rsidRPr="0046567B">
        <w:rPr>
          <w:lang w:val="fr-FR" w:bidi="fr-FR"/>
        </w:rPr>
        <w:t>avantages prévus dans leurs contrats qui ne sont pas accordés aux travailleurs locaux. Nous surveillerons attentivement la mise en œuvre de cette convention là où elle est en vigueur ailleurs dans le monde et nous étudierons le cas échéant son application à la Région administrative spéciale de Hong Kong.</w:t>
      </w:r>
    </w:p>
    <w:p w14:paraId="4EF07C33" w14:textId="7AD9A197" w:rsidR="00503CDF" w:rsidRPr="0046567B" w:rsidRDefault="00503CDF" w:rsidP="00503CDF">
      <w:pPr>
        <w:pStyle w:val="SingleTxt"/>
        <w:spacing w:after="0" w:line="120" w:lineRule="exact"/>
        <w:rPr>
          <w:sz w:val="10"/>
          <w:lang w:val="fr-FR" w:bidi="fr-FR"/>
        </w:rPr>
      </w:pPr>
    </w:p>
    <w:p w14:paraId="62F93059" w14:textId="441EE3D4"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Réglementation des bureaux de placement</w:t>
      </w:r>
    </w:p>
    <w:p w14:paraId="70172686" w14:textId="432DD76B" w:rsidR="00503CDF" w:rsidRPr="0046567B" w:rsidRDefault="00503CDF" w:rsidP="00503CDF">
      <w:pPr>
        <w:pStyle w:val="SingleTxt"/>
        <w:spacing w:after="0" w:line="120" w:lineRule="exact"/>
        <w:rPr>
          <w:sz w:val="10"/>
          <w:lang w:val="fr-FR" w:bidi="fr-FR"/>
        </w:rPr>
      </w:pPr>
    </w:p>
    <w:p w14:paraId="0CC0C364" w14:textId="4BBCC19F"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Le Gouvernement a pris note de la préoccupation exprimée par le Comité dans ses précédentes observations finales concernant les abus possibles commis par les bureaux de placement à l</w:t>
      </w:r>
      <w:r w:rsidR="00FB11B3" w:rsidRPr="0046567B">
        <w:rPr>
          <w:lang w:val="fr-FR" w:bidi="fr-FR"/>
        </w:rPr>
        <w:t>’</w:t>
      </w:r>
      <w:r w:rsidRPr="0046567B">
        <w:rPr>
          <w:lang w:val="fr-FR" w:bidi="fr-FR"/>
        </w:rPr>
        <w:t xml:space="preserve">encontre des employés de maison étrangers. Le Gouvernement a toujours pris des mesures rigoureuses pour lutter contre les mauvaises pratiques de ces bureaux. </w:t>
      </w:r>
      <w:r w:rsidRPr="0046567B">
        <w:rPr>
          <w:rFonts w:hint="eastAsia"/>
          <w:lang w:val="fr-FR" w:bidi="fr-FR"/>
        </w:rPr>
        <w:t>Le</w:t>
      </w:r>
      <w:r w:rsidRPr="0046567B">
        <w:rPr>
          <w:lang w:val="fr-FR" w:bidi="fr-FR"/>
        </w:rPr>
        <w:t>s</w:t>
      </w:r>
      <w:r w:rsidRPr="0046567B">
        <w:rPr>
          <w:rFonts w:hint="eastAsia"/>
          <w:lang w:val="fr-FR" w:bidi="fr-FR"/>
        </w:rPr>
        <w:t xml:space="preserve"> politiques </w:t>
      </w:r>
      <w:r w:rsidRPr="0046567B">
        <w:rPr>
          <w:lang w:val="fr-FR" w:bidi="fr-FR"/>
        </w:rPr>
        <w:t xml:space="preserve">mises en place </w:t>
      </w:r>
      <w:r w:rsidRPr="0046567B">
        <w:rPr>
          <w:rFonts w:hint="eastAsia"/>
          <w:lang w:val="fr-FR" w:bidi="fr-FR"/>
        </w:rPr>
        <w:t xml:space="preserve">et les </w:t>
      </w:r>
      <w:r w:rsidRPr="0046567B">
        <w:rPr>
          <w:lang w:val="fr-FR" w:bidi="fr-FR"/>
        </w:rPr>
        <w:t>progrès</w:t>
      </w:r>
      <w:r w:rsidRPr="0046567B">
        <w:rPr>
          <w:rFonts w:hint="eastAsia"/>
          <w:lang w:val="fr-FR" w:bidi="fr-FR"/>
        </w:rPr>
        <w:t xml:space="preserve"> </w:t>
      </w:r>
      <w:r w:rsidRPr="0046567B">
        <w:rPr>
          <w:lang w:val="fr-FR" w:bidi="fr-FR"/>
        </w:rPr>
        <w:t xml:space="preserve">obtenus à cet égard </w:t>
      </w:r>
      <w:r w:rsidRPr="0046567B">
        <w:rPr>
          <w:rFonts w:hint="eastAsia"/>
          <w:lang w:val="fr-FR" w:bidi="fr-FR"/>
        </w:rPr>
        <w:t>depuis le précédent rapport sont présentés à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11G.</w:t>
      </w:r>
    </w:p>
    <w:p w14:paraId="42858EE4" w14:textId="28E2FFCC" w:rsidR="00503CDF" w:rsidRPr="0046567B" w:rsidRDefault="00503CDF" w:rsidP="00503CDF">
      <w:pPr>
        <w:pStyle w:val="SingleTxt"/>
        <w:spacing w:after="0" w:line="120" w:lineRule="exact"/>
        <w:rPr>
          <w:sz w:val="10"/>
          <w:lang w:val="fr-FR" w:bidi="fr-FR"/>
        </w:rPr>
      </w:pPr>
    </w:p>
    <w:p w14:paraId="5A148CDF" w14:textId="46786003" w:rsidR="00FC36AA" w:rsidRPr="0046567B" w:rsidRDefault="00503CDF"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szCs w:val="20"/>
          <w:lang w:val="fr-FR" w:bidi="fr-FR"/>
        </w:rPr>
        <w:tab/>
      </w:r>
      <w:r w:rsidRPr="0046567B">
        <w:rPr>
          <w:szCs w:val="20"/>
          <w:lang w:val="fr-FR" w:bidi="fr-FR"/>
        </w:rPr>
        <w:tab/>
      </w:r>
      <w:r w:rsidR="00FC36AA" w:rsidRPr="0046567B">
        <w:rPr>
          <w:szCs w:val="20"/>
          <w:lang w:val="fr-FR" w:bidi="fr-FR"/>
        </w:rPr>
        <w:t>Soutien</w:t>
      </w:r>
      <w:r w:rsidR="00FC36AA" w:rsidRPr="0046567B">
        <w:rPr>
          <w:lang w:val="fr-FR" w:bidi="fr-FR"/>
        </w:rPr>
        <w:t xml:space="preserve"> au personnel</w:t>
      </w:r>
      <w:r w:rsidR="00FC36AA" w:rsidRPr="0046567B">
        <w:rPr>
          <w:rFonts w:hint="eastAsia"/>
          <w:lang w:val="fr-FR" w:bidi="fr-FR"/>
        </w:rPr>
        <w:t xml:space="preserve"> de maison étranger</w:t>
      </w:r>
    </w:p>
    <w:p w14:paraId="13081B40" w14:textId="390A16A8" w:rsidR="00503CDF" w:rsidRPr="0046567B" w:rsidRDefault="00503CDF" w:rsidP="00503CDF">
      <w:pPr>
        <w:pStyle w:val="SingleTxt"/>
        <w:spacing w:after="0" w:line="120" w:lineRule="exact"/>
        <w:rPr>
          <w:sz w:val="10"/>
          <w:lang w:val="fr-FR" w:bidi="fr-FR"/>
        </w:rPr>
      </w:pPr>
    </w:p>
    <w:p w14:paraId="616D3408" w14:textId="22D35933"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Comme indiqué à l</w:t>
      </w:r>
      <w:r w:rsidR="00FB11B3" w:rsidRPr="0046567B">
        <w:rPr>
          <w:lang w:val="fr-FR" w:bidi="fr-FR"/>
        </w:rPr>
        <w:t>’</w:t>
      </w:r>
      <w:r w:rsidRPr="0046567B">
        <w:rPr>
          <w:lang w:val="fr-FR" w:bidi="fr-FR"/>
        </w:rPr>
        <w:t>article</w:t>
      </w:r>
      <w:r w:rsidR="002A20B0" w:rsidRPr="0046567B">
        <w:rPr>
          <w:lang w:val="fr-FR" w:bidi="fr-FR"/>
        </w:rPr>
        <w:t xml:space="preserve"> </w:t>
      </w:r>
      <w:r w:rsidRPr="0046567B">
        <w:rPr>
          <w:lang w:val="fr-FR" w:bidi="fr-FR"/>
        </w:rPr>
        <w:t>6, le Gouvernement a annoncé en mars</w:t>
      </w:r>
      <w:r w:rsidR="002A20B0" w:rsidRPr="0046567B">
        <w:rPr>
          <w:lang w:val="fr-FR" w:bidi="fr-FR"/>
        </w:rPr>
        <w:t xml:space="preserve"> </w:t>
      </w:r>
      <w:r w:rsidRPr="0046567B">
        <w:rPr>
          <w:lang w:val="fr-FR" w:bidi="fr-FR"/>
        </w:rPr>
        <w:t>2018 un Plan d</w:t>
      </w:r>
      <w:r w:rsidR="00FB11B3" w:rsidRPr="0046567B">
        <w:rPr>
          <w:lang w:val="fr-FR" w:bidi="fr-FR"/>
        </w:rPr>
        <w:t>’</w:t>
      </w:r>
      <w:r w:rsidRPr="0046567B">
        <w:rPr>
          <w:lang w:val="fr-FR" w:bidi="fr-FR"/>
        </w:rPr>
        <w:t xml:space="preserve">action global pour lutter contre la traite des personnes et renforcer la protection du personnel domestique étranger </w:t>
      </w:r>
      <w:r w:rsidRPr="0046567B">
        <w:rPr>
          <w:rFonts w:hint="eastAsia"/>
          <w:lang w:val="fr-FR" w:bidi="fr-FR"/>
        </w:rPr>
        <w:t>sur le territoire de Hong Kong. Ce plan a été approuvé par un comité directeur interdépartemental présidé par le Premier secrétaire de l</w:t>
      </w:r>
      <w:r w:rsidR="00FB11B3" w:rsidRPr="0046567B">
        <w:rPr>
          <w:lang w:val="fr-FR" w:bidi="fr-FR"/>
        </w:rPr>
        <w:t>’</w:t>
      </w:r>
      <w:r w:rsidRPr="0046567B">
        <w:rPr>
          <w:rFonts w:hint="eastAsia"/>
          <w:lang w:val="fr-FR" w:bidi="fr-FR"/>
        </w:rPr>
        <w:t>administration. Le Plan d</w:t>
      </w:r>
      <w:r w:rsidR="00FB11B3" w:rsidRPr="0046567B">
        <w:rPr>
          <w:lang w:val="fr-FR" w:bidi="fr-FR"/>
        </w:rPr>
        <w:t>’</w:t>
      </w:r>
      <w:r w:rsidRPr="0046567B">
        <w:rPr>
          <w:rFonts w:hint="eastAsia"/>
          <w:lang w:val="fr-FR" w:bidi="fr-FR"/>
        </w:rPr>
        <w:t xml:space="preserve">action a défini un ensemble de mesures sur plusieurs volets pour lutter contre la traite et améliorer la protection </w:t>
      </w:r>
      <w:r w:rsidRPr="0046567B">
        <w:rPr>
          <w:lang w:val="fr-FR" w:bidi="fr-FR"/>
        </w:rPr>
        <w:t>du personnel</w:t>
      </w:r>
      <w:r w:rsidRPr="0046567B">
        <w:rPr>
          <w:rFonts w:hint="eastAsia"/>
          <w:lang w:val="fr-FR" w:bidi="fr-FR"/>
        </w:rPr>
        <w:t xml:space="preserve"> de maison étranger, y compris le renforcement du soutien et de l</w:t>
      </w:r>
      <w:r w:rsidR="00FB11B3" w:rsidRPr="0046567B">
        <w:rPr>
          <w:lang w:val="fr-FR" w:bidi="fr-FR"/>
        </w:rPr>
        <w:t>’</w:t>
      </w:r>
      <w:r w:rsidRPr="0046567B">
        <w:rPr>
          <w:rFonts w:hint="eastAsia"/>
          <w:lang w:val="fr-FR" w:bidi="fr-FR"/>
        </w:rPr>
        <w:t xml:space="preserve">assistance au </w:t>
      </w:r>
      <w:r w:rsidRPr="0046567B">
        <w:rPr>
          <w:lang w:val="fr-FR" w:bidi="fr-FR"/>
        </w:rPr>
        <w:t>personnel</w:t>
      </w:r>
      <w:r w:rsidRPr="0046567B">
        <w:rPr>
          <w:rFonts w:hint="eastAsia"/>
          <w:lang w:val="fr-FR" w:bidi="fr-FR"/>
        </w:rPr>
        <w:t xml:space="preserve"> de maison étranger exploité. Entre autres mesures, le Ministère du travail devrait créer une nouvelle division dédiée </w:t>
      </w:r>
      <w:r w:rsidRPr="0046567B">
        <w:rPr>
          <w:lang w:val="fr-FR" w:bidi="fr-FR"/>
        </w:rPr>
        <w:t>à cette catégorie de personnel</w:t>
      </w:r>
      <w:r w:rsidRPr="0046567B">
        <w:rPr>
          <w:rFonts w:hint="eastAsia"/>
          <w:lang w:val="fr-FR" w:bidi="fr-FR"/>
        </w:rPr>
        <w:t xml:space="preserve"> pour assurer la mise en œuvre effective des mesures visant à </w:t>
      </w:r>
      <w:r w:rsidRPr="0046567B">
        <w:rPr>
          <w:lang w:val="fr-FR" w:bidi="fr-FR"/>
        </w:rPr>
        <w:t>le protéger</w:t>
      </w:r>
      <w:r w:rsidRPr="0046567B">
        <w:rPr>
          <w:rFonts w:hint="eastAsia"/>
          <w:lang w:val="fr-FR" w:bidi="fr-FR"/>
        </w:rPr>
        <w:t>, par exemple par la mise en place d</w:t>
      </w:r>
      <w:r w:rsidR="00FB11B3" w:rsidRPr="0046567B">
        <w:rPr>
          <w:lang w:val="fr-FR" w:bidi="fr-FR"/>
        </w:rPr>
        <w:t>’</w:t>
      </w:r>
      <w:r w:rsidRPr="0046567B">
        <w:rPr>
          <w:rFonts w:hint="eastAsia"/>
          <w:lang w:val="fr-FR" w:bidi="fr-FR"/>
        </w:rPr>
        <w:t>une assistance téléphonique accompagnée d</w:t>
      </w:r>
      <w:r w:rsidR="00FB11B3" w:rsidRPr="0046567B">
        <w:rPr>
          <w:lang w:val="fr-FR" w:bidi="fr-FR"/>
        </w:rPr>
        <w:t>’</w:t>
      </w:r>
      <w:r w:rsidRPr="0046567B">
        <w:rPr>
          <w:rFonts w:hint="eastAsia"/>
          <w:lang w:val="fr-FR" w:bidi="fr-FR"/>
        </w:rPr>
        <w:t>un service d</w:t>
      </w:r>
      <w:r w:rsidR="00FB11B3" w:rsidRPr="0046567B">
        <w:rPr>
          <w:lang w:val="fr-FR" w:bidi="fr-FR"/>
        </w:rPr>
        <w:t>’</w:t>
      </w:r>
      <w:r w:rsidRPr="0046567B">
        <w:rPr>
          <w:rFonts w:hint="eastAsia"/>
          <w:lang w:val="fr-FR" w:bidi="fr-FR"/>
        </w:rPr>
        <w:t>interprétation. Les autres aides aux employés de maison étrangers et les efforts de promotion et de communication connexes sont présentés à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11H.</w:t>
      </w:r>
    </w:p>
    <w:p w14:paraId="63E314B0" w14:textId="199D9502" w:rsidR="00503CDF" w:rsidRPr="0046567B" w:rsidRDefault="00503CDF" w:rsidP="00503CDF">
      <w:pPr>
        <w:pStyle w:val="SingleTxt"/>
        <w:spacing w:after="0" w:line="120" w:lineRule="exact"/>
        <w:rPr>
          <w:sz w:val="10"/>
          <w:lang w:val="fr-FR" w:bidi="fr-FR"/>
        </w:rPr>
      </w:pPr>
    </w:p>
    <w:p w14:paraId="3571FBC3" w14:textId="32A7DBB4"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Règle des « deux semaines »</w:t>
      </w:r>
    </w:p>
    <w:p w14:paraId="6CA44EF8" w14:textId="76768457" w:rsidR="00503CDF" w:rsidRPr="0046567B" w:rsidRDefault="00503CDF" w:rsidP="00503CDF">
      <w:pPr>
        <w:pStyle w:val="SingleTxt"/>
        <w:spacing w:after="0" w:line="120" w:lineRule="exact"/>
        <w:rPr>
          <w:sz w:val="10"/>
          <w:lang w:val="fr-FR" w:bidi="fr-FR"/>
        </w:rPr>
      </w:pPr>
    </w:p>
    <w:p w14:paraId="70D42E0C" w14:textId="63CAFECB"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 xml:space="preserve">Dans ses </w:t>
      </w:r>
      <w:r w:rsidRPr="0046567B">
        <w:rPr>
          <w:rFonts w:hint="eastAsia"/>
          <w:lang w:val="fr-FR" w:bidi="fr-FR"/>
        </w:rPr>
        <w:t>observations</w:t>
      </w:r>
      <w:r w:rsidRPr="0046567B">
        <w:rPr>
          <w:lang w:val="fr-FR" w:bidi="fr-FR"/>
        </w:rPr>
        <w:t xml:space="preserve"> </w:t>
      </w:r>
      <w:r w:rsidRPr="0046567B">
        <w:rPr>
          <w:rFonts w:hint="eastAsia"/>
          <w:lang w:val="fr-FR" w:bidi="fr-FR"/>
        </w:rPr>
        <w:t>finales</w:t>
      </w:r>
      <w:r w:rsidRPr="0046567B">
        <w:rPr>
          <w:lang w:val="fr-FR" w:bidi="fr-FR"/>
        </w:rPr>
        <w:t>, le Comité a recommandé d</w:t>
      </w:r>
      <w:r w:rsidR="00FB11B3" w:rsidRPr="0046567B">
        <w:rPr>
          <w:lang w:val="fr-FR" w:bidi="fr-FR"/>
        </w:rPr>
        <w:t>’</w:t>
      </w:r>
      <w:r w:rsidRPr="0046567B">
        <w:rPr>
          <w:lang w:val="fr-FR" w:bidi="fr-FR"/>
        </w:rPr>
        <w:t xml:space="preserve">adapter la règle des « deux semaines » pour permettre aux employées et </w:t>
      </w:r>
      <w:r w:rsidRPr="0046567B">
        <w:rPr>
          <w:rFonts w:hint="eastAsia"/>
          <w:lang w:val="fr-FR" w:bidi="fr-FR"/>
        </w:rPr>
        <w:t>employés de maison étrangers</w:t>
      </w:r>
      <w:r w:rsidRPr="0046567B">
        <w:rPr>
          <w:lang w:val="fr-FR" w:bidi="fr-FR"/>
        </w:rPr>
        <w:t xml:space="preserve"> dont le contrat a été rompu d</w:t>
      </w:r>
      <w:r w:rsidR="00FB11B3" w:rsidRPr="0046567B">
        <w:rPr>
          <w:lang w:val="fr-FR" w:bidi="fr-FR"/>
        </w:rPr>
        <w:t>’</w:t>
      </w:r>
      <w:r w:rsidRPr="0046567B">
        <w:rPr>
          <w:lang w:val="fr-FR" w:bidi="fr-FR"/>
        </w:rPr>
        <w:t>avoir suffisamment de temps pour rechercher un nouvel emploi ou pour engager des poursuites à l</w:t>
      </w:r>
      <w:r w:rsidR="00FB11B3" w:rsidRPr="0046567B">
        <w:rPr>
          <w:lang w:val="fr-FR" w:bidi="fr-FR"/>
        </w:rPr>
        <w:t>’</w:t>
      </w:r>
      <w:r w:rsidRPr="0046567B">
        <w:rPr>
          <w:lang w:val="fr-FR" w:bidi="fr-FR"/>
        </w:rPr>
        <w:t>encontre de leur ancien employeur. Néanmoins, la raison d</w:t>
      </w:r>
      <w:r w:rsidR="00FB11B3" w:rsidRPr="0046567B">
        <w:rPr>
          <w:lang w:val="fr-FR" w:bidi="fr-FR"/>
        </w:rPr>
        <w:t>’</w:t>
      </w:r>
      <w:r w:rsidRPr="0046567B">
        <w:rPr>
          <w:lang w:val="fr-FR" w:bidi="fr-FR"/>
        </w:rPr>
        <w:t>être de cette règle est de laisser suffisamment de temps aux employées et employés de maison étrangers pour préparer leur départ et de maintenir un contrôle efficace sur l</w:t>
      </w:r>
      <w:r w:rsidR="00FB11B3" w:rsidRPr="0046567B">
        <w:rPr>
          <w:lang w:val="fr-FR" w:bidi="fr-FR"/>
        </w:rPr>
        <w:t>’</w:t>
      </w:r>
      <w:r w:rsidRPr="0046567B">
        <w:rPr>
          <w:lang w:val="fr-FR" w:bidi="fr-FR"/>
        </w:rPr>
        <w:t>immigration en les dissuadant de changer fréquemment d</w:t>
      </w:r>
      <w:r w:rsidR="00FB11B3" w:rsidRPr="0046567B">
        <w:rPr>
          <w:lang w:val="fr-FR" w:bidi="fr-FR"/>
        </w:rPr>
        <w:t>’</w:t>
      </w:r>
      <w:r w:rsidRPr="0046567B">
        <w:rPr>
          <w:lang w:val="fr-FR" w:bidi="fr-FR"/>
        </w:rPr>
        <w:t>emploi ou de travailler illégalement à l</w:t>
      </w:r>
      <w:r w:rsidR="00FB11B3" w:rsidRPr="0046567B">
        <w:rPr>
          <w:lang w:val="fr-FR" w:bidi="fr-FR"/>
        </w:rPr>
        <w:t>’</w:t>
      </w:r>
      <w:r w:rsidRPr="0046567B">
        <w:rPr>
          <w:lang w:val="fr-FR" w:bidi="fr-FR"/>
        </w:rPr>
        <w:t>issue de leur contrat.</w:t>
      </w:r>
      <w:r w:rsidR="002A20B0" w:rsidRPr="0046567B">
        <w:rPr>
          <w:lang w:val="fr-FR" w:bidi="fr-FR"/>
        </w:rPr>
        <w:t xml:space="preserve"> </w:t>
      </w:r>
      <w:r w:rsidRPr="0046567B">
        <w:rPr>
          <w:lang w:val="fr-FR" w:bidi="fr-FR"/>
        </w:rPr>
        <w:t>Cette règle ne vise pas à leur faciliter la recherche de nouveaux employeurs. Cette politique n</w:t>
      </w:r>
      <w:r w:rsidR="00FB11B3" w:rsidRPr="0046567B">
        <w:rPr>
          <w:lang w:val="fr-FR" w:bidi="fr-FR"/>
        </w:rPr>
        <w:t>’</w:t>
      </w:r>
      <w:r w:rsidRPr="0046567B">
        <w:rPr>
          <w:lang w:val="fr-FR" w:bidi="fr-FR"/>
        </w:rPr>
        <w:t>empêche pas les travailleuses ou travailleurs importés ou les employées et employés de maison étrangers de travailler à nouveau à Hong Kong après être retournés sur leur lieu de résidence. Le coût des vols de retour est entièrement pris en charge par l</w:t>
      </w:r>
      <w:r w:rsidR="00FB11B3" w:rsidRPr="0046567B">
        <w:rPr>
          <w:lang w:val="fr-FR" w:bidi="fr-FR"/>
        </w:rPr>
        <w:t>’</w:t>
      </w:r>
      <w:r w:rsidRPr="0046567B">
        <w:rPr>
          <w:lang w:val="fr-FR" w:bidi="fr-FR"/>
        </w:rPr>
        <w:t>employeur.</w:t>
      </w:r>
    </w:p>
    <w:p w14:paraId="16F763C5" w14:textId="2915F74D"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Dans certains cas particuliers, le Gouvernement dispose d</w:t>
      </w:r>
      <w:r w:rsidR="00FB11B3" w:rsidRPr="0046567B">
        <w:rPr>
          <w:lang w:val="fr-FR" w:bidi="fr-FR"/>
        </w:rPr>
        <w:t>’</w:t>
      </w:r>
      <w:r w:rsidRPr="0046567B">
        <w:rPr>
          <w:lang w:val="fr-FR" w:bidi="fr-FR"/>
        </w:rPr>
        <w:t>un pouvoir discrétionnaire pour permettre aux employées et employés de maison étrangers dont le contrat a été rompu prématurément de changer d</w:t>
      </w:r>
      <w:r w:rsidR="00FB11B3" w:rsidRPr="0046567B">
        <w:rPr>
          <w:lang w:val="fr-FR" w:bidi="fr-FR"/>
        </w:rPr>
        <w:t>’</w:t>
      </w:r>
      <w:r w:rsidRPr="0046567B">
        <w:rPr>
          <w:lang w:val="fr-FR" w:bidi="fr-FR"/>
        </w:rPr>
        <w:t>employeur sans avoir à retourner sur leur lieu de résidence. De janvier à février</w:t>
      </w:r>
      <w:r w:rsidR="002A20B0" w:rsidRPr="0046567B">
        <w:rPr>
          <w:lang w:val="fr-FR" w:bidi="fr-FR"/>
        </w:rPr>
        <w:t xml:space="preserve"> </w:t>
      </w:r>
      <w:r w:rsidRPr="0046567B">
        <w:rPr>
          <w:lang w:val="fr-FR" w:bidi="fr-FR"/>
        </w:rPr>
        <w:t>2018, 1</w:t>
      </w:r>
      <w:r w:rsidR="002A20B0" w:rsidRPr="0046567B">
        <w:rPr>
          <w:lang w:val="fr-FR" w:bidi="fr-FR"/>
        </w:rPr>
        <w:t> </w:t>
      </w:r>
      <w:r w:rsidRPr="0046567B">
        <w:rPr>
          <w:lang w:val="fr-FR" w:bidi="fr-FR"/>
        </w:rPr>
        <w:t>058</w:t>
      </w:r>
      <w:r w:rsidR="002A20B0" w:rsidRPr="0046567B">
        <w:rPr>
          <w:lang w:val="fr-FR" w:bidi="fr-FR"/>
        </w:rPr>
        <w:t xml:space="preserve"> </w:t>
      </w:r>
      <w:r w:rsidRPr="0046567B">
        <w:rPr>
          <w:lang w:val="fr-FR" w:bidi="fr-FR"/>
        </w:rPr>
        <w:t>demandes de ce type (88,8</w:t>
      </w:r>
      <w:r w:rsidR="00FB11B3" w:rsidRPr="0046567B">
        <w:rPr>
          <w:lang w:val="fr-FR" w:bidi="fr-FR"/>
        </w:rPr>
        <w:t> %</w:t>
      </w:r>
      <w:r w:rsidRPr="0046567B">
        <w:rPr>
          <w:lang w:val="fr-FR" w:bidi="fr-FR"/>
        </w:rPr>
        <w:t xml:space="preserve"> du nombre total de demandes) ont été approuvées par le Gouvernement.</w:t>
      </w:r>
    </w:p>
    <w:p w14:paraId="2BBB3524" w14:textId="1ABAC6F3"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Dans le cas où une employée ou un employé de maison étranger doit rester à Hong Kong pour régler un conflit de travail, elle ou il peut demander une prolongation de son séjour. Il sera fait preuve de souplesse pour prolonger le séjour de la personne concernée sous le statut de visiteur, en attendant l</w:t>
      </w:r>
      <w:r w:rsidR="00FB11B3" w:rsidRPr="0046567B">
        <w:rPr>
          <w:lang w:val="fr-FR" w:bidi="fr-FR"/>
        </w:rPr>
        <w:t>’</w:t>
      </w:r>
      <w:r w:rsidRPr="0046567B">
        <w:rPr>
          <w:lang w:val="fr-FR" w:bidi="fr-FR"/>
        </w:rPr>
        <w:t>issue du conflit.</w:t>
      </w:r>
    </w:p>
    <w:p w14:paraId="22FA7A63" w14:textId="7E35E52E" w:rsidR="00503CDF" w:rsidRPr="0046567B" w:rsidRDefault="00503CDF" w:rsidP="00503CDF">
      <w:pPr>
        <w:pStyle w:val="SingleTxt"/>
        <w:spacing w:after="0" w:line="120" w:lineRule="exact"/>
        <w:rPr>
          <w:sz w:val="10"/>
          <w:lang w:val="fr-FR" w:bidi="fr-FR"/>
        </w:rPr>
      </w:pPr>
    </w:p>
    <w:p w14:paraId="47F25EE0" w14:textId="71E72ACA"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Obligation de « vie à demeure »</w:t>
      </w:r>
    </w:p>
    <w:p w14:paraId="4C617C58" w14:textId="52EC2AA3" w:rsidR="00503CDF" w:rsidRPr="0046567B" w:rsidRDefault="00503CDF" w:rsidP="00503CDF">
      <w:pPr>
        <w:pStyle w:val="SingleTxt"/>
        <w:spacing w:after="0" w:line="120" w:lineRule="exact"/>
        <w:rPr>
          <w:sz w:val="10"/>
          <w:lang w:val="fr-FR" w:bidi="fr-FR"/>
        </w:rPr>
      </w:pPr>
    </w:p>
    <w:p w14:paraId="382E8514" w14:textId="238A07FE"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w:t>
      </w:r>
      <w:r w:rsidR="00FB11B3" w:rsidRPr="0046567B">
        <w:rPr>
          <w:lang w:val="fr-FR" w:bidi="fr-FR"/>
        </w:rPr>
        <w:t>’</w:t>
      </w:r>
      <w:r w:rsidRPr="0046567B">
        <w:rPr>
          <w:lang w:val="fr-FR" w:bidi="fr-FR"/>
        </w:rPr>
        <w:t>obligation de « vie à demeure » constitue la pierre angulaire de la politique d</w:t>
      </w:r>
      <w:r w:rsidR="00FB11B3" w:rsidRPr="0046567B">
        <w:rPr>
          <w:lang w:val="fr-FR" w:bidi="fr-FR"/>
        </w:rPr>
        <w:t>’</w:t>
      </w:r>
      <w:r w:rsidRPr="0046567B">
        <w:rPr>
          <w:lang w:val="fr-FR" w:bidi="fr-FR"/>
        </w:rPr>
        <w:t>immigration de la Région administrative spéciale de Hong Kong pour les employées et employés de maison étrangers. À l</w:t>
      </w:r>
      <w:r w:rsidR="00FB11B3" w:rsidRPr="0046567B">
        <w:rPr>
          <w:lang w:val="fr-FR" w:bidi="fr-FR"/>
        </w:rPr>
        <w:t>’</w:t>
      </w:r>
      <w:r w:rsidRPr="0046567B">
        <w:rPr>
          <w:lang w:val="fr-FR" w:bidi="fr-FR"/>
        </w:rPr>
        <w:t>instar de nombreuses autres autorités dans le monde, le Gouvernement a décidé de donner la priorité à la main-d</w:t>
      </w:r>
      <w:r w:rsidR="00FB11B3" w:rsidRPr="0046567B">
        <w:rPr>
          <w:lang w:val="fr-FR" w:bidi="fr-FR"/>
        </w:rPr>
        <w:t>’</w:t>
      </w:r>
      <w:r w:rsidRPr="0046567B">
        <w:rPr>
          <w:lang w:val="fr-FR" w:bidi="fr-FR"/>
        </w:rPr>
        <w:t>œuvre locale en matière d</w:t>
      </w:r>
      <w:r w:rsidR="00FB11B3" w:rsidRPr="0046567B">
        <w:rPr>
          <w:lang w:val="fr-FR" w:bidi="fr-FR"/>
        </w:rPr>
        <w:t>’</w:t>
      </w:r>
      <w:r w:rsidRPr="0046567B">
        <w:rPr>
          <w:lang w:val="fr-FR" w:bidi="fr-FR"/>
        </w:rPr>
        <w:t>emploi. L</w:t>
      </w:r>
      <w:r w:rsidR="00FB11B3" w:rsidRPr="0046567B">
        <w:rPr>
          <w:lang w:val="fr-FR" w:bidi="fr-FR"/>
        </w:rPr>
        <w:t>’</w:t>
      </w:r>
      <w:r w:rsidRPr="0046567B">
        <w:rPr>
          <w:lang w:val="fr-FR" w:bidi="fr-FR"/>
        </w:rPr>
        <w:t>importation de travailleuses et travailleurs ne devrait être autorisée qu</w:t>
      </w:r>
      <w:r w:rsidR="00FB11B3" w:rsidRPr="0046567B">
        <w:rPr>
          <w:lang w:val="fr-FR" w:bidi="fr-FR"/>
        </w:rPr>
        <w:t>’</w:t>
      </w:r>
      <w:r w:rsidRPr="0046567B">
        <w:rPr>
          <w:lang w:val="fr-FR" w:bidi="fr-FR"/>
        </w:rPr>
        <w:t>en cas de pénurie confirmée de main-d</w:t>
      </w:r>
      <w:r w:rsidR="00FB11B3" w:rsidRPr="0046567B">
        <w:rPr>
          <w:lang w:val="fr-FR" w:bidi="fr-FR"/>
        </w:rPr>
        <w:t>’</w:t>
      </w:r>
      <w:r w:rsidRPr="0046567B">
        <w:rPr>
          <w:lang w:val="fr-FR" w:bidi="fr-FR"/>
        </w:rPr>
        <w:t>œuvre, pour des emplois particuliers qui ne peuvent être occupés par des personnes locales. C</w:t>
      </w:r>
      <w:r w:rsidR="00FB11B3" w:rsidRPr="0046567B">
        <w:rPr>
          <w:lang w:val="fr-FR" w:bidi="fr-FR"/>
        </w:rPr>
        <w:t>’</w:t>
      </w:r>
      <w:r w:rsidRPr="0046567B">
        <w:rPr>
          <w:lang w:val="fr-FR" w:bidi="fr-FR"/>
        </w:rPr>
        <w:t>est sur la base de ce principe que les employées et employés de maison étrangers sont importés depuis le début des années</w:t>
      </w:r>
      <w:r w:rsidR="002A20B0" w:rsidRPr="0046567B">
        <w:rPr>
          <w:lang w:val="fr-FR" w:bidi="fr-FR"/>
        </w:rPr>
        <w:t xml:space="preserve"> </w:t>
      </w:r>
      <w:r w:rsidRPr="0046567B">
        <w:rPr>
          <w:lang w:val="fr-FR" w:bidi="fr-FR"/>
        </w:rPr>
        <w:t>1970 pour répondre à la pénurie de travailleuses et travailleurs domestiques locaux. Étant donné qu</w:t>
      </w:r>
      <w:r w:rsidR="00FB11B3" w:rsidRPr="0046567B">
        <w:rPr>
          <w:lang w:val="fr-FR" w:bidi="fr-FR"/>
        </w:rPr>
        <w:t>’</w:t>
      </w:r>
      <w:r w:rsidRPr="0046567B">
        <w:rPr>
          <w:lang w:val="fr-FR" w:bidi="fr-FR"/>
        </w:rPr>
        <w:t>il n</w:t>
      </w:r>
      <w:r w:rsidR="00FB11B3" w:rsidRPr="0046567B">
        <w:rPr>
          <w:lang w:val="fr-FR" w:bidi="fr-FR"/>
        </w:rPr>
        <w:t>’</w:t>
      </w:r>
      <w:r w:rsidRPr="0046567B">
        <w:rPr>
          <w:lang w:val="fr-FR" w:bidi="fr-FR"/>
        </w:rPr>
        <w:t>y a pas de pénurie de travailleuses et travailleurs domestiques locaux qui ne vivent pas «</w:t>
      </w:r>
      <w:r w:rsidR="002A20B0" w:rsidRPr="0046567B">
        <w:rPr>
          <w:lang w:val="fr-FR" w:bidi="fr-FR"/>
        </w:rPr>
        <w:t> </w:t>
      </w:r>
      <w:r w:rsidRPr="0046567B">
        <w:rPr>
          <w:lang w:val="fr-FR" w:bidi="fr-FR"/>
        </w:rPr>
        <w:t>à demeure</w:t>
      </w:r>
      <w:r w:rsidR="002A20B0" w:rsidRPr="0046567B">
        <w:rPr>
          <w:lang w:val="fr-FR" w:bidi="fr-FR"/>
        </w:rPr>
        <w:t> </w:t>
      </w:r>
      <w:r w:rsidRPr="0046567B">
        <w:rPr>
          <w:lang w:val="fr-FR" w:bidi="fr-FR"/>
        </w:rPr>
        <w:t>», toute modification de l</w:t>
      </w:r>
      <w:r w:rsidR="00FB11B3" w:rsidRPr="0046567B">
        <w:rPr>
          <w:lang w:val="fr-FR" w:bidi="fr-FR"/>
        </w:rPr>
        <w:t>’</w:t>
      </w:r>
      <w:r w:rsidRPr="0046567B">
        <w:rPr>
          <w:lang w:val="fr-FR" w:bidi="fr-FR"/>
        </w:rPr>
        <w:t>obligation de «</w:t>
      </w:r>
      <w:r w:rsidR="002A20B0" w:rsidRPr="0046567B">
        <w:rPr>
          <w:lang w:val="fr-FR" w:bidi="fr-FR"/>
        </w:rPr>
        <w:t> </w:t>
      </w:r>
      <w:r w:rsidRPr="0046567B">
        <w:rPr>
          <w:lang w:val="fr-FR" w:bidi="fr-FR"/>
        </w:rPr>
        <w:t>vie à demeure</w:t>
      </w:r>
      <w:r w:rsidR="002A20B0" w:rsidRPr="0046567B">
        <w:rPr>
          <w:lang w:val="fr-FR" w:bidi="fr-FR"/>
        </w:rPr>
        <w:t> </w:t>
      </w:r>
      <w:r w:rsidRPr="0046567B">
        <w:rPr>
          <w:lang w:val="fr-FR" w:bidi="fr-FR"/>
        </w:rPr>
        <w:t>» irait à l</w:t>
      </w:r>
      <w:r w:rsidR="00FB11B3" w:rsidRPr="0046567B">
        <w:rPr>
          <w:lang w:val="fr-FR" w:bidi="fr-FR"/>
        </w:rPr>
        <w:t>’</w:t>
      </w:r>
      <w:r w:rsidRPr="0046567B">
        <w:rPr>
          <w:lang w:val="fr-FR" w:bidi="fr-FR"/>
        </w:rPr>
        <w:t>encontre de la justification de l</w:t>
      </w:r>
      <w:r w:rsidR="00FB11B3" w:rsidRPr="0046567B">
        <w:rPr>
          <w:lang w:val="fr-FR" w:bidi="fr-FR"/>
        </w:rPr>
        <w:t>’</w:t>
      </w:r>
      <w:r w:rsidRPr="0046567B">
        <w:rPr>
          <w:lang w:val="fr-FR" w:bidi="fr-FR"/>
        </w:rPr>
        <w:t>importation de cette catégorie de personnel et contredirait la politique générale du Gouvernement selon laquelle les travailleuses et travailleurs locaux doivent bénéficier d</w:t>
      </w:r>
      <w:r w:rsidR="00FB11B3" w:rsidRPr="0046567B">
        <w:rPr>
          <w:lang w:val="fr-FR" w:bidi="fr-FR"/>
        </w:rPr>
        <w:t>’</w:t>
      </w:r>
      <w:r w:rsidRPr="0046567B">
        <w:rPr>
          <w:lang w:val="fr-FR" w:bidi="fr-FR"/>
        </w:rPr>
        <w:t>une priorité d</w:t>
      </w:r>
      <w:r w:rsidR="00FB11B3" w:rsidRPr="0046567B">
        <w:rPr>
          <w:lang w:val="fr-FR" w:bidi="fr-FR"/>
        </w:rPr>
        <w:t>’</w:t>
      </w:r>
      <w:r w:rsidRPr="0046567B">
        <w:rPr>
          <w:lang w:val="fr-FR" w:bidi="fr-FR"/>
        </w:rPr>
        <w:t>embauche. La légalité de l</w:t>
      </w:r>
      <w:r w:rsidR="00FB11B3" w:rsidRPr="0046567B">
        <w:rPr>
          <w:lang w:val="fr-FR" w:bidi="fr-FR"/>
        </w:rPr>
        <w:t>’</w:t>
      </w:r>
      <w:r w:rsidRPr="0046567B">
        <w:rPr>
          <w:lang w:val="fr-FR" w:bidi="fr-FR"/>
        </w:rPr>
        <w:t>obligation de «</w:t>
      </w:r>
      <w:r w:rsidR="002A20B0" w:rsidRPr="0046567B">
        <w:rPr>
          <w:lang w:val="fr-FR" w:bidi="fr-FR"/>
        </w:rPr>
        <w:t> </w:t>
      </w:r>
      <w:r w:rsidRPr="0046567B">
        <w:rPr>
          <w:lang w:val="fr-FR" w:bidi="fr-FR"/>
        </w:rPr>
        <w:t>vie à demeure</w:t>
      </w:r>
      <w:r w:rsidR="002A20B0" w:rsidRPr="0046567B">
        <w:rPr>
          <w:lang w:val="fr-FR" w:bidi="fr-FR"/>
        </w:rPr>
        <w:t> </w:t>
      </w:r>
      <w:r w:rsidRPr="0046567B">
        <w:rPr>
          <w:lang w:val="fr-FR" w:bidi="fr-FR"/>
        </w:rPr>
        <w:t>» pour les travailleuses et travailleurs domestiques a été confirmée par le Tribunal de première instance dans son arrêt du 14</w:t>
      </w:r>
      <w:r w:rsidR="002A20B0" w:rsidRPr="0046567B">
        <w:rPr>
          <w:lang w:val="fr-FR" w:bidi="fr-FR"/>
        </w:rPr>
        <w:t xml:space="preserve"> </w:t>
      </w:r>
      <w:r w:rsidRPr="0046567B">
        <w:rPr>
          <w:lang w:val="fr-FR" w:bidi="fr-FR"/>
        </w:rPr>
        <w:t>février</w:t>
      </w:r>
      <w:r w:rsidR="002A20B0" w:rsidRPr="0046567B">
        <w:rPr>
          <w:lang w:val="fr-FR" w:bidi="fr-FR"/>
        </w:rPr>
        <w:t xml:space="preserve"> </w:t>
      </w:r>
      <w:r w:rsidRPr="0046567B">
        <w:rPr>
          <w:lang w:val="fr-FR" w:bidi="fr-FR"/>
        </w:rPr>
        <w:t>2018 relatif à une demande de contrôle juridictionnel (HCAL</w:t>
      </w:r>
      <w:r w:rsidR="002A20B0" w:rsidRPr="0046567B">
        <w:rPr>
          <w:lang w:val="fr-FR" w:bidi="fr-FR"/>
        </w:rPr>
        <w:t xml:space="preserve"> </w:t>
      </w:r>
      <w:r w:rsidRPr="0046567B">
        <w:rPr>
          <w:lang w:val="fr-FR" w:bidi="fr-FR"/>
        </w:rPr>
        <w:t>210/2016).</w:t>
      </w:r>
    </w:p>
    <w:p w14:paraId="138EA104" w14:textId="61C3C665" w:rsidR="00503CDF" w:rsidRPr="0046567B" w:rsidRDefault="00503CDF" w:rsidP="00503CDF">
      <w:pPr>
        <w:pStyle w:val="SingleTxt"/>
        <w:spacing w:after="0" w:line="120" w:lineRule="exact"/>
        <w:rPr>
          <w:sz w:val="10"/>
          <w:lang w:val="fr-FR" w:bidi="fr-FR"/>
        </w:rPr>
      </w:pPr>
    </w:p>
    <w:p w14:paraId="6BB4119A" w14:textId="0FB78F2A" w:rsidR="00FC36AA" w:rsidRPr="0046567B" w:rsidRDefault="00FC36AA" w:rsidP="007972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Mesures d</w:t>
      </w:r>
      <w:r w:rsidR="00FB11B3" w:rsidRPr="0046567B">
        <w:rPr>
          <w:lang w:val="fr-FR" w:bidi="fr-FR"/>
        </w:rPr>
        <w:t>’</w:t>
      </w:r>
      <w:r w:rsidRPr="0046567B">
        <w:rPr>
          <w:lang w:val="fr-FR" w:bidi="fr-FR"/>
        </w:rPr>
        <w:t>aide aux travailleuses et travailleurs migrants exposés à des mauvais traitements</w:t>
      </w:r>
    </w:p>
    <w:p w14:paraId="1A395DA2" w14:textId="25C9C547" w:rsidR="00503CDF" w:rsidRPr="0046567B" w:rsidRDefault="00503CDF" w:rsidP="00797231">
      <w:pPr>
        <w:pStyle w:val="SingleTxt"/>
        <w:keepNext/>
        <w:keepLines/>
        <w:spacing w:after="0" w:line="120" w:lineRule="exact"/>
        <w:rPr>
          <w:sz w:val="10"/>
          <w:lang w:val="fr-FR" w:bidi="fr-FR"/>
        </w:rPr>
      </w:pPr>
    </w:p>
    <w:p w14:paraId="761429C4" w14:textId="4E9B204C" w:rsidR="00FC36AA" w:rsidRPr="0046567B" w:rsidRDefault="00FC36AA" w:rsidP="00797231">
      <w:pPr>
        <w:pStyle w:val="SingleTxt"/>
        <w:keepNext/>
        <w:keepLines/>
        <w:numPr>
          <w:ilvl w:val="0"/>
          <w:numId w:val="32"/>
        </w:numPr>
        <w:spacing w:line="240" w:lineRule="exact"/>
        <w:ind w:left="1267" w:firstLine="0"/>
        <w:rPr>
          <w:lang w:val="fr-FR"/>
        </w:rPr>
      </w:pPr>
      <w:r w:rsidRPr="0046567B">
        <w:rPr>
          <w:rFonts w:hint="eastAsia"/>
          <w:lang w:val="fr-FR" w:bidi="fr-FR"/>
        </w:rPr>
        <w:t>L</w:t>
      </w:r>
      <w:r w:rsidRPr="0046567B">
        <w:rPr>
          <w:lang w:val="fr-FR" w:bidi="fr-FR"/>
        </w:rPr>
        <w:t>e</w:t>
      </w:r>
      <w:r w:rsidRPr="0046567B">
        <w:rPr>
          <w:rFonts w:hint="eastAsia"/>
          <w:lang w:val="fr-FR" w:bidi="fr-FR"/>
        </w:rPr>
        <w:t xml:space="preserve">s mesures visant à aider les </w:t>
      </w:r>
      <w:r w:rsidRPr="0046567B">
        <w:rPr>
          <w:lang w:val="fr-FR" w:bidi="fr-FR"/>
        </w:rPr>
        <w:t xml:space="preserve">travailleuses et </w:t>
      </w:r>
      <w:r w:rsidRPr="0046567B">
        <w:rPr>
          <w:rFonts w:hint="eastAsia"/>
          <w:lang w:val="fr-FR" w:bidi="fr-FR"/>
        </w:rPr>
        <w:t xml:space="preserve">travailleurs migrants exposés à des </w:t>
      </w:r>
      <w:r w:rsidRPr="0046567B">
        <w:rPr>
          <w:lang w:val="fr-FR" w:bidi="fr-FR"/>
        </w:rPr>
        <w:t>mauvais traitements</w:t>
      </w:r>
      <w:r w:rsidRPr="0046567B">
        <w:rPr>
          <w:rFonts w:hint="eastAsia"/>
          <w:lang w:val="fr-FR" w:bidi="fr-FR"/>
        </w:rPr>
        <w:t xml:space="preserve"> sont présentées à l</w:t>
      </w:r>
      <w:r w:rsidR="00FB11B3" w:rsidRPr="0046567B">
        <w:rPr>
          <w:lang w:val="fr-FR" w:bidi="fr-FR"/>
        </w:rPr>
        <w:t>’</w:t>
      </w:r>
      <w:r w:rsidRPr="0046567B">
        <w:rPr>
          <w:rFonts w:hint="eastAsia"/>
          <w:lang w:val="fr-FR" w:bidi="fr-FR"/>
        </w:rPr>
        <w:t>annexe 11I du présent rapport</w:t>
      </w:r>
      <w:r w:rsidRPr="0046567B">
        <w:rPr>
          <w:lang w:val="fr-FR" w:bidi="fr-FR"/>
        </w:rPr>
        <w:t>.</w:t>
      </w:r>
    </w:p>
    <w:p w14:paraId="449D69B2" w14:textId="6A645D92" w:rsidR="00503CDF" w:rsidRPr="0046567B" w:rsidRDefault="00503CDF" w:rsidP="00797231">
      <w:pPr>
        <w:pStyle w:val="SingleTxt"/>
        <w:spacing w:after="0" w:line="120" w:lineRule="exact"/>
        <w:rPr>
          <w:sz w:val="10"/>
          <w:lang w:val="fr-FR" w:bidi="fr-FR"/>
        </w:rPr>
      </w:pPr>
    </w:p>
    <w:p w14:paraId="27669FFA" w14:textId="77777777" w:rsidR="00797231" w:rsidRPr="0046567B" w:rsidRDefault="00797231" w:rsidP="00503CDF">
      <w:pPr>
        <w:pStyle w:val="SingleTxt"/>
        <w:spacing w:after="0" w:line="120" w:lineRule="exact"/>
        <w:rPr>
          <w:sz w:val="10"/>
          <w:lang w:val="fr-FR" w:bidi="fr-FR"/>
        </w:rPr>
      </w:pPr>
    </w:p>
    <w:p w14:paraId="7E9348E6" w14:textId="2D78831E" w:rsidR="00FC36AA" w:rsidRPr="0046567B" w:rsidRDefault="00FC36AA" w:rsidP="00503C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Services et infrastructures pour la garde d</w:t>
      </w:r>
      <w:r w:rsidR="00FB11B3" w:rsidRPr="0046567B">
        <w:rPr>
          <w:lang w:val="fr-FR" w:bidi="fr-FR"/>
        </w:rPr>
        <w:t>’</w:t>
      </w:r>
      <w:r w:rsidRPr="0046567B">
        <w:rPr>
          <w:lang w:val="fr-FR" w:bidi="fr-FR"/>
        </w:rPr>
        <w:t>enfants</w:t>
      </w:r>
    </w:p>
    <w:p w14:paraId="01CFCF1C" w14:textId="1C4922B1" w:rsidR="00503CDF" w:rsidRPr="0046567B" w:rsidRDefault="00503CDF" w:rsidP="00503CDF">
      <w:pPr>
        <w:pStyle w:val="SingleTxt"/>
        <w:spacing w:after="0" w:line="120" w:lineRule="exact"/>
        <w:rPr>
          <w:sz w:val="10"/>
          <w:lang w:val="fr-FR" w:bidi="fr-FR"/>
        </w:rPr>
      </w:pPr>
    </w:p>
    <w:p w14:paraId="3CC498A6" w14:textId="4F4DF01A" w:rsidR="00503CDF" w:rsidRPr="0046567B" w:rsidRDefault="00503CDF" w:rsidP="00503CDF">
      <w:pPr>
        <w:pStyle w:val="SingleTxt"/>
        <w:spacing w:after="0" w:line="120" w:lineRule="exact"/>
        <w:rPr>
          <w:sz w:val="10"/>
          <w:lang w:val="fr-FR" w:bidi="fr-FR"/>
        </w:rPr>
      </w:pPr>
    </w:p>
    <w:p w14:paraId="736093C4" w14:textId="1F982521"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Le Gouvernement attache une grande importance à l</w:t>
      </w:r>
      <w:r w:rsidR="00FB11B3" w:rsidRPr="0046567B">
        <w:rPr>
          <w:lang w:val="fr-FR" w:bidi="fr-FR"/>
        </w:rPr>
        <w:t>’</w:t>
      </w:r>
      <w:r w:rsidRPr="0046567B">
        <w:rPr>
          <w:lang w:val="fr-FR" w:bidi="fr-FR"/>
        </w:rPr>
        <w:t>amélioration des services de garde d</w:t>
      </w:r>
      <w:r w:rsidR="00FB11B3" w:rsidRPr="0046567B">
        <w:rPr>
          <w:lang w:val="fr-FR" w:bidi="fr-FR"/>
        </w:rPr>
        <w:t>’</w:t>
      </w:r>
      <w:r w:rsidRPr="0046567B">
        <w:rPr>
          <w:lang w:val="fr-FR" w:bidi="fr-FR"/>
        </w:rPr>
        <w:t>enfants en vue de créer un environnement plus favorable aux femmes pour qu</w:t>
      </w:r>
      <w:r w:rsidR="00FB11B3" w:rsidRPr="0046567B">
        <w:rPr>
          <w:lang w:val="fr-FR" w:bidi="fr-FR"/>
        </w:rPr>
        <w:t>’</w:t>
      </w:r>
      <w:r w:rsidRPr="0046567B">
        <w:rPr>
          <w:lang w:val="fr-FR" w:bidi="fr-FR"/>
        </w:rPr>
        <w:t xml:space="preserve">elles puissent choisir, en </w:t>
      </w:r>
      <w:r w:rsidRPr="0046567B">
        <w:rPr>
          <w:szCs w:val="20"/>
          <w:lang w:val="fr-FR" w:bidi="fr-FR"/>
        </w:rPr>
        <w:t>connaissance</w:t>
      </w:r>
      <w:r w:rsidRPr="0046567B">
        <w:rPr>
          <w:lang w:val="fr-FR" w:bidi="fr-FR"/>
        </w:rPr>
        <w:t xml:space="preserve"> de cause, d</w:t>
      </w:r>
      <w:r w:rsidR="00FB11B3" w:rsidRPr="0046567B">
        <w:rPr>
          <w:lang w:val="fr-FR" w:bidi="fr-FR"/>
        </w:rPr>
        <w:t>’</w:t>
      </w:r>
      <w:r w:rsidRPr="0046567B">
        <w:rPr>
          <w:lang w:val="fr-FR" w:bidi="fr-FR"/>
        </w:rPr>
        <w:t>entrer ou de rester dans la vie active.</w:t>
      </w:r>
    </w:p>
    <w:p w14:paraId="4D9C52C4" w14:textId="011FFC3A" w:rsidR="00503CDF" w:rsidRPr="0046567B" w:rsidRDefault="00503CDF" w:rsidP="00503CDF">
      <w:pPr>
        <w:pStyle w:val="SingleTxt"/>
        <w:spacing w:after="0" w:line="120" w:lineRule="exact"/>
        <w:rPr>
          <w:sz w:val="10"/>
          <w:lang w:val="fr-FR" w:bidi="fr-FR"/>
        </w:rPr>
      </w:pPr>
    </w:p>
    <w:p w14:paraId="5B11BBEA" w14:textId="4E9D2471" w:rsidR="00FC36AA" w:rsidRPr="0046567B" w:rsidRDefault="00FC36AA" w:rsidP="00503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Étude indépendante sur le développement à long terme des services de garde d</w:t>
      </w:r>
      <w:r w:rsidR="00FB11B3" w:rsidRPr="0046567B">
        <w:rPr>
          <w:lang w:val="fr-FR" w:bidi="fr-FR"/>
        </w:rPr>
        <w:t>’</w:t>
      </w:r>
      <w:r w:rsidRPr="0046567B">
        <w:rPr>
          <w:lang w:val="fr-FR" w:bidi="fr-FR"/>
        </w:rPr>
        <w:t>enfants</w:t>
      </w:r>
    </w:p>
    <w:p w14:paraId="628F28C3" w14:textId="291BBBB9" w:rsidR="00503CDF" w:rsidRPr="0046567B" w:rsidRDefault="00503CDF" w:rsidP="00503CDF">
      <w:pPr>
        <w:pStyle w:val="SingleTxt"/>
        <w:spacing w:after="0" w:line="120" w:lineRule="exact"/>
        <w:rPr>
          <w:sz w:val="10"/>
          <w:lang w:val="fr-FR" w:bidi="fr-FR"/>
        </w:rPr>
      </w:pPr>
    </w:p>
    <w:p w14:paraId="5262E7A2" w14:textId="285ACCCA"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En décembre</w:t>
      </w:r>
      <w:r w:rsidR="002A20B0" w:rsidRPr="0046567B">
        <w:rPr>
          <w:lang w:val="fr-FR" w:bidi="fr-FR"/>
        </w:rPr>
        <w:t xml:space="preserve"> </w:t>
      </w:r>
      <w:r w:rsidRPr="0046567B">
        <w:rPr>
          <w:lang w:val="fr-FR" w:bidi="fr-FR"/>
        </w:rPr>
        <w:t>2016, le Gouvernement a chargé le Département du travail social et l</w:t>
      </w:r>
      <w:r w:rsidR="00FB11B3" w:rsidRPr="0046567B">
        <w:rPr>
          <w:lang w:val="fr-FR" w:bidi="fr-FR"/>
        </w:rPr>
        <w:t>’</w:t>
      </w:r>
      <w:r w:rsidRPr="0046567B">
        <w:rPr>
          <w:lang w:val="fr-FR" w:bidi="fr-FR"/>
        </w:rPr>
        <w:t>Administration sociale de l</w:t>
      </w:r>
      <w:r w:rsidR="00FB11B3" w:rsidRPr="0046567B">
        <w:rPr>
          <w:lang w:val="fr-FR" w:bidi="fr-FR"/>
        </w:rPr>
        <w:t>’</w:t>
      </w:r>
      <w:r w:rsidRPr="0046567B">
        <w:rPr>
          <w:lang w:val="fr-FR" w:bidi="fr-FR"/>
        </w:rPr>
        <w:t>Université de Hong Kong de mener une étude sur le développement à long terme des services de garde d</w:t>
      </w:r>
      <w:r w:rsidR="00FB11B3" w:rsidRPr="0046567B">
        <w:rPr>
          <w:lang w:val="fr-FR" w:bidi="fr-FR"/>
        </w:rPr>
        <w:t>’</w:t>
      </w:r>
      <w:r w:rsidRPr="0046567B">
        <w:rPr>
          <w:lang w:val="fr-FR" w:bidi="fr-FR"/>
        </w:rPr>
        <w:t>enfants. Cette étude devait passer en revue les services de garde d</w:t>
      </w:r>
      <w:r w:rsidR="00FB11B3" w:rsidRPr="0046567B">
        <w:rPr>
          <w:lang w:val="fr-FR" w:bidi="fr-FR"/>
        </w:rPr>
        <w:t>’</w:t>
      </w:r>
      <w:r w:rsidRPr="0046567B">
        <w:rPr>
          <w:lang w:val="fr-FR" w:bidi="fr-FR"/>
        </w:rPr>
        <w:t>enfants déjà existants à Hong Kong et s</w:t>
      </w:r>
      <w:r w:rsidR="00FB11B3" w:rsidRPr="0046567B">
        <w:rPr>
          <w:lang w:val="fr-FR" w:bidi="fr-FR"/>
        </w:rPr>
        <w:t>’</w:t>
      </w:r>
      <w:r w:rsidRPr="0046567B">
        <w:rPr>
          <w:lang w:val="fr-FR" w:bidi="fr-FR"/>
        </w:rPr>
        <w:t>appuyer aussi sur d</w:t>
      </w:r>
      <w:r w:rsidR="00FB11B3" w:rsidRPr="0046567B">
        <w:rPr>
          <w:lang w:val="fr-FR" w:bidi="fr-FR"/>
        </w:rPr>
        <w:t>’</w:t>
      </w:r>
      <w:r w:rsidRPr="0046567B">
        <w:rPr>
          <w:lang w:val="fr-FR" w:bidi="fr-FR"/>
        </w:rPr>
        <w:t>autres modèles en la matière. Elle devait également procéder à une analyse approfondie des objectifs, des contenus, des cibles, des modes de financement, des services, de la situation de l</w:t>
      </w:r>
      <w:r w:rsidR="00FB11B3" w:rsidRPr="0046567B">
        <w:rPr>
          <w:lang w:val="fr-FR" w:bidi="fr-FR"/>
        </w:rPr>
        <w:t>’</w:t>
      </w:r>
      <w:r w:rsidRPr="0046567B">
        <w:rPr>
          <w:lang w:val="fr-FR" w:bidi="fr-FR"/>
        </w:rPr>
        <w:t>offre et de la demande, des infrastructures, de la main-d</w:t>
      </w:r>
      <w:r w:rsidR="00FB11B3" w:rsidRPr="0046567B">
        <w:rPr>
          <w:lang w:val="fr-FR" w:bidi="fr-FR"/>
        </w:rPr>
        <w:t>’</w:t>
      </w:r>
      <w:r w:rsidRPr="0046567B">
        <w:rPr>
          <w:lang w:val="fr-FR" w:bidi="fr-FR"/>
        </w:rPr>
        <w:t>œuvre et de la formation des services de garde d</w:t>
      </w:r>
      <w:r w:rsidR="00FB11B3" w:rsidRPr="0046567B">
        <w:rPr>
          <w:lang w:val="fr-FR" w:bidi="fr-FR"/>
        </w:rPr>
        <w:t>’</w:t>
      </w:r>
      <w:r w:rsidRPr="0046567B">
        <w:rPr>
          <w:lang w:val="fr-FR" w:bidi="fr-FR"/>
        </w:rPr>
        <w:t>enfants déjà existants à Hong Kong elle devait formuler des recommandations sur le développement de ces structures à long terme. Cette étude devrait s</w:t>
      </w:r>
      <w:r w:rsidR="00FB11B3" w:rsidRPr="0046567B">
        <w:rPr>
          <w:lang w:val="fr-FR" w:bidi="fr-FR"/>
        </w:rPr>
        <w:t>’</w:t>
      </w:r>
      <w:r w:rsidRPr="0046567B">
        <w:rPr>
          <w:lang w:val="fr-FR" w:bidi="fr-FR"/>
        </w:rPr>
        <w:t>achever en</w:t>
      </w:r>
      <w:r w:rsidR="002A20B0" w:rsidRPr="0046567B">
        <w:rPr>
          <w:lang w:val="fr-FR" w:bidi="fr-FR"/>
        </w:rPr>
        <w:t xml:space="preserve"> </w:t>
      </w:r>
      <w:r w:rsidRPr="0046567B">
        <w:rPr>
          <w:lang w:val="fr-FR" w:bidi="fr-FR"/>
        </w:rPr>
        <w:t>2018. Ces</w:t>
      </w:r>
      <w:r w:rsidRPr="0046567B">
        <w:rPr>
          <w:rFonts w:hint="eastAsia"/>
          <w:lang w:val="fr-FR" w:bidi="fr-FR"/>
        </w:rPr>
        <w:t xml:space="preserve"> services de garde d</w:t>
      </w:r>
      <w:r w:rsidR="00FB11B3" w:rsidRPr="0046567B">
        <w:rPr>
          <w:lang w:val="fr-FR" w:bidi="fr-FR"/>
        </w:rPr>
        <w:t>’</w:t>
      </w:r>
      <w:r w:rsidRPr="0046567B">
        <w:rPr>
          <w:rFonts w:hint="eastAsia"/>
          <w:lang w:val="fr-FR" w:bidi="fr-FR"/>
        </w:rPr>
        <w:t>enfants figurent à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11J du présent rapport.</w:t>
      </w:r>
    </w:p>
    <w:p w14:paraId="40F072C5" w14:textId="636FB8B2" w:rsidR="00503CDF" w:rsidRPr="0046567B" w:rsidRDefault="00503CDF" w:rsidP="00503CDF">
      <w:pPr>
        <w:pStyle w:val="SingleTxt"/>
        <w:spacing w:after="0" w:line="120" w:lineRule="exact"/>
        <w:rPr>
          <w:sz w:val="10"/>
          <w:lang w:val="fr-FR" w:bidi="fr-FR"/>
        </w:rPr>
      </w:pPr>
    </w:p>
    <w:p w14:paraId="500D694B" w14:textId="2D8D39EA" w:rsidR="00503CDF" w:rsidRPr="0046567B" w:rsidRDefault="00503CDF" w:rsidP="00503CDF">
      <w:pPr>
        <w:pStyle w:val="SingleTxt"/>
        <w:spacing w:after="0" w:line="120" w:lineRule="exact"/>
        <w:rPr>
          <w:sz w:val="10"/>
          <w:lang w:val="fr-FR"/>
        </w:rPr>
      </w:pPr>
    </w:p>
    <w:p w14:paraId="375D13B5" w14:textId="4909B05E" w:rsidR="00FC36AA" w:rsidRPr="0046567B" w:rsidRDefault="00FC36AA" w:rsidP="00503C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Promotion des pratiques d</w:t>
      </w:r>
      <w:r w:rsidR="00FB11B3" w:rsidRPr="0046567B">
        <w:rPr>
          <w:lang w:val="fr-FR" w:bidi="fr-FR"/>
        </w:rPr>
        <w:t>’</w:t>
      </w:r>
      <w:r w:rsidRPr="0046567B">
        <w:rPr>
          <w:lang w:val="fr-FR" w:bidi="fr-FR"/>
        </w:rPr>
        <w:t>emploi favorables à la famille</w:t>
      </w:r>
    </w:p>
    <w:p w14:paraId="2D8401EB" w14:textId="3C4A59FB" w:rsidR="00503CDF" w:rsidRPr="0046567B" w:rsidRDefault="00503CDF" w:rsidP="00503CDF">
      <w:pPr>
        <w:pStyle w:val="SingleTxt"/>
        <w:spacing w:after="0" w:line="120" w:lineRule="exact"/>
        <w:rPr>
          <w:sz w:val="10"/>
          <w:lang w:val="fr-FR" w:bidi="fr-FR"/>
        </w:rPr>
      </w:pPr>
    </w:p>
    <w:p w14:paraId="0B6AC236" w14:textId="19A944CC" w:rsidR="00503CDF" w:rsidRPr="0046567B" w:rsidRDefault="00503CDF" w:rsidP="00503CDF">
      <w:pPr>
        <w:pStyle w:val="SingleTxt"/>
        <w:spacing w:after="0" w:line="120" w:lineRule="exact"/>
        <w:rPr>
          <w:sz w:val="10"/>
          <w:lang w:val="fr-FR" w:bidi="fr-FR"/>
        </w:rPr>
      </w:pPr>
    </w:p>
    <w:p w14:paraId="08C9E923" w14:textId="2E537013"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Le Ministère du travail a joué un rôle de facilitateur en encourageant les employeurs à adopter le régime de promotion des pratiques d</w:t>
      </w:r>
      <w:r w:rsidR="00FB11B3" w:rsidRPr="0046567B">
        <w:rPr>
          <w:lang w:val="fr-FR" w:bidi="fr-FR"/>
        </w:rPr>
        <w:t>’</w:t>
      </w:r>
      <w:r w:rsidRPr="0046567B">
        <w:rPr>
          <w:lang w:val="fr-FR" w:bidi="fr-FR"/>
        </w:rPr>
        <w:t xml:space="preserve">emploi favorables à la famille. </w:t>
      </w:r>
      <w:r w:rsidRPr="0046567B">
        <w:rPr>
          <w:rFonts w:hint="eastAsia"/>
          <w:lang w:val="fr-FR" w:bidi="fr-FR"/>
        </w:rPr>
        <w:t>L</w:t>
      </w:r>
      <w:r w:rsidR="00FB11B3" w:rsidRPr="0046567B">
        <w:rPr>
          <w:lang w:val="fr-FR" w:bidi="fr-FR"/>
        </w:rPr>
        <w:t>’</w:t>
      </w:r>
      <w:r w:rsidRPr="0046567B">
        <w:rPr>
          <w:rFonts w:hint="eastAsia"/>
          <w:lang w:val="fr-FR" w:bidi="fr-FR"/>
        </w:rPr>
        <w:t>activité du Ministère du travail sur ce point est présentée à l</w:t>
      </w:r>
      <w:r w:rsidR="00FB11B3" w:rsidRPr="0046567B">
        <w:rPr>
          <w:lang w:val="fr-FR" w:bidi="fr-FR"/>
        </w:rPr>
        <w:t>’</w:t>
      </w:r>
      <w:r w:rsidRPr="0046567B">
        <w:rPr>
          <w:rFonts w:hint="eastAsia"/>
          <w:lang w:val="fr-FR" w:bidi="fr-FR"/>
        </w:rPr>
        <w:t>annexe 11K du présent rapport.</w:t>
      </w:r>
    </w:p>
    <w:p w14:paraId="5A858099" w14:textId="4EA346F9" w:rsidR="00503CDF" w:rsidRPr="0046567B" w:rsidRDefault="00503CDF" w:rsidP="00503CDF">
      <w:pPr>
        <w:pStyle w:val="SingleTxt"/>
        <w:spacing w:after="0" w:line="120" w:lineRule="exact"/>
        <w:rPr>
          <w:sz w:val="10"/>
          <w:lang w:val="fr-FR" w:bidi="fr-FR"/>
        </w:rPr>
      </w:pPr>
    </w:p>
    <w:p w14:paraId="68E6A3AF" w14:textId="7322599F" w:rsidR="00503CDF" w:rsidRPr="0046567B" w:rsidRDefault="00503CDF" w:rsidP="00503CDF">
      <w:pPr>
        <w:pStyle w:val="SingleTxt"/>
        <w:spacing w:after="0" w:line="120" w:lineRule="exact"/>
        <w:rPr>
          <w:sz w:val="10"/>
          <w:lang w:val="fr-FR"/>
        </w:rPr>
      </w:pPr>
    </w:p>
    <w:p w14:paraId="4501AA26" w14:textId="0D300F5A" w:rsidR="00FC36AA" w:rsidRPr="0046567B" w:rsidRDefault="00FC36AA" w:rsidP="00503C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À travail égal, salaire égal</w:t>
      </w:r>
    </w:p>
    <w:p w14:paraId="07C9A353" w14:textId="5D8B6065" w:rsidR="00503CDF" w:rsidRPr="0046567B" w:rsidRDefault="00503CDF" w:rsidP="00503CDF">
      <w:pPr>
        <w:pStyle w:val="SingleTxt"/>
        <w:spacing w:after="0" w:line="120" w:lineRule="exact"/>
        <w:rPr>
          <w:sz w:val="10"/>
          <w:lang w:val="fr-FR" w:bidi="fr-FR"/>
        </w:rPr>
      </w:pPr>
    </w:p>
    <w:p w14:paraId="46FDFA34" w14:textId="18746BDE" w:rsidR="00503CDF" w:rsidRPr="0046567B" w:rsidRDefault="00503CDF" w:rsidP="00503CDF">
      <w:pPr>
        <w:pStyle w:val="SingleTxt"/>
        <w:spacing w:after="0" w:line="120" w:lineRule="exact"/>
        <w:rPr>
          <w:sz w:val="10"/>
          <w:lang w:val="fr-FR" w:bidi="fr-FR"/>
        </w:rPr>
      </w:pPr>
    </w:p>
    <w:p w14:paraId="6BE943C0" w14:textId="1CA82F3F" w:rsidR="00FC36AA" w:rsidRPr="0046567B" w:rsidRDefault="00FC36AA" w:rsidP="00503CDF">
      <w:pPr>
        <w:pStyle w:val="SingleTxt"/>
        <w:numPr>
          <w:ilvl w:val="0"/>
          <w:numId w:val="32"/>
        </w:numPr>
        <w:spacing w:line="240" w:lineRule="exact"/>
        <w:ind w:left="1267" w:firstLine="0"/>
        <w:rPr>
          <w:lang w:val="fr-FR"/>
        </w:rPr>
      </w:pPr>
      <w:r w:rsidRPr="0046567B">
        <w:rPr>
          <w:lang w:val="fr-FR" w:bidi="fr-FR"/>
        </w:rPr>
        <w:t>La Commission de l</w:t>
      </w:r>
      <w:r w:rsidR="00FB11B3" w:rsidRPr="0046567B">
        <w:rPr>
          <w:lang w:val="fr-FR" w:bidi="fr-FR"/>
        </w:rPr>
        <w:t>’</w:t>
      </w:r>
      <w:r w:rsidRPr="0046567B">
        <w:rPr>
          <w:lang w:val="fr-FR" w:bidi="fr-FR"/>
        </w:rPr>
        <w:t>égalité des chances a poursuivi ses efforts de promotion en faveur du principe « à travail égal, salaire égal » au travers de publications et de l</w:t>
      </w:r>
      <w:r w:rsidR="00FB11B3" w:rsidRPr="0046567B">
        <w:rPr>
          <w:lang w:val="fr-FR" w:bidi="fr-FR"/>
        </w:rPr>
        <w:t>’</w:t>
      </w:r>
      <w:r w:rsidRPr="0046567B">
        <w:rPr>
          <w:lang w:val="fr-FR" w:bidi="fr-FR"/>
        </w:rPr>
        <w:t>organisation de sessions de formation. La Commission de l</w:t>
      </w:r>
      <w:r w:rsidR="00FB11B3" w:rsidRPr="0046567B">
        <w:rPr>
          <w:lang w:val="fr-FR" w:bidi="fr-FR"/>
        </w:rPr>
        <w:t>’</w:t>
      </w:r>
      <w:r w:rsidRPr="0046567B">
        <w:rPr>
          <w:lang w:val="fr-FR" w:bidi="fr-FR"/>
        </w:rPr>
        <w:t>égalité des chances a également publié trois nouvelles brochures pour fournir d</w:t>
      </w:r>
      <w:r w:rsidR="00FB11B3" w:rsidRPr="0046567B">
        <w:rPr>
          <w:lang w:val="fr-FR" w:bidi="fr-FR"/>
        </w:rPr>
        <w:t>’</w:t>
      </w:r>
      <w:r w:rsidRPr="0046567B">
        <w:rPr>
          <w:lang w:val="fr-FR" w:bidi="fr-FR"/>
        </w:rPr>
        <w:t>autres informations pratiques sur les questions touchant à l</w:t>
      </w:r>
      <w:r w:rsidR="00FB11B3" w:rsidRPr="0046567B">
        <w:rPr>
          <w:lang w:val="fr-FR" w:bidi="fr-FR"/>
        </w:rPr>
        <w:t>’</w:t>
      </w:r>
      <w:r w:rsidRPr="0046567B">
        <w:rPr>
          <w:lang w:val="fr-FR" w:bidi="fr-FR"/>
        </w:rPr>
        <w:t>égalité des rémunérations.</w:t>
      </w:r>
      <w:r w:rsidR="002A20B0" w:rsidRPr="0046567B">
        <w:rPr>
          <w:lang w:val="fr-FR" w:bidi="fr-FR"/>
        </w:rPr>
        <w:t xml:space="preserve"> </w:t>
      </w:r>
      <w:r w:rsidRPr="0046567B">
        <w:rPr>
          <w:lang w:val="fr-FR" w:bidi="fr-FR"/>
        </w:rPr>
        <w:t>Elle a aussi organisé des débats et des ateliers à l</w:t>
      </w:r>
      <w:r w:rsidR="00FB11B3" w:rsidRPr="0046567B">
        <w:rPr>
          <w:lang w:val="fr-FR" w:bidi="fr-FR"/>
        </w:rPr>
        <w:t>’</w:t>
      </w:r>
      <w:r w:rsidRPr="0046567B">
        <w:rPr>
          <w:lang w:val="fr-FR" w:bidi="fr-FR"/>
        </w:rPr>
        <w:t>attention des employeurs, des groupes de femmes et d</w:t>
      </w:r>
      <w:r w:rsidR="00FB11B3" w:rsidRPr="0046567B">
        <w:rPr>
          <w:lang w:val="fr-FR" w:bidi="fr-FR"/>
        </w:rPr>
        <w:t>’</w:t>
      </w:r>
      <w:r w:rsidRPr="0046567B">
        <w:rPr>
          <w:lang w:val="fr-FR" w:bidi="fr-FR"/>
        </w:rPr>
        <w:t>autres partenaires concernés.</w:t>
      </w:r>
    </w:p>
    <w:p w14:paraId="348D4EB1" w14:textId="2C10BA30" w:rsidR="00503CDF" w:rsidRPr="0046567B" w:rsidRDefault="00503CDF" w:rsidP="00503CDF">
      <w:pPr>
        <w:pStyle w:val="SingleTxt"/>
        <w:spacing w:after="0" w:line="120" w:lineRule="exact"/>
        <w:rPr>
          <w:sz w:val="10"/>
          <w:lang w:val="fr-FR" w:bidi="fr-FR"/>
        </w:rPr>
      </w:pPr>
    </w:p>
    <w:p w14:paraId="18C38DC5" w14:textId="2122793D" w:rsidR="00503CDF" w:rsidRPr="0046567B" w:rsidRDefault="00503CDF" w:rsidP="00503CDF">
      <w:pPr>
        <w:pStyle w:val="SingleTxt"/>
        <w:spacing w:after="0" w:line="120" w:lineRule="exact"/>
        <w:rPr>
          <w:sz w:val="10"/>
          <w:lang w:val="fr-FR"/>
        </w:rPr>
      </w:pPr>
    </w:p>
    <w:p w14:paraId="6ED915AF" w14:textId="7B84EB2E" w:rsidR="00FC36AA" w:rsidRPr="0046567B" w:rsidRDefault="00FC36AA" w:rsidP="007972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12 </w:t>
      </w:r>
      <w:r w:rsidR="00797231" w:rsidRPr="0046567B">
        <w:rPr>
          <w:lang w:val="fr-FR" w:bidi="fr-FR"/>
        </w:rPr>
        <w:t>–</w:t>
      </w:r>
      <w:r w:rsidRPr="0046567B">
        <w:rPr>
          <w:lang w:val="fr-FR" w:bidi="fr-FR"/>
        </w:rPr>
        <w:t xml:space="preserve"> Égalité d</w:t>
      </w:r>
      <w:r w:rsidR="00FB11B3" w:rsidRPr="0046567B">
        <w:rPr>
          <w:lang w:val="fr-FR" w:bidi="fr-FR"/>
        </w:rPr>
        <w:t>’</w:t>
      </w:r>
      <w:r w:rsidRPr="0046567B">
        <w:rPr>
          <w:lang w:val="fr-FR" w:bidi="fr-FR"/>
        </w:rPr>
        <w:t>accès aux services de santé</w:t>
      </w:r>
    </w:p>
    <w:p w14:paraId="4AD2B435" w14:textId="10582A27" w:rsidR="00503CDF" w:rsidRPr="0046567B" w:rsidRDefault="00503CDF" w:rsidP="00797231">
      <w:pPr>
        <w:pStyle w:val="SingleTxt"/>
        <w:keepNext/>
        <w:keepLines/>
        <w:spacing w:after="0" w:line="120" w:lineRule="exact"/>
        <w:rPr>
          <w:sz w:val="10"/>
          <w:lang w:val="fr-FR" w:bidi="fr-FR"/>
        </w:rPr>
      </w:pPr>
    </w:p>
    <w:p w14:paraId="2155C5EE" w14:textId="7296F1EE" w:rsidR="00503CDF" w:rsidRPr="0046567B" w:rsidRDefault="00503CDF" w:rsidP="00797231">
      <w:pPr>
        <w:pStyle w:val="SingleTxt"/>
        <w:keepNext/>
        <w:keepLines/>
        <w:spacing w:after="0" w:line="120" w:lineRule="exact"/>
        <w:rPr>
          <w:sz w:val="10"/>
          <w:lang w:val="fr-FR" w:bidi="fr-FR"/>
        </w:rPr>
      </w:pPr>
    </w:p>
    <w:p w14:paraId="1921BB02" w14:textId="066FE662" w:rsidR="00FC36AA" w:rsidRPr="0046567B" w:rsidRDefault="00FC36AA" w:rsidP="007972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Présentation des nouveautés</w:t>
      </w:r>
    </w:p>
    <w:p w14:paraId="0DE60250" w14:textId="4BF38031" w:rsidR="00503CDF" w:rsidRPr="0046567B" w:rsidRDefault="00503CDF" w:rsidP="00797231">
      <w:pPr>
        <w:pStyle w:val="SingleTxt"/>
        <w:keepNext/>
        <w:keepLines/>
        <w:spacing w:after="0" w:line="120" w:lineRule="exact"/>
        <w:rPr>
          <w:sz w:val="10"/>
          <w:lang w:val="fr-FR" w:bidi="fr-FR"/>
        </w:rPr>
      </w:pPr>
    </w:p>
    <w:p w14:paraId="5789BC6E" w14:textId="5A0E9FA0" w:rsidR="00503CDF" w:rsidRPr="0046567B" w:rsidRDefault="00503CDF" w:rsidP="00797231">
      <w:pPr>
        <w:pStyle w:val="SingleTxt"/>
        <w:keepNext/>
        <w:keepLines/>
        <w:spacing w:after="0" w:line="120" w:lineRule="exact"/>
        <w:rPr>
          <w:sz w:val="10"/>
          <w:lang w:val="fr-FR" w:bidi="fr-FR"/>
        </w:rPr>
      </w:pPr>
    </w:p>
    <w:p w14:paraId="3E100CE0" w14:textId="54DEA0C9" w:rsidR="00FC36AA" w:rsidRPr="0046567B" w:rsidRDefault="00FC36AA" w:rsidP="007972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Services de prévention et de promotion</w:t>
      </w:r>
    </w:p>
    <w:p w14:paraId="7BCB1F73" w14:textId="3A827637" w:rsidR="00503CDF" w:rsidRPr="0046567B" w:rsidRDefault="00503CDF" w:rsidP="00797231">
      <w:pPr>
        <w:pStyle w:val="SingleTxt"/>
        <w:keepNext/>
        <w:keepLines/>
        <w:spacing w:after="0" w:line="120" w:lineRule="exact"/>
        <w:rPr>
          <w:sz w:val="10"/>
          <w:lang w:val="fr-FR" w:bidi="fr-FR"/>
        </w:rPr>
      </w:pPr>
    </w:p>
    <w:p w14:paraId="08CABC5A" w14:textId="5779359D" w:rsidR="00FC36AA" w:rsidRPr="0046567B" w:rsidRDefault="00FC36AA" w:rsidP="0079723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Dépistage du cancer du col de l</w:t>
      </w:r>
      <w:r w:rsidR="00FB11B3" w:rsidRPr="0046567B">
        <w:rPr>
          <w:lang w:val="fr-FR" w:bidi="fr-FR"/>
        </w:rPr>
        <w:t>’</w:t>
      </w:r>
      <w:r w:rsidRPr="0046567B">
        <w:rPr>
          <w:lang w:val="fr-FR" w:bidi="fr-FR"/>
        </w:rPr>
        <w:t>utérus</w:t>
      </w:r>
    </w:p>
    <w:p w14:paraId="5D25E991" w14:textId="127E358C" w:rsidR="009E2F8B" w:rsidRPr="0046567B" w:rsidRDefault="009E2F8B" w:rsidP="00797231">
      <w:pPr>
        <w:pStyle w:val="SingleTxt"/>
        <w:keepNext/>
        <w:keepLines/>
        <w:spacing w:after="0" w:line="120" w:lineRule="exact"/>
        <w:rPr>
          <w:sz w:val="10"/>
          <w:lang w:val="fr-FR" w:bidi="fr-FR"/>
        </w:rPr>
      </w:pPr>
    </w:p>
    <w:p w14:paraId="64A88D67" w14:textId="4542E103" w:rsidR="00FC36AA" w:rsidRPr="0046567B" w:rsidRDefault="00FC36AA" w:rsidP="00797231">
      <w:pPr>
        <w:pStyle w:val="SingleTxt"/>
        <w:keepNext/>
        <w:keepLines/>
        <w:numPr>
          <w:ilvl w:val="0"/>
          <w:numId w:val="32"/>
        </w:numPr>
        <w:spacing w:line="240" w:lineRule="exact"/>
        <w:ind w:left="1267" w:firstLine="0"/>
        <w:rPr>
          <w:lang w:val="fr-FR"/>
        </w:rPr>
      </w:pPr>
      <w:r w:rsidRPr="0046567B">
        <w:rPr>
          <w:lang w:val="fr-FR" w:bidi="fr-FR"/>
        </w:rPr>
        <w:t>Le Ministère de la santé a également mis en place, en décembre</w:t>
      </w:r>
      <w:r w:rsidR="002A20B0" w:rsidRPr="0046567B">
        <w:rPr>
          <w:lang w:val="fr-FR" w:bidi="fr-FR"/>
        </w:rPr>
        <w:t xml:space="preserve"> </w:t>
      </w:r>
      <w:r w:rsidRPr="0046567B">
        <w:rPr>
          <w:lang w:val="fr-FR" w:bidi="fr-FR"/>
        </w:rPr>
        <w:t xml:space="preserve">2017, un programme pilote sur trois ans financé par le </w:t>
      </w:r>
      <w:r w:rsidRPr="0046567B">
        <w:rPr>
          <w:rFonts w:hint="eastAsia"/>
          <w:lang w:val="fr-FR" w:bidi="fr-FR"/>
        </w:rPr>
        <w:t>Fonds de soins de proximité</w:t>
      </w:r>
      <w:r w:rsidRPr="0046567B">
        <w:rPr>
          <w:lang w:val="fr-FR" w:bidi="fr-FR"/>
        </w:rPr>
        <w:t xml:space="preserve"> dans le cadre duquel trois ONG iront à la rencontre de la population pour encourager les femmes à faible revenu à bénéficier d</w:t>
      </w:r>
      <w:r w:rsidR="00FB11B3" w:rsidRPr="0046567B">
        <w:rPr>
          <w:lang w:val="fr-FR" w:bidi="fr-FR"/>
        </w:rPr>
        <w:t>’</w:t>
      </w:r>
      <w:r w:rsidRPr="0046567B">
        <w:rPr>
          <w:lang w:val="fr-FR" w:bidi="fr-FR"/>
        </w:rPr>
        <w:t>un dépistage subventionné du cancer du col de l</w:t>
      </w:r>
      <w:r w:rsidR="00FB11B3" w:rsidRPr="0046567B">
        <w:rPr>
          <w:lang w:val="fr-FR" w:bidi="fr-FR"/>
        </w:rPr>
        <w:t>’</w:t>
      </w:r>
      <w:r w:rsidRPr="0046567B">
        <w:rPr>
          <w:lang w:val="fr-FR" w:bidi="fr-FR"/>
        </w:rPr>
        <w:t>utérus et pour les informer sur ce risque.</w:t>
      </w:r>
    </w:p>
    <w:p w14:paraId="5D37AAFC" w14:textId="3BA7612F" w:rsidR="002A20B0" w:rsidRPr="0046567B" w:rsidRDefault="002A20B0" w:rsidP="002A20B0">
      <w:pPr>
        <w:pStyle w:val="SingleTxt"/>
        <w:spacing w:after="0" w:line="120" w:lineRule="exact"/>
        <w:rPr>
          <w:sz w:val="10"/>
          <w:lang w:val="fr-FR" w:bidi="fr-FR"/>
        </w:rPr>
      </w:pPr>
    </w:p>
    <w:p w14:paraId="314597EA" w14:textId="2DCEB42E" w:rsidR="00FC36AA" w:rsidRPr="0046567B" w:rsidRDefault="00FC36AA" w:rsidP="009E2F8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bidi="fr-FR"/>
        </w:rPr>
      </w:pPr>
      <w:r w:rsidRPr="0046567B">
        <w:rPr>
          <w:lang w:val="fr-FR" w:bidi="fr-FR"/>
        </w:rPr>
        <w:tab/>
      </w:r>
      <w:r w:rsidRPr="0046567B">
        <w:rPr>
          <w:lang w:val="fr-FR" w:bidi="fr-FR"/>
        </w:rPr>
        <w:tab/>
        <w:t>Dépistage du cancer colorectal</w:t>
      </w:r>
    </w:p>
    <w:p w14:paraId="70FED347" w14:textId="7AFC31F7" w:rsidR="009E2F8B" w:rsidRPr="0046567B" w:rsidRDefault="009E2F8B" w:rsidP="009E2F8B">
      <w:pPr>
        <w:pStyle w:val="SingleTxt"/>
        <w:spacing w:after="0" w:line="120" w:lineRule="exact"/>
        <w:rPr>
          <w:sz w:val="10"/>
          <w:lang w:val="fr-FR" w:bidi="fr-FR"/>
        </w:rPr>
      </w:pPr>
    </w:p>
    <w:p w14:paraId="55E1AA46" w14:textId="46B9E2F2"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Dans son discours de politique de</w:t>
      </w:r>
      <w:r w:rsidR="002A20B0" w:rsidRPr="0046567B">
        <w:rPr>
          <w:lang w:val="fr-FR" w:bidi="fr-FR"/>
        </w:rPr>
        <w:t xml:space="preserve"> </w:t>
      </w:r>
      <w:r w:rsidRPr="0046567B">
        <w:rPr>
          <w:lang w:val="fr-FR" w:bidi="fr-FR"/>
        </w:rPr>
        <w:t>2014, le Gouvernement a annoncé la mise en œuvre d</w:t>
      </w:r>
      <w:r w:rsidR="00FB11B3" w:rsidRPr="0046567B">
        <w:rPr>
          <w:lang w:val="fr-FR" w:bidi="fr-FR"/>
        </w:rPr>
        <w:t>’</w:t>
      </w:r>
      <w:r w:rsidRPr="0046567B">
        <w:rPr>
          <w:lang w:val="fr-FR" w:bidi="fr-FR"/>
        </w:rPr>
        <w:t>un programme pilote destiné à subventionner le dépistage du cancer colorectal pour des groupes d</w:t>
      </w:r>
      <w:r w:rsidR="00FB11B3" w:rsidRPr="0046567B">
        <w:rPr>
          <w:lang w:val="fr-FR" w:bidi="fr-FR"/>
        </w:rPr>
        <w:t>’</w:t>
      </w:r>
      <w:r w:rsidRPr="0046567B">
        <w:rPr>
          <w:lang w:val="fr-FR" w:bidi="fr-FR"/>
        </w:rPr>
        <w:t>âge spécifiques. En septembre</w:t>
      </w:r>
      <w:r w:rsidR="002A20B0" w:rsidRPr="0046567B">
        <w:rPr>
          <w:lang w:val="fr-FR" w:bidi="fr-FR"/>
        </w:rPr>
        <w:t xml:space="preserve"> </w:t>
      </w:r>
      <w:r w:rsidRPr="0046567B">
        <w:rPr>
          <w:lang w:val="fr-FR" w:bidi="fr-FR"/>
        </w:rPr>
        <w:t>2016, le Ministère de la santé a lancé ce programme de dépistage du cancer colorectal, qui se déroulera sur trois ans et qui est destiné à proposer un dépistage à tous les résidents de Hong Kong nés entre</w:t>
      </w:r>
      <w:r w:rsidR="002A20B0" w:rsidRPr="0046567B">
        <w:rPr>
          <w:lang w:val="fr-FR" w:bidi="fr-FR"/>
        </w:rPr>
        <w:t xml:space="preserve"> </w:t>
      </w:r>
      <w:r w:rsidRPr="0046567B">
        <w:rPr>
          <w:lang w:val="fr-FR" w:bidi="fr-FR"/>
        </w:rPr>
        <w:t>1946 et</w:t>
      </w:r>
      <w:r w:rsidR="002A20B0" w:rsidRPr="0046567B">
        <w:rPr>
          <w:lang w:val="fr-FR" w:bidi="fr-FR"/>
        </w:rPr>
        <w:t xml:space="preserve"> </w:t>
      </w:r>
      <w:r w:rsidRPr="0046567B">
        <w:rPr>
          <w:lang w:val="fr-FR" w:bidi="fr-FR"/>
        </w:rPr>
        <w:t>1955. Dans son budget</w:t>
      </w:r>
      <w:r w:rsidR="002A20B0" w:rsidRPr="0046567B">
        <w:rPr>
          <w:lang w:val="fr-FR" w:bidi="fr-FR"/>
        </w:rPr>
        <w:t xml:space="preserve"> </w:t>
      </w:r>
      <w:r w:rsidRPr="0046567B">
        <w:rPr>
          <w:lang w:val="fr-FR" w:bidi="fr-FR"/>
        </w:rPr>
        <w:t>2018-2019, le Gouvernement a annoncé que ce programme sera étendu, dans les années à venir, aux patients âgés de</w:t>
      </w:r>
      <w:r w:rsidR="002A20B0" w:rsidRPr="0046567B">
        <w:rPr>
          <w:lang w:val="fr-FR" w:bidi="fr-FR"/>
        </w:rPr>
        <w:t xml:space="preserve"> </w:t>
      </w:r>
      <w:r w:rsidRPr="0046567B">
        <w:rPr>
          <w:lang w:val="fr-FR" w:bidi="fr-FR"/>
        </w:rPr>
        <w:t>50 à 75</w:t>
      </w:r>
      <w:r w:rsidR="002A20B0" w:rsidRPr="0046567B">
        <w:rPr>
          <w:lang w:val="fr-FR" w:bidi="fr-FR"/>
        </w:rPr>
        <w:t xml:space="preserve"> </w:t>
      </w:r>
      <w:r w:rsidRPr="0046567B">
        <w:rPr>
          <w:lang w:val="fr-FR" w:bidi="fr-FR"/>
        </w:rPr>
        <w:t>ans.</w:t>
      </w:r>
    </w:p>
    <w:p w14:paraId="774E6C11" w14:textId="1694B367" w:rsidR="009E2F8B" w:rsidRPr="0046567B" w:rsidRDefault="009E2F8B" w:rsidP="009E2F8B">
      <w:pPr>
        <w:pStyle w:val="SingleTxt"/>
        <w:spacing w:after="0" w:line="120" w:lineRule="exact"/>
        <w:rPr>
          <w:sz w:val="10"/>
          <w:lang w:val="fr-FR" w:bidi="fr-FR"/>
        </w:rPr>
      </w:pPr>
    </w:p>
    <w:p w14:paraId="4D4E1718" w14:textId="2704E555" w:rsidR="00FC36AA" w:rsidRPr="0046567B" w:rsidRDefault="00FC36AA" w:rsidP="009E2F8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Promotion de l</w:t>
      </w:r>
      <w:r w:rsidR="00FB11B3" w:rsidRPr="0046567B">
        <w:rPr>
          <w:lang w:val="fr-FR" w:bidi="fr-FR"/>
        </w:rPr>
        <w:t>’</w:t>
      </w:r>
      <w:r w:rsidRPr="0046567B">
        <w:rPr>
          <w:lang w:val="fr-FR" w:bidi="fr-FR"/>
        </w:rPr>
        <w:t>allaitement maternel</w:t>
      </w:r>
    </w:p>
    <w:p w14:paraId="31F65C5F" w14:textId="53428160" w:rsidR="009E2F8B" w:rsidRPr="0046567B" w:rsidRDefault="009E2F8B" w:rsidP="009E2F8B">
      <w:pPr>
        <w:pStyle w:val="SingleTxt"/>
        <w:spacing w:after="0" w:line="120" w:lineRule="exact"/>
        <w:rPr>
          <w:sz w:val="10"/>
          <w:lang w:val="fr-FR" w:bidi="fr-FR"/>
        </w:rPr>
      </w:pPr>
    </w:p>
    <w:p w14:paraId="47D8E17D" w14:textId="40E40BC2"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Depuis le dernier rapport, les politiques</w:t>
      </w:r>
      <w:r w:rsidRPr="0046567B">
        <w:rPr>
          <w:rFonts w:hint="eastAsia"/>
          <w:lang w:val="fr-FR" w:bidi="fr-FR"/>
        </w:rPr>
        <w:t xml:space="preserve"> et les mesures</w:t>
      </w:r>
      <w:r w:rsidRPr="0046567B">
        <w:rPr>
          <w:lang w:val="fr-FR" w:bidi="fr-FR"/>
        </w:rPr>
        <w:t xml:space="preserve"> visant à encourager l</w:t>
      </w:r>
      <w:r w:rsidR="00FB11B3" w:rsidRPr="0046567B">
        <w:rPr>
          <w:lang w:val="fr-FR" w:bidi="fr-FR"/>
        </w:rPr>
        <w:t>’</w:t>
      </w:r>
      <w:r w:rsidRPr="0046567B">
        <w:rPr>
          <w:lang w:val="fr-FR" w:bidi="fr-FR"/>
        </w:rPr>
        <w:t>allaitement maternel et à protéger les mères concernées ont été renforcées.</w:t>
      </w:r>
      <w:r w:rsidRPr="0046567B">
        <w:rPr>
          <w:rFonts w:hint="eastAsia"/>
          <w:lang w:val="fr-FR" w:bidi="fr-FR"/>
        </w:rPr>
        <w:t xml:space="preserve"> </w:t>
      </w:r>
      <w:r w:rsidRPr="0046567B">
        <w:rPr>
          <w:lang w:val="fr-FR" w:bidi="fr-FR"/>
        </w:rPr>
        <w:t>C</w:t>
      </w:r>
      <w:r w:rsidRPr="0046567B">
        <w:rPr>
          <w:rFonts w:hint="eastAsia"/>
          <w:lang w:val="fr-FR" w:bidi="fr-FR"/>
        </w:rPr>
        <w:t xml:space="preserve">es mesures </w:t>
      </w:r>
      <w:r w:rsidRPr="0046567B">
        <w:rPr>
          <w:lang w:val="fr-FR" w:bidi="fr-FR"/>
        </w:rPr>
        <w:t>figurent</w:t>
      </w:r>
      <w:r w:rsidRPr="0046567B">
        <w:rPr>
          <w:rFonts w:hint="eastAsia"/>
          <w:lang w:val="fr-FR" w:bidi="fr-FR"/>
        </w:rPr>
        <w:t xml:space="preserve"> à l</w:t>
      </w:r>
      <w:r w:rsidR="00FB11B3" w:rsidRPr="0046567B">
        <w:rPr>
          <w:lang w:val="fr-FR" w:bidi="fr-FR"/>
        </w:rPr>
        <w:t>’</w:t>
      </w:r>
      <w:r w:rsidRPr="0046567B">
        <w:rPr>
          <w:rFonts w:hint="eastAsia"/>
          <w:lang w:val="fr-FR" w:bidi="fr-FR"/>
        </w:rPr>
        <w:t>annexe 12A du présent rapport.</w:t>
      </w:r>
    </w:p>
    <w:p w14:paraId="51B36D8B" w14:textId="6B7E58B7" w:rsidR="009E2F8B" w:rsidRPr="0046567B" w:rsidRDefault="009E2F8B" w:rsidP="009E2F8B">
      <w:pPr>
        <w:pStyle w:val="SingleTxt"/>
        <w:spacing w:after="0" w:line="120" w:lineRule="exact"/>
        <w:rPr>
          <w:sz w:val="10"/>
          <w:lang w:val="fr-FR" w:bidi="fr-FR"/>
        </w:rPr>
      </w:pPr>
    </w:p>
    <w:p w14:paraId="664F5638" w14:textId="3530274C" w:rsidR="00FC36AA" w:rsidRPr="0046567B" w:rsidRDefault="00FC36AA" w:rsidP="009E2F8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Santé mentale</w:t>
      </w:r>
    </w:p>
    <w:p w14:paraId="13606A53" w14:textId="74DBB237" w:rsidR="009E2F8B" w:rsidRPr="0046567B" w:rsidRDefault="009E2F8B" w:rsidP="009E2F8B">
      <w:pPr>
        <w:pStyle w:val="SingleTxt"/>
        <w:spacing w:after="0" w:line="120" w:lineRule="exact"/>
        <w:rPr>
          <w:sz w:val="10"/>
          <w:lang w:val="fr-FR" w:bidi="fr-FR"/>
        </w:rPr>
      </w:pPr>
    </w:p>
    <w:p w14:paraId="0CAB8C12" w14:textId="0F25C3D3"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 xml:space="preserve">Les cas de troubles mentaux sont devenus de plus en plus importants au sein de la Région administrative spéciale de Hong Kong. La </w:t>
      </w:r>
      <w:r w:rsidRPr="0046567B">
        <w:rPr>
          <w:i/>
          <w:lang w:val="fr-FR" w:bidi="fr-FR"/>
        </w:rPr>
        <w:t>Hong Kong Mental Morbidity Survey (HKMMS)</w:t>
      </w:r>
      <w:r w:rsidRPr="0046567B">
        <w:rPr>
          <w:lang w:val="fr-FR" w:bidi="fr-FR"/>
        </w:rPr>
        <w:t>, qui est la première étude psychiatrique menée à l</w:t>
      </w:r>
      <w:r w:rsidR="00FB11B3" w:rsidRPr="0046567B">
        <w:rPr>
          <w:lang w:val="fr-FR" w:bidi="fr-FR"/>
        </w:rPr>
        <w:t>’</w:t>
      </w:r>
      <w:r w:rsidRPr="0046567B">
        <w:rPr>
          <w:lang w:val="fr-FR" w:bidi="fr-FR"/>
        </w:rPr>
        <w:t>échelle du territoire de Hong Kong entre</w:t>
      </w:r>
      <w:r w:rsidR="002A20B0" w:rsidRPr="0046567B">
        <w:rPr>
          <w:lang w:val="fr-FR" w:bidi="fr-FR"/>
        </w:rPr>
        <w:t xml:space="preserve"> </w:t>
      </w:r>
      <w:r w:rsidRPr="0046567B">
        <w:rPr>
          <w:lang w:val="fr-FR" w:bidi="fr-FR"/>
        </w:rPr>
        <w:t>2010 et</w:t>
      </w:r>
      <w:r w:rsidR="002A20B0" w:rsidRPr="0046567B">
        <w:rPr>
          <w:lang w:val="fr-FR" w:bidi="fr-FR"/>
        </w:rPr>
        <w:t xml:space="preserve"> </w:t>
      </w:r>
      <w:r w:rsidRPr="0046567B">
        <w:rPr>
          <w:lang w:val="fr-FR" w:bidi="fr-FR"/>
        </w:rPr>
        <w:t>2013, a estimé que 16,9</w:t>
      </w:r>
      <w:r w:rsidR="00FB11B3" w:rsidRPr="0046567B">
        <w:rPr>
          <w:lang w:val="fr-FR" w:bidi="fr-FR"/>
        </w:rPr>
        <w:t> %</w:t>
      </w:r>
      <w:r w:rsidRPr="0046567B">
        <w:rPr>
          <w:lang w:val="fr-FR" w:bidi="fr-FR"/>
        </w:rPr>
        <w:t xml:space="preserve"> des femmes chinoises âgées de 16</w:t>
      </w:r>
      <w:r w:rsidR="002A20B0" w:rsidRPr="0046567B">
        <w:rPr>
          <w:lang w:val="fr-FR" w:bidi="fr-FR"/>
        </w:rPr>
        <w:t xml:space="preserve"> </w:t>
      </w:r>
      <w:r w:rsidRPr="0046567B">
        <w:rPr>
          <w:lang w:val="fr-FR" w:bidi="fr-FR"/>
        </w:rPr>
        <w:t>à 75</w:t>
      </w:r>
      <w:r w:rsidR="002A20B0" w:rsidRPr="0046567B">
        <w:rPr>
          <w:lang w:val="fr-FR" w:bidi="fr-FR"/>
        </w:rPr>
        <w:t xml:space="preserve"> </w:t>
      </w:r>
      <w:r w:rsidRPr="0046567B">
        <w:rPr>
          <w:lang w:val="fr-FR" w:bidi="fr-FR"/>
        </w:rPr>
        <w:t>ans souffraient de troubles mentaux communs</w:t>
      </w:r>
      <w:r w:rsidRPr="0046567B">
        <w:rPr>
          <w:rStyle w:val="FootnoteReference"/>
          <w:lang w:val="fr-FR" w:bidi="fr-FR"/>
        </w:rPr>
        <w:footnoteReference w:id="6"/>
      </w:r>
      <w:r w:rsidRPr="0046567B">
        <w:rPr>
          <w:lang w:val="fr-FR" w:bidi="fr-FR"/>
        </w:rPr>
        <w:t>, contre 9,4</w:t>
      </w:r>
      <w:r w:rsidR="00FB11B3" w:rsidRPr="0046567B">
        <w:rPr>
          <w:lang w:val="fr-FR" w:bidi="fr-FR"/>
        </w:rPr>
        <w:t> %</w:t>
      </w:r>
      <w:r w:rsidRPr="0046567B">
        <w:rPr>
          <w:lang w:val="fr-FR" w:bidi="fr-FR"/>
        </w:rPr>
        <w:t xml:space="preserve"> pour les hommes (prévalence sur une semaine). En</w:t>
      </w:r>
      <w:r w:rsidR="002A20B0" w:rsidRPr="0046567B">
        <w:rPr>
          <w:lang w:val="fr-FR" w:bidi="fr-FR"/>
        </w:rPr>
        <w:t xml:space="preserve"> </w:t>
      </w:r>
      <w:r w:rsidRPr="0046567B">
        <w:rPr>
          <w:lang w:val="fr-FR" w:bidi="fr-FR"/>
        </w:rPr>
        <w:t>2016, le taux de mortalité par suicide normalisé par tranche d</w:t>
      </w:r>
      <w:r w:rsidR="00FB11B3" w:rsidRPr="0046567B">
        <w:rPr>
          <w:lang w:val="fr-FR" w:bidi="fr-FR"/>
        </w:rPr>
        <w:t>’</w:t>
      </w:r>
      <w:r w:rsidRPr="0046567B">
        <w:rPr>
          <w:lang w:val="fr-FR" w:bidi="fr-FR"/>
        </w:rPr>
        <w:t>âge était de</w:t>
      </w:r>
      <w:r w:rsidR="002A20B0" w:rsidRPr="0046567B">
        <w:rPr>
          <w:lang w:val="fr-FR" w:bidi="fr-FR"/>
        </w:rPr>
        <w:t xml:space="preserve"> </w:t>
      </w:r>
      <w:r w:rsidRPr="0046567B">
        <w:rPr>
          <w:lang w:val="fr-FR" w:bidi="fr-FR"/>
        </w:rPr>
        <w:t>5,7 pour 100</w:t>
      </w:r>
      <w:r w:rsidR="002A20B0" w:rsidRPr="0046567B">
        <w:rPr>
          <w:lang w:val="fr-FR" w:bidi="fr-FR"/>
        </w:rPr>
        <w:t> </w:t>
      </w:r>
      <w:r w:rsidRPr="0046567B">
        <w:rPr>
          <w:lang w:val="fr-FR" w:bidi="fr-FR"/>
        </w:rPr>
        <w:t>000</w:t>
      </w:r>
      <w:r w:rsidR="002A20B0" w:rsidRPr="0046567B">
        <w:rPr>
          <w:lang w:val="fr-FR" w:bidi="fr-FR"/>
        </w:rPr>
        <w:t xml:space="preserve"> </w:t>
      </w:r>
      <w:r w:rsidRPr="0046567B">
        <w:rPr>
          <w:lang w:val="fr-FR" w:bidi="fr-FR"/>
        </w:rPr>
        <w:t>habitants chez les femmes, contre</w:t>
      </w:r>
      <w:r w:rsidR="002A20B0" w:rsidRPr="0046567B">
        <w:rPr>
          <w:lang w:val="fr-FR" w:bidi="fr-FR"/>
        </w:rPr>
        <w:t xml:space="preserve"> </w:t>
      </w:r>
      <w:r w:rsidRPr="0046567B">
        <w:rPr>
          <w:lang w:val="fr-FR" w:bidi="fr-FR"/>
        </w:rPr>
        <w:t>13,7 pour 100</w:t>
      </w:r>
      <w:r w:rsidR="002A20B0" w:rsidRPr="0046567B">
        <w:rPr>
          <w:lang w:val="fr-FR" w:bidi="fr-FR"/>
        </w:rPr>
        <w:t xml:space="preserve"> </w:t>
      </w:r>
      <w:r w:rsidRPr="0046567B">
        <w:rPr>
          <w:lang w:val="fr-FR" w:bidi="fr-FR"/>
        </w:rPr>
        <w:t>000</w:t>
      </w:r>
      <w:r w:rsidR="002A20B0" w:rsidRPr="0046567B">
        <w:rPr>
          <w:lang w:val="fr-FR" w:bidi="fr-FR"/>
        </w:rPr>
        <w:t xml:space="preserve"> </w:t>
      </w:r>
      <w:r w:rsidRPr="0046567B">
        <w:rPr>
          <w:lang w:val="fr-FR" w:bidi="fr-FR"/>
        </w:rPr>
        <w:t>habitants chez les hommes.</w:t>
      </w:r>
    </w:p>
    <w:p w14:paraId="2C294D55" w14:textId="2BCDF0BB"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 xml:space="preserve">Au cours des dernières années, les ressources allouées par le Gouvernement aux services de santé mentale </w:t>
      </w:r>
      <w:r w:rsidRPr="0046567B">
        <w:rPr>
          <w:rFonts w:hint="eastAsia"/>
          <w:lang w:val="fr-FR" w:bidi="fr-FR"/>
        </w:rPr>
        <w:t>ont</w:t>
      </w:r>
      <w:r w:rsidRPr="0046567B">
        <w:rPr>
          <w:lang w:val="fr-FR" w:bidi="fr-FR"/>
        </w:rPr>
        <w:t xml:space="preserve"> augmenté. Les dépenses annuelles sont passées de plus de 5</w:t>
      </w:r>
      <w:r w:rsidR="002A20B0" w:rsidRPr="0046567B">
        <w:rPr>
          <w:lang w:val="fr-FR" w:bidi="fr-FR"/>
        </w:rPr>
        <w:t xml:space="preserve"> </w:t>
      </w:r>
      <w:r w:rsidRPr="0046567B">
        <w:rPr>
          <w:lang w:val="fr-FR" w:bidi="fr-FR"/>
        </w:rPr>
        <w:t>milliards de dollars hongkongais en</w:t>
      </w:r>
      <w:r w:rsidR="002A20B0" w:rsidRPr="0046567B">
        <w:rPr>
          <w:lang w:val="fr-FR" w:bidi="fr-FR"/>
        </w:rPr>
        <w:t xml:space="preserve"> </w:t>
      </w:r>
      <w:r w:rsidRPr="0046567B">
        <w:rPr>
          <w:lang w:val="fr-FR" w:bidi="fr-FR"/>
        </w:rPr>
        <w:t>2013-2014 à environ 6,45</w:t>
      </w:r>
      <w:r w:rsidR="00FB222C" w:rsidRPr="0046567B">
        <w:rPr>
          <w:lang w:val="fr-FR" w:bidi="fr-FR"/>
        </w:rPr>
        <w:t> </w:t>
      </w:r>
      <w:r w:rsidRPr="0046567B">
        <w:rPr>
          <w:lang w:val="fr-FR" w:bidi="fr-FR"/>
        </w:rPr>
        <w:t>milliards de dollars hongkongais en</w:t>
      </w:r>
      <w:r w:rsidR="002A20B0" w:rsidRPr="0046567B">
        <w:rPr>
          <w:lang w:val="fr-FR" w:bidi="fr-FR"/>
        </w:rPr>
        <w:t xml:space="preserve"> </w:t>
      </w:r>
      <w:r w:rsidRPr="0046567B">
        <w:rPr>
          <w:lang w:val="fr-FR" w:bidi="fr-FR"/>
        </w:rPr>
        <w:t>2017-2018.</w:t>
      </w:r>
    </w:p>
    <w:p w14:paraId="47887199" w14:textId="060AF29E"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À la suite d</w:t>
      </w:r>
      <w:r w:rsidR="00FB11B3" w:rsidRPr="0046567B">
        <w:rPr>
          <w:lang w:val="fr-FR" w:bidi="fr-FR"/>
        </w:rPr>
        <w:t>’</w:t>
      </w:r>
      <w:r w:rsidRPr="0046567B">
        <w:rPr>
          <w:lang w:val="fr-FR" w:bidi="fr-FR"/>
        </w:rPr>
        <w:t>une étude sur la santé mentale menée entre</w:t>
      </w:r>
      <w:r w:rsidR="002A20B0" w:rsidRPr="0046567B">
        <w:rPr>
          <w:lang w:val="fr-FR" w:bidi="fr-FR"/>
        </w:rPr>
        <w:t xml:space="preserve"> </w:t>
      </w:r>
      <w:r w:rsidRPr="0046567B">
        <w:rPr>
          <w:lang w:val="fr-FR" w:bidi="fr-FR"/>
        </w:rPr>
        <w:t>2013 et</w:t>
      </w:r>
      <w:r w:rsidR="002A20B0" w:rsidRPr="0046567B">
        <w:rPr>
          <w:lang w:val="fr-FR" w:bidi="fr-FR"/>
        </w:rPr>
        <w:t xml:space="preserve"> </w:t>
      </w:r>
      <w:r w:rsidRPr="0046567B">
        <w:rPr>
          <w:lang w:val="fr-FR" w:bidi="fr-FR"/>
        </w:rPr>
        <w:t xml:space="preserve">2017, le </w:t>
      </w:r>
      <w:r w:rsidRPr="0046567B">
        <w:rPr>
          <w:rFonts w:hint="eastAsia"/>
          <w:lang w:val="fr-FR" w:bidi="fr-FR"/>
        </w:rPr>
        <w:t>Bureau de l</w:t>
      </w:r>
      <w:r w:rsidR="00FB11B3" w:rsidRPr="0046567B">
        <w:rPr>
          <w:lang w:val="fr-FR" w:bidi="fr-FR"/>
        </w:rPr>
        <w:t>’</w:t>
      </w:r>
      <w:r w:rsidRPr="0046567B">
        <w:rPr>
          <w:rFonts w:hint="eastAsia"/>
          <w:lang w:val="fr-FR" w:bidi="fr-FR"/>
        </w:rPr>
        <w:t xml:space="preserve">alimentation et de la santé </w:t>
      </w:r>
      <w:r w:rsidRPr="0046567B">
        <w:rPr>
          <w:lang w:val="fr-FR" w:bidi="fr-FR"/>
        </w:rPr>
        <w:t>a publié en avril</w:t>
      </w:r>
      <w:r w:rsidR="002A20B0" w:rsidRPr="0046567B">
        <w:rPr>
          <w:lang w:val="fr-FR" w:bidi="fr-FR"/>
        </w:rPr>
        <w:t xml:space="preserve"> </w:t>
      </w:r>
      <w:r w:rsidRPr="0046567B">
        <w:rPr>
          <w:lang w:val="fr-FR" w:bidi="fr-FR"/>
        </w:rPr>
        <w:t>2017 un rapport sur la santé mentale contenant 40</w:t>
      </w:r>
      <w:r w:rsidR="002A20B0" w:rsidRPr="0046567B">
        <w:rPr>
          <w:lang w:val="fr-FR" w:bidi="fr-FR"/>
        </w:rPr>
        <w:t xml:space="preserve"> </w:t>
      </w:r>
      <w:r w:rsidRPr="0046567B">
        <w:rPr>
          <w:lang w:val="fr-FR" w:bidi="fr-FR"/>
        </w:rPr>
        <w:t>recommandations visant à améliorer la prise en charge des troubles mentaux à Hong Kong. Sur la base de ces recommandations, le Bureau de l</w:t>
      </w:r>
      <w:r w:rsidR="00FB11B3" w:rsidRPr="0046567B">
        <w:rPr>
          <w:lang w:val="fr-FR" w:bidi="fr-FR"/>
        </w:rPr>
        <w:t>’</w:t>
      </w:r>
      <w:r w:rsidRPr="0046567B">
        <w:rPr>
          <w:lang w:val="fr-FR" w:bidi="fr-FR"/>
        </w:rPr>
        <w:t xml:space="preserve">Alimentation et de la santé </w:t>
      </w:r>
      <w:r w:rsidRPr="0046567B">
        <w:rPr>
          <w:rFonts w:hint="eastAsia"/>
          <w:lang w:val="fr-FR" w:bidi="fr-FR"/>
        </w:rPr>
        <w:t xml:space="preserve">a </w:t>
      </w:r>
      <w:r w:rsidRPr="0046567B">
        <w:rPr>
          <w:lang w:val="fr-FR" w:bidi="fr-FR"/>
        </w:rPr>
        <w:t>mis en place en décembre</w:t>
      </w:r>
      <w:r w:rsidR="002A20B0" w:rsidRPr="0046567B">
        <w:rPr>
          <w:lang w:val="fr-FR" w:bidi="fr-FR"/>
        </w:rPr>
        <w:t xml:space="preserve"> </w:t>
      </w:r>
      <w:r w:rsidRPr="0046567B">
        <w:rPr>
          <w:lang w:val="fr-FR" w:bidi="fr-FR"/>
        </w:rPr>
        <w:t>2017 un Comité consultatif permanent sur la santé mentale, à la fois pour suivre la mise en œuvre de ces 40</w:t>
      </w:r>
      <w:r w:rsidR="00FB222C" w:rsidRPr="0046567B">
        <w:rPr>
          <w:lang w:val="fr-FR" w:bidi="fr-FR"/>
        </w:rPr>
        <w:t> </w:t>
      </w:r>
      <w:r w:rsidRPr="0046567B">
        <w:rPr>
          <w:lang w:val="fr-FR" w:bidi="fr-FR"/>
        </w:rPr>
        <w:t>recommandations, pour conseiller le Gouvernement sur les politiques de santé mentale et pour l</w:t>
      </w:r>
      <w:r w:rsidR="00FB11B3" w:rsidRPr="0046567B">
        <w:rPr>
          <w:lang w:val="fr-FR" w:bidi="fr-FR"/>
        </w:rPr>
        <w:t>’</w:t>
      </w:r>
      <w:r w:rsidRPr="0046567B">
        <w:rPr>
          <w:lang w:val="fr-FR" w:bidi="fr-FR"/>
        </w:rPr>
        <w:t>aider à améliorer les différents services de prise en charge. Entre autres initiatives, le Comité consultatif a conduit des études sur la prédominance des troubles mentaux dans les différentes classes d</w:t>
      </w:r>
      <w:r w:rsidR="00FB11B3" w:rsidRPr="0046567B">
        <w:rPr>
          <w:lang w:val="fr-FR" w:bidi="fr-FR"/>
        </w:rPr>
        <w:t>’</w:t>
      </w:r>
      <w:r w:rsidRPr="0046567B">
        <w:rPr>
          <w:lang w:val="fr-FR" w:bidi="fr-FR"/>
        </w:rPr>
        <w:t>âge, la première phase de ces études ayant commencé début</w:t>
      </w:r>
      <w:r w:rsidR="002A20B0" w:rsidRPr="0046567B">
        <w:rPr>
          <w:lang w:val="fr-FR" w:bidi="fr-FR"/>
        </w:rPr>
        <w:t xml:space="preserve"> </w:t>
      </w:r>
      <w:r w:rsidRPr="0046567B">
        <w:rPr>
          <w:lang w:val="fr-FR" w:bidi="fr-FR"/>
        </w:rPr>
        <w:t>2019.</w:t>
      </w:r>
    </w:p>
    <w:p w14:paraId="587ACB81" w14:textId="16BE4558"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Depuis</w:t>
      </w:r>
      <w:r w:rsidR="002A20B0" w:rsidRPr="0046567B">
        <w:rPr>
          <w:lang w:val="fr-FR" w:bidi="fr-FR"/>
        </w:rPr>
        <w:t xml:space="preserve"> </w:t>
      </w:r>
      <w:r w:rsidRPr="0046567B">
        <w:rPr>
          <w:lang w:val="fr-FR" w:bidi="fr-FR"/>
        </w:rPr>
        <w:t>2010, la Direction générale des hôpitaux a mis en œuvre un certain nombre d</w:t>
      </w:r>
      <w:r w:rsidR="00FB11B3" w:rsidRPr="0046567B">
        <w:rPr>
          <w:lang w:val="fr-FR" w:bidi="fr-FR"/>
        </w:rPr>
        <w:t>’</w:t>
      </w:r>
      <w:r w:rsidRPr="0046567B">
        <w:rPr>
          <w:lang w:val="fr-FR" w:bidi="fr-FR"/>
        </w:rPr>
        <w:t>initiatives nouvelles, y compris le lancement du Programme de gestion et de suivi des patients, la création d</w:t>
      </w:r>
      <w:r w:rsidR="00FB11B3" w:rsidRPr="0046567B">
        <w:rPr>
          <w:lang w:val="fr-FR" w:bidi="fr-FR"/>
        </w:rPr>
        <w:t>’</w:t>
      </w:r>
      <w:r w:rsidRPr="0046567B">
        <w:rPr>
          <w:lang w:val="fr-FR" w:bidi="fr-FR"/>
        </w:rPr>
        <w:t>un groupe de soutien entre pairs dans le cadre de ce programme, la mise en place d</w:t>
      </w:r>
      <w:r w:rsidR="00FB11B3" w:rsidRPr="0046567B">
        <w:rPr>
          <w:lang w:val="fr-FR" w:bidi="fr-FR"/>
        </w:rPr>
        <w:t>’</w:t>
      </w:r>
      <w:r w:rsidRPr="0046567B">
        <w:rPr>
          <w:lang w:val="fr-FR" w:bidi="fr-FR"/>
        </w:rPr>
        <w:t>une ligne téléphonique de conseils psychiatriques, le renforcement du soutien multidisciplinaire pour les cliniques de santé mentale, etc., dans le but de renforcer le soutien communautaire et d</w:t>
      </w:r>
      <w:r w:rsidR="00FB11B3" w:rsidRPr="0046567B">
        <w:rPr>
          <w:lang w:val="fr-FR" w:bidi="fr-FR"/>
        </w:rPr>
        <w:t>’</w:t>
      </w:r>
      <w:r w:rsidRPr="0046567B">
        <w:rPr>
          <w:lang w:val="fr-FR" w:bidi="fr-FR"/>
        </w:rPr>
        <w:t>améliorer les temps d</w:t>
      </w:r>
      <w:r w:rsidR="00FB11B3" w:rsidRPr="0046567B">
        <w:rPr>
          <w:lang w:val="fr-FR" w:bidi="fr-FR"/>
        </w:rPr>
        <w:t>’</w:t>
      </w:r>
      <w:r w:rsidRPr="0046567B">
        <w:rPr>
          <w:lang w:val="fr-FR" w:bidi="fr-FR"/>
        </w:rPr>
        <w:t>attente dans les services psychiatriques.</w:t>
      </w:r>
    </w:p>
    <w:p w14:paraId="79DDF44B" w14:textId="26DABA4F"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En février</w:t>
      </w:r>
      <w:r w:rsidR="002A20B0" w:rsidRPr="0046567B">
        <w:rPr>
          <w:lang w:val="fr-FR" w:bidi="fr-FR"/>
        </w:rPr>
        <w:t xml:space="preserve"> </w:t>
      </w:r>
      <w:r w:rsidRPr="0046567B">
        <w:rPr>
          <w:lang w:val="fr-FR" w:bidi="fr-FR"/>
        </w:rPr>
        <w:t>2017, le Bureau de l</w:t>
      </w:r>
      <w:r w:rsidR="00FB11B3" w:rsidRPr="0046567B">
        <w:rPr>
          <w:lang w:val="fr-FR" w:bidi="fr-FR"/>
        </w:rPr>
        <w:t>’</w:t>
      </w:r>
      <w:r w:rsidRPr="0046567B">
        <w:rPr>
          <w:lang w:val="fr-FR" w:bidi="fr-FR"/>
        </w:rPr>
        <w:t xml:space="preserve">alimentation et de la santé, en collaboration avec la Direction générale des hôpitaux et le Département de la protection sociale, </w:t>
      </w:r>
      <w:r w:rsidRPr="0046567B">
        <w:rPr>
          <w:rFonts w:hint="eastAsia"/>
          <w:lang w:val="fr-FR" w:bidi="fr-FR"/>
        </w:rPr>
        <w:t xml:space="preserve">a </w:t>
      </w:r>
      <w:r w:rsidRPr="0046567B">
        <w:rPr>
          <w:lang w:val="fr-FR" w:bidi="fr-FR"/>
        </w:rPr>
        <w:t xml:space="preserve">lancé un programme pilote sur deux ans dénommé </w:t>
      </w:r>
      <w:r w:rsidRPr="0046567B">
        <w:rPr>
          <w:i/>
          <w:lang w:val="fr-FR" w:bidi="fr-FR"/>
        </w:rPr>
        <w:t xml:space="preserve">Dementia Community Support Scheme (DCSS), </w:t>
      </w:r>
      <w:r w:rsidRPr="0046567B">
        <w:rPr>
          <w:lang w:val="fr-FR" w:bidi="fr-FR"/>
        </w:rPr>
        <w:t>destiné à mettre à la disposition des personnes âgées atteintes de démence légère ou modérée et à leurs aidants des infrastructures d</w:t>
      </w:r>
      <w:r w:rsidR="00FB11B3" w:rsidRPr="0046567B">
        <w:rPr>
          <w:lang w:val="fr-FR" w:bidi="fr-FR"/>
        </w:rPr>
        <w:t>’</w:t>
      </w:r>
      <w:r w:rsidRPr="0046567B">
        <w:rPr>
          <w:lang w:val="fr-FR" w:bidi="fr-FR"/>
        </w:rPr>
        <w:t>aide à travers 20</w:t>
      </w:r>
      <w:r w:rsidR="002A20B0" w:rsidRPr="0046567B">
        <w:rPr>
          <w:lang w:val="fr-FR" w:bidi="fr-FR"/>
        </w:rPr>
        <w:t xml:space="preserve"> </w:t>
      </w:r>
      <w:r w:rsidRPr="0046567B">
        <w:rPr>
          <w:lang w:val="fr-FR" w:bidi="fr-FR"/>
        </w:rPr>
        <w:t>centres communautaires pour personnes âgées. Ce programme pilote sera finalisé en février</w:t>
      </w:r>
      <w:r w:rsidR="002A20B0" w:rsidRPr="0046567B">
        <w:rPr>
          <w:lang w:val="fr-FR" w:bidi="fr-FR"/>
        </w:rPr>
        <w:t xml:space="preserve"> </w:t>
      </w:r>
      <w:r w:rsidRPr="0046567B">
        <w:rPr>
          <w:lang w:val="fr-FR" w:bidi="fr-FR"/>
        </w:rPr>
        <w:t>2019 et étendu à 41</w:t>
      </w:r>
      <w:r w:rsidR="002A20B0" w:rsidRPr="0046567B">
        <w:rPr>
          <w:lang w:val="fr-FR" w:bidi="fr-FR"/>
        </w:rPr>
        <w:t xml:space="preserve"> </w:t>
      </w:r>
      <w:r w:rsidRPr="0046567B">
        <w:rPr>
          <w:lang w:val="fr-FR" w:bidi="fr-FR"/>
        </w:rPr>
        <w:t>centres communautaires pour personnes âgées en</w:t>
      </w:r>
      <w:r w:rsidR="002A20B0" w:rsidRPr="0046567B">
        <w:rPr>
          <w:lang w:val="fr-FR" w:bidi="fr-FR"/>
        </w:rPr>
        <w:t xml:space="preserve"> </w:t>
      </w:r>
      <w:r w:rsidRPr="0046567B">
        <w:rPr>
          <w:lang w:val="fr-FR" w:bidi="fr-FR"/>
        </w:rPr>
        <w:t>2019-2020, pour profiter à un plus grand nombre de personnes âgées dans le besoin, y compris des femmes.</w:t>
      </w:r>
    </w:p>
    <w:p w14:paraId="52F1D8AE" w14:textId="5D070DAD"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En janvier</w:t>
      </w:r>
      <w:r w:rsidR="002A20B0" w:rsidRPr="0046567B">
        <w:rPr>
          <w:lang w:val="fr-FR" w:bidi="fr-FR"/>
        </w:rPr>
        <w:t xml:space="preserve"> </w:t>
      </w:r>
      <w:r w:rsidRPr="0046567B">
        <w:rPr>
          <w:lang w:val="fr-FR" w:bidi="fr-FR"/>
        </w:rPr>
        <w:t>2016, le Ministère de la santé a lancé la campagne Joyful@HK, qui est un programme de promotion sur trois ans à l</w:t>
      </w:r>
      <w:r w:rsidR="00FB11B3" w:rsidRPr="0046567B">
        <w:rPr>
          <w:lang w:val="fr-FR" w:bidi="fr-FR"/>
        </w:rPr>
        <w:t>’</w:t>
      </w:r>
      <w:r w:rsidRPr="0046567B">
        <w:rPr>
          <w:lang w:val="fr-FR" w:bidi="fr-FR"/>
        </w:rPr>
        <w:t>échelle du territoire de Hong Kong. Par ailleurs, le Ministère de la santé prévoit de lancer en</w:t>
      </w:r>
      <w:r w:rsidR="002A20B0" w:rsidRPr="0046567B">
        <w:rPr>
          <w:lang w:val="fr-FR" w:bidi="fr-FR"/>
        </w:rPr>
        <w:t xml:space="preserve"> </w:t>
      </w:r>
      <w:r w:rsidRPr="0046567B">
        <w:rPr>
          <w:lang w:val="fr-FR" w:bidi="fr-FR"/>
        </w:rPr>
        <w:t>2019 une campagne d</w:t>
      </w:r>
      <w:r w:rsidR="00FB11B3" w:rsidRPr="0046567B">
        <w:rPr>
          <w:lang w:val="fr-FR" w:bidi="fr-FR"/>
        </w:rPr>
        <w:t>’</w:t>
      </w:r>
      <w:r w:rsidRPr="0046567B">
        <w:rPr>
          <w:lang w:val="fr-FR" w:bidi="fr-FR"/>
        </w:rPr>
        <w:t>information et de sensibilisation sur les troubles mentaux.</w:t>
      </w:r>
    </w:p>
    <w:p w14:paraId="231279BB" w14:textId="506D64C4"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Au niveau des centres de soins maternels et infantiles, un service a été mis en place pour identifier les mères qui souffrent potentiellement de dépression postnatale. Les patientes qui présentent des signes de dépression postnatale pourront être orientées le cas échéant vers des services hospitaliers spécialisés. En collaboration avec les hôpitaux publics, les mères bénéficient également, après l</w:t>
      </w:r>
      <w:r w:rsidR="00FB11B3" w:rsidRPr="0046567B">
        <w:rPr>
          <w:lang w:val="fr-FR" w:bidi="fr-FR"/>
        </w:rPr>
        <w:t>’</w:t>
      </w:r>
      <w:r w:rsidRPr="0046567B">
        <w:rPr>
          <w:lang w:val="fr-FR" w:bidi="fr-FR"/>
        </w:rPr>
        <w:t>accouchement, de bilans de santé, de conseils en matière de planification familiale et d</w:t>
      </w:r>
      <w:r w:rsidR="00FB11B3" w:rsidRPr="0046567B">
        <w:rPr>
          <w:lang w:val="fr-FR" w:bidi="fr-FR"/>
        </w:rPr>
        <w:t>’</w:t>
      </w:r>
      <w:r w:rsidRPr="0046567B">
        <w:rPr>
          <w:lang w:val="fr-FR" w:bidi="fr-FR"/>
        </w:rPr>
        <w:t>un soutien à travers des groupes de parole et des consultations personnalisées.</w:t>
      </w:r>
    </w:p>
    <w:p w14:paraId="7C5F2D5F" w14:textId="6A5C8467" w:rsidR="009E2F8B" w:rsidRPr="0046567B" w:rsidRDefault="009E2F8B" w:rsidP="009E2F8B">
      <w:pPr>
        <w:pStyle w:val="SingleTxt"/>
        <w:spacing w:after="0" w:line="120" w:lineRule="exact"/>
        <w:rPr>
          <w:sz w:val="10"/>
          <w:lang w:val="fr-FR" w:bidi="fr-FR"/>
        </w:rPr>
      </w:pPr>
    </w:p>
    <w:p w14:paraId="16D4D1B4" w14:textId="756A93AD" w:rsidR="00FC36AA" w:rsidRPr="0046567B" w:rsidRDefault="00FC36AA" w:rsidP="009E2F8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Prévention du VIH</w:t>
      </w:r>
    </w:p>
    <w:p w14:paraId="14B047B1" w14:textId="49BAFDE2" w:rsidR="009E2F8B" w:rsidRPr="0046567B" w:rsidRDefault="009E2F8B" w:rsidP="009E2F8B">
      <w:pPr>
        <w:pStyle w:val="SingleTxt"/>
        <w:spacing w:after="0" w:line="120" w:lineRule="exact"/>
        <w:rPr>
          <w:sz w:val="10"/>
          <w:lang w:val="fr-FR" w:bidi="fr-FR"/>
        </w:rPr>
      </w:pPr>
    </w:p>
    <w:p w14:paraId="7D7DA6E7" w14:textId="503A2896"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 xml:space="preserve">Dans les années à venir, les femmes bénéficieront de meilleurs services de prévention et de traitement du VIH. Comme exposé dans son rapport intitulé </w:t>
      </w:r>
      <w:r w:rsidRPr="0046567B">
        <w:rPr>
          <w:i/>
          <w:lang w:val="fr-FR" w:bidi="fr-FR"/>
        </w:rPr>
        <w:t>« Recommended HIV/AIDS Strategies for Hong Kong</w:t>
      </w:r>
      <w:r w:rsidR="002A20B0" w:rsidRPr="0046567B">
        <w:rPr>
          <w:i/>
          <w:lang w:val="fr-FR" w:bidi="fr-FR"/>
        </w:rPr>
        <w:t xml:space="preserve"> </w:t>
      </w:r>
      <w:r w:rsidRPr="0046567B">
        <w:rPr>
          <w:i/>
          <w:lang w:val="fr-FR" w:bidi="fr-FR"/>
        </w:rPr>
        <w:t>(2017-2021) »</w:t>
      </w:r>
      <w:r w:rsidRPr="0046567B">
        <w:rPr>
          <w:lang w:val="fr-FR" w:bidi="fr-FR"/>
        </w:rPr>
        <w:t>, publié par le Conseil consultatif de Hong Kong sur le SIDA, l</w:t>
      </w:r>
      <w:r w:rsidR="00FB11B3" w:rsidRPr="0046567B">
        <w:rPr>
          <w:lang w:val="fr-FR" w:bidi="fr-FR"/>
        </w:rPr>
        <w:t>’</w:t>
      </w:r>
      <w:r w:rsidRPr="0046567B">
        <w:rPr>
          <w:lang w:val="fr-FR" w:bidi="fr-FR"/>
        </w:rPr>
        <w:t>information sur le VIH, l</w:t>
      </w:r>
      <w:r w:rsidR="00FB11B3" w:rsidRPr="0046567B">
        <w:rPr>
          <w:lang w:val="fr-FR" w:bidi="fr-FR"/>
        </w:rPr>
        <w:t>’</w:t>
      </w:r>
      <w:r w:rsidRPr="0046567B">
        <w:rPr>
          <w:lang w:val="fr-FR" w:bidi="fr-FR"/>
        </w:rPr>
        <w:t>usage du préservatif et le dépistage régulier devraient être renforcés auprès des populations asiatiques en dehors de la Chine et auprès des populations originaires d</w:t>
      </w:r>
      <w:r w:rsidR="00FB11B3" w:rsidRPr="0046567B">
        <w:rPr>
          <w:lang w:val="fr-FR" w:bidi="fr-FR"/>
        </w:rPr>
        <w:t>’</w:t>
      </w:r>
      <w:r w:rsidRPr="0046567B">
        <w:rPr>
          <w:lang w:val="fr-FR" w:bidi="fr-FR"/>
        </w:rPr>
        <w:t>Afrique, dont la majorité sont des femmes. Les services doivent être sensibilisés à leurs besoins. En outre, la faisabilité de la mise en place d</w:t>
      </w:r>
      <w:r w:rsidR="00FB11B3" w:rsidRPr="0046567B">
        <w:rPr>
          <w:lang w:val="fr-FR" w:bidi="fr-FR"/>
        </w:rPr>
        <w:t>’</w:t>
      </w:r>
      <w:r w:rsidRPr="0046567B">
        <w:rPr>
          <w:lang w:val="fr-FR" w:bidi="fr-FR"/>
        </w:rPr>
        <w:t>un test supplémentaire des femmes enceintes en vue de réduire les risques de transmission du VIH de la mère à l</w:t>
      </w:r>
      <w:r w:rsidR="00FB11B3" w:rsidRPr="0046567B">
        <w:rPr>
          <w:lang w:val="fr-FR" w:bidi="fr-FR"/>
        </w:rPr>
        <w:t>’</w:t>
      </w:r>
      <w:r w:rsidRPr="0046567B">
        <w:rPr>
          <w:lang w:val="fr-FR" w:bidi="fr-FR"/>
        </w:rPr>
        <w:t>enfant pendant la dernière partie de la grossesse sera examinée.</w:t>
      </w:r>
    </w:p>
    <w:p w14:paraId="53E53FB2" w14:textId="68FB6BCC" w:rsidR="009E2F8B" w:rsidRPr="0046567B" w:rsidRDefault="009E2F8B" w:rsidP="009E2F8B">
      <w:pPr>
        <w:pStyle w:val="SingleTxt"/>
        <w:spacing w:after="0" w:line="120" w:lineRule="exact"/>
        <w:rPr>
          <w:sz w:val="10"/>
          <w:lang w:val="fr-FR" w:bidi="fr-FR"/>
        </w:rPr>
      </w:pPr>
    </w:p>
    <w:p w14:paraId="1063603B" w14:textId="77777777" w:rsidR="009E2F8B" w:rsidRPr="0046567B" w:rsidRDefault="009E2F8B" w:rsidP="009E2F8B">
      <w:pPr>
        <w:pStyle w:val="SingleTxt"/>
        <w:spacing w:after="0" w:line="120" w:lineRule="exact"/>
        <w:rPr>
          <w:sz w:val="10"/>
          <w:lang w:val="fr-FR" w:bidi="fr-FR"/>
        </w:rPr>
      </w:pPr>
    </w:p>
    <w:p w14:paraId="5878D4D1" w14:textId="0D9D83EF"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Présentation des services destinés aux femmes ayant des besoins particuliers</w:t>
      </w:r>
    </w:p>
    <w:p w14:paraId="6EDB30E1" w14:textId="69EF1C66" w:rsidR="009E2F8B" w:rsidRPr="0046567B" w:rsidRDefault="009E2F8B" w:rsidP="009E2F8B">
      <w:pPr>
        <w:pStyle w:val="SingleTxt"/>
        <w:spacing w:after="0" w:line="120" w:lineRule="exact"/>
        <w:rPr>
          <w:sz w:val="10"/>
          <w:lang w:val="fr-FR" w:bidi="fr-FR"/>
        </w:rPr>
      </w:pPr>
    </w:p>
    <w:p w14:paraId="15216E37" w14:textId="3E8E02CE" w:rsidR="009E2F8B" w:rsidRPr="0046567B" w:rsidRDefault="009E2F8B" w:rsidP="009E2F8B">
      <w:pPr>
        <w:pStyle w:val="SingleTxt"/>
        <w:spacing w:after="0" w:line="120" w:lineRule="exact"/>
        <w:rPr>
          <w:sz w:val="10"/>
          <w:lang w:val="fr-FR" w:bidi="fr-FR"/>
        </w:rPr>
      </w:pPr>
    </w:p>
    <w:p w14:paraId="2E893B28" w14:textId="1A80E46F"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Comme exposé dans son rapport précédent, le Gouvernement continue à assurer des services en faveur des femmes ayant des besoins particuliers, telles que les femmes handicapées, les femmes âgées, les toxicomanes, les travailleuses du sexe, les femmes issues de minorités ethniques, les travailleuses importées et les travailleuses domestiques étrangères.</w:t>
      </w:r>
      <w:r w:rsidRPr="0046567B">
        <w:rPr>
          <w:rFonts w:hint="eastAsia"/>
          <w:lang w:val="fr-FR" w:bidi="fr-FR"/>
        </w:rPr>
        <w:t xml:space="preserve"> </w:t>
      </w:r>
      <w:r w:rsidRPr="0046567B">
        <w:rPr>
          <w:lang w:val="fr-FR" w:bidi="fr-FR"/>
        </w:rPr>
        <w:t>C</w:t>
      </w:r>
      <w:r w:rsidRPr="0046567B">
        <w:rPr>
          <w:rFonts w:hint="eastAsia"/>
          <w:lang w:val="fr-FR" w:bidi="fr-FR"/>
        </w:rPr>
        <w:t xml:space="preserve">es services </w:t>
      </w:r>
      <w:r w:rsidRPr="0046567B">
        <w:rPr>
          <w:lang w:val="fr-FR" w:bidi="fr-FR"/>
        </w:rPr>
        <w:t>font l</w:t>
      </w:r>
      <w:r w:rsidR="00FB11B3" w:rsidRPr="0046567B">
        <w:rPr>
          <w:lang w:val="fr-FR" w:bidi="fr-FR"/>
        </w:rPr>
        <w:t>’</w:t>
      </w:r>
      <w:r w:rsidRPr="0046567B">
        <w:rPr>
          <w:lang w:val="fr-FR" w:bidi="fr-FR"/>
        </w:rPr>
        <w:t>objet de</w:t>
      </w:r>
      <w:r w:rsidRPr="0046567B">
        <w:rPr>
          <w:rFonts w:hint="eastAsia"/>
          <w:lang w:val="fr-FR" w:bidi="fr-FR"/>
        </w:rPr>
        <w:t xml:space="preserve"> l</w:t>
      </w:r>
      <w:r w:rsidR="00FB11B3" w:rsidRPr="0046567B">
        <w:rPr>
          <w:lang w:val="fr-FR" w:bidi="fr-FR"/>
        </w:rPr>
        <w:t>’</w:t>
      </w:r>
      <w:r w:rsidRPr="0046567B">
        <w:rPr>
          <w:rFonts w:hint="eastAsia"/>
          <w:lang w:val="fr-FR" w:bidi="fr-FR"/>
        </w:rPr>
        <w:t>annexe 12B du présent rapport.</w:t>
      </w:r>
    </w:p>
    <w:p w14:paraId="61AF3037" w14:textId="4048D524" w:rsidR="00FC36AA" w:rsidRPr="0046567B" w:rsidRDefault="00FC36AA" w:rsidP="009E2F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13 </w:t>
      </w:r>
      <w:r w:rsidR="00FB222C" w:rsidRPr="0046567B">
        <w:rPr>
          <w:lang w:val="fr-FR" w:bidi="fr-FR"/>
        </w:rPr>
        <w:t>–</w:t>
      </w:r>
      <w:r w:rsidRPr="0046567B">
        <w:rPr>
          <w:lang w:val="fr-FR" w:bidi="fr-FR"/>
        </w:rPr>
        <w:t xml:space="preserve"> Place des femmes dans la vie économique, sociale et culturelle</w:t>
      </w:r>
    </w:p>
    <w:p w14:paraId="47AEC0E3" w14:textId="162AA7D3" w:rsidR="009E2F8B" w:rsidRPr="0046567B" w:rsidRDefault="009E2F8B" w:rsidP="009E2F8B">
      <w:pPr>
        <w:pStyle w:val="SingleTxt"/>
        <w:spacing w:after="0" w:line="120" w:lineRule="exact"/>
        <w:rPr>
          <w:sz w:val="10"/>
          <w:lang w:val="fr-FR" w:bidi="fr-FR"/>
        </w:rPr>
      </w:pPr>
    </w:p>
    <w:p w14:paraId="7D74F794" w14:textId="695BC63D" w:rsidR="009E2F8B" w:rsidRPr="0046567B" w:rsidRDefault="009E2F8B" w:rsidP="009E2F8B">
      <w:pPr>
        <w:pStyle w:val="SingleTxt"/>
        <w:spacing w:after="0" w:line="120" w:lineRule="exact"/>
        <w:rPr>
          <w:sz w:val="10"/>
          <w:lang w:val="fr-FR" w:bidi="fr-FR"/>
        </w:rPr>
      </w:pPr>
    </w:p>
    <w:p w14:paraId="18D9A126" w14:textId="008DED19"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Sécurité sociale</w:t>
      </w:r>
    </w:p>
    <w:p w14:paraId="5FCD87A9" w14:textId="6ADA4558" w:rsidR="009E2F8B" w:rsidRPr="0046567B" w:rsidRDefault="009E2F8B" w:rsidP="009E2F8B">
      <w:pPr>
        <w:pStyle w:val="SingleTxt"/>
        <w:spacing w:after="0" w:line="120" w:lineRule="exact"/>
        <w:rPr>
          <w:sz w:val="10"/>
          <w:lang w:val="fr-FR" w:bidi="fr-FR"/>
        </w:rPr>
      </w:pPr>
    </w:p>
    <w:p w14:paraId="52A33C4D" w14:textId="5B4D2F36" w:rsidR="009E2F8B" w:rsidRPr="0046567B" w:rsidRDefault="009E2F8B" w:rsidP="009E2F8B">
      <w:pPr>
        <w:pStyle w:val="SingleTxt"/>
        <w:spacing w:after="0" w:line="120" w:lineRule="exact"/>
        <w:rPr>
          <w:sz w:val="10"/>
          <w:lang w:val="fr-FR" w:bidi="fr-FR"/>
        </w:rPr>
      </w:pPr>
    </w:p>
    <w:p w14:paraId="7007E93F" w14:textId="4292733C"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Le Système général de sécurité sociale et le Plan d</w:t>
      </w:r>
      <w:r w:rsidR="00FB11B3" w:rsidRPr="0046567B">
        <w:rPr>
          <w:lang w:val="fr-FR" w:bidi="fr-FR"/>
        </w:rPr>
        <w:t>’</w:t>
      </w:r>
      <w:r w:rsidRPr="0046567B">
        <w:rPr>
          <w:lang w:val="fr-FR" w:bidi="fr-FR"/>
        </w:rPr>
        <w:t>assistance au titre de la sécurité sociale constituent le socle majeur du système de sécurité sociale de la Région administrative spéciale de Hong Kong. En</w:t>
      </w:r>
      <w:r w:rsidR="002A20B0" w:rsidRPr="0046567B">
        <w:rPr>
          <w:lang w:val="fr-FR" w:bidi="fr-FR"/>
        </w:rPr>
        <w:t xml:space="preserve"> </w:t>
      </w:r>
      <w:r w:rsidRPr="0046567B">
        <w:rPr>
          <w:lang w:val="fr-FR" w:bidi="fr-FR"/>
        </w:rPr>
        <w:t>2017-2018, le total des dépenses courantes du Gouvernement en matière de sécurité sociale s</w:t>
      </w:r>
      <w:r w:rsidR="00FB11B3" w:rsidRPr="0046567B">
        <w:rPr>
          <w:lang w:val="fr-FR" w:bidi="fr-FR"/>
        </w:rPr>
        <w:t>’</w:t>
      </w:r>
      <w:r w:rsidRPr="0046567B">
        <w:rPr>
          <w:lang w:val="fr-FR" w:bidi="fr-FR"/>
        </w:rPr>
        <w:t>élevait à 42,9</w:t>
      </w:r>
      <w:r w:rsidR="002A20B0" w:rsidRPr="0046567B">
        <w:rPr>
          <w:lang w:val="fr-FR" w:bidi="fr-FR"/>
        </w:rPr>
        <w:t xml:space="preserve"> </w:t>
      </w:r>
      <w:r w:rsidRPr="0046567B">
        <w:rPr>
          <w:lang w:val="fr-FR" w:bidi="fr-FR"/>
        </w:rPr>
        <w:t>milliards de dollars hongkongais, soit 11,8</w:t>
      </w:r>
      <w:r w:rsidR="00FB11B3" w:rsidRPr="0046567B">
        <w:rPr>
          <w:lang w:val="fr-FR" w:bidi="fr-FR"/>
        </w:rPr>
        <w:t> %</w:t>
      </w:r>
      <w:r w:rsidRPr="0046567B">
        <w:rPr>
          <w:lang w:val="fr-FR" w:bidi="fr-FR"/>
        </w:rPr>
        <w:t xml:space="preserve"> du total des dépenses courantes du Gouvernement pour l</w:t>
      </w:r>
      <w:r w:rsidR="00FB11B3" w:rsidRPr="0046567B">
        <w:rPr>
          <w:lang w:val="fr-FR" w:bidi="fr-FR"/>
        </w:rPr>
        <w:t>’</w:t>
      </w:r>
      <w:r w:rsidRPr="0046567B">
        <w:rPr>
          <w:lang w:val="fr-FR" w:bidi="fr-FR"/>
        </w:rPr>
        <w:t>année, ce qui représente une augmentation substantielle par rapport à</w:t>
      </w:r>
      <w:r w:rsidR="002A20B0" w:rsidRPr="0046567B">
        <w:rPr>
          <w:lang w:val="fr-FR" w:bidi="fr-FR"/>
        </w:rPr>
        <w:t xml:space="preserve"> </w:t>
      </w:r>
      <w:r w:rsidRPr="0046567B">
        <w:rPr>
          <w:lang w:val="fr-FR" w:bidi="fr-FR"/>
        </w:rPr>
        <w:t>2009-2010 (avec un total de dépenses courantes de 27,9</w:t>
      </w:r>
      <w:r w:rsidR="002A20B0" w:rsidRPr="0046567B">
        <w:rPr>
          <w:lang w:val="fr-FR" w:bidi="fr-FR"/>
        </w:rPr>
        <w:t xml:space="preserve"> </w:t>
      </w:r>
      <w:r w:rsidRPr="0046567B">
        <w:rPr>
          <w:lang w:val="fr-FR" w:bidi="fr-FR"/>
        </w:rPr>
        <w:t>milliards de dollars hongkongais). Alors que le régime de sécurité sociale est accordé aux personnes sans distinction de genre, 54</w:t>
      </w:r>
      <w:r w:rsidR="00FB11B3" w:rsidRPr="0046567B">
        <w:rPr>
          <w:lang w:val="fr-FR" w:bidi="fr-FR"/>
        </w:rPr>
        <w:t> %</w:t>
      </w:r>
      <w:r w:rsidRPr="0046567B">
        <w:rPr>
          <w:lang w:val="fr-FR" w:bidi="fr-FR"/>
        </w:rPr>
        <w:t xml:space="preserve"> des personnes qui en bénéficiaient fin</w:t>
      </w:r>
      <w:r w:rsidR="002A20B0" w:rsidRPr="0046567B">
        <w:rPr>
          <w:lang w:val="fr-FR" w:bidi="fr-FR"/>
        </w:rPr>
        <w:t xml:space="preserve"> </w:t>
      </w:r>
      <w:r w:rsidRPr="0046567B">
        <w:rPr>
          <w:lang w:val="fr-FR" w:bidi="fr-FR"/>
        </w:rPr>
        <w:t>2018 étaient des femmes.</w:t>
      </w:r>
    </w:p>
    <w:p w14:paraId="7A8C09CC" w14:textId="4E2D1AC9" w:rsidR="00FC36AA" w:rsidRPr="0046567B" w:rsidRDefault="00FC36AA" w:rsidP="009E2F8B">
      <w:pPr>
        <w:pStyle w:val="SingleTxt"/>
        <w:numPr>
          <w:ilvl w:val="0"/>
          <w:numId w:val="32"/>
        </w:numPr>
        <w:spacing w:line="240" w:lineRule="exact"/>
        <w:ind w:left="1267" w:firstLine="0"/>
        <w:rPr>
          <w:lang w:val="fr-FR"/>
        </w:rPr>
      </w:pPr>
      <w:r w:rsidRPr="0046567B">
        <w:rPr>
          <w:lang w:val="fr-FR" w:bidi="fr-FR"/>
        </w:rPr>
        <w:t>Il convient de noter que l</w:t>
      </w:r>
      <w:r w:rsidR="00FB11B3" w:rsidRPr="0046567B">
        <w:rPr>
          <w:lang w:val="fr-FR" w:bidi="fr-FR"/>
        </w:rPr>
        <w:t>’</w:t>
      </w:r>
      <w:r w:rsidRPr="0046567B">
        <w:rPr>
          <w:lang w:val="fr-FR" w:bidi="fr-FR"/>
        </w:rPr>
        <w:t>Allocation de subsistance pour les personnes âgées et le Plan d</w:t>
      </w:r>
      <w:r w:rsidR="00FB11B3" w:rsidRPr="0046567B">
        <w:rPr>
          <w:lang w:val="fr-FR" w:bidi="fr-FR"/>
        </w:rPr>
        <w:t>’</w:t>
      </w:r>
      <w:r w:rsidRPr="0046567B">
        <w:rPr>
          <w:lang w:val="fr-FR" w:bidi="fr-FR"/>
        </w:rPr>
        <w:t>assistance au titre de la sécurité sociale ont été étendus, depuis le précédent rapport, aux résidents de la province de Guangdong et aux résidents de la province de Fujian. L</w:t>
      </w:r>
      <w:r w:rsidR="00FB11B3" w:rsidRPr="0046567B">
        <w:rPr>
          <w:lang w:val="fr-FR" w:bidi="fr-FR"/>
        </w:rPr>
        <w:t>’</w:t>
      </w:r>
      <w:r w:rsidRPr="0046567B">
        <w:rPr>
          <w:lang w:val="fr-FR" w:bidi="fr-FR"/>
        </w:rPr>
        <w:t>Allocation de subsistance pour les personnes âgées, qui est actuellement d</w:t>
      </w:r>
      <w:r w:rsidR="00FB11B3" w:rsidRPr="0046567B">
        <w:rPr>
          <w:lang w:val="fr-FR" w:bidi="fr-FR"/>
        </w:rPr>
        <w:t>’</w:t>
      </w:r>
      <w:r w:rsidRPr="0046567B">
        <w:rPr>
          <w:lang w:val="fr-FR" w:bidi="fr-FR"/>
        </w:rPr>
        <w:t>un montant de 2</w:t>
      </w:r>
      <w:r w:rsidR="002A20B0" w:rsidRPr="0046567B">
        <w:rPr>
          <w:lang w:val="fr-FR" w:bidi="fr-FR"/>
        </w:rPr>
        <w:t xml:space="preserve"> </w:t>
      </w:r>
      <w:r w:rsidRPr="0046567B">
        <w:rPr>
          <w:lang w:val="fr-FR" w:bidi="fr-FR"/>
        </w:rPr>
        <w:t>600</w:t>
      </w:r>
      <w:r w:rsidR="002A20B0" w:rsidRPr="0046567B">
        <w:rPr>
          <w:lang w:val="fr-FR" w:bidi="fr-FR"/>
        </w:rPr>
        <w:t xml:space="preserve"> </w:t>
      </w:r>
      <w:r w:rsidRPr="0046567B">
        <w:rPr>
          <w:lang w:val="fr-FR" w:bidi="fr-FR"/>
        </w:rPr>
        <w:t>dollars hongkongais, a été lancée en avril</w:t>
      </w:r>
      <w:r w:rsidR="002A20B0" w:rsidRPr="0046567B">
        <w:rPr>
          <w:lang w:val="fr-FR" w:bidi="fr-FR"/>
        </w:rPr>
        <w:t xml:space="preserve"> </w:t>
      </w:r>
      <w:r w:rsidRPr="0046567B">
        <w:rPr>
          <w:lang w:val="fr-FR" w:bidi="fr-FR"/>
        </w:rPr>
        <w:t>2013 pour apporter aux personnes âgées de 65</w:t>
      </w:r>
      <w:r w:rsidR="002A20B0" w:rsidRPr="0046567B">
        <w:rPr>
          <w:lang w:val="fr-FR" w:bidi="fr-FR"/>
        </w:rPr>
        <w:t xml:space="preserve"> </w:t>
      </w:r>
      <w:r w:rsidRPr="0046567B">
        <w:rPr>
          <w:lang w:val="fr-FR" w:bidi="fr-FR"/>
        </w:rPr>
        <w:t>ans et plus un complément d</w:t>
      </w:r>
      <w:r w:rsidR="00FB11B3" w:rsidRPr="0046567B">
        <w:rPr>
          <w:lang w:val="fr-FR" w:bidi="fr-FR"/>
        </w:rPr>
        <w:t>’</w:t>
      </w:r>
      <w:r w:rsidRPr="0046567B">
        <w:rPr>
          <w:lang w:val="fr-FR" w:bidi="fr-FR"/>
        </w:rPr>
        <w:t>aide destiné à couvrir leurs besoins. Cette allocation a été réévaluée depuis juin</w:t>
      </w:r>
      <w:r w:rsidR="002A20B0" w:rsidRPr="0046567B">
        <w:rPr>
          <w:lang w:val="fr-FR" w:bidi="fr-FR"/>
        </w:rPr>
        <w:t xml:space="preserve"> </w:t>
      </w:r>
      <w:r w:rsidRPr="0046567B">
        <w:rPr>
          <w:lang w:val="fr-FR" w:bidi="fr-FR"/>
        </w:rPr>
        <w:t>2018 et a été portée à 3</w:t>
      </w:r>
      <w:r w:rsidR="00FB222C" w:rsidRPr="0046567B">
        <w:rPr>
          <w:lang w:val="fr-FR" w:bidi="fr-FR"/>
        </w:rPr>
        <w:t> </w:t>
      </w:r>
      <w:r w:rsidRPr="0046567B">
        <w:rPr>
          <w:lang w:val="fr-FR" w:bidi="fr-FR"/>
        </w:rPr>
        <w:t>485</w:t>
      </w:r>
      <w:r w:rsidR="002A20B0" w:rsidRPr="0046567B">
        <w:rPr>
          <w:lang w:val="fr-FR" w:bidi="fr-FR"/>
        </w:rPr>
        <w:t xml:space="preserve"> </w:t>
      </w:r>
      <w:r w:rsidRPr="0046567B">
        <w:rPr>
          <w:lang w:val="fr-FR" w:bidi="fr-FR"/>
        </w:rPr>
        <w:t>dollars hongkongais par mois en faveur des personnes âgées qui doivent faire face à des besoins plus importants. Indépendamment de cela, le Régime dit de Guangdong et le Régime dit de Fujian ont été lancés respectivement en octobre</w:t>
      </w:r>
      <w:r w:rsidR="002A20B0" w:rsidRPr="0046567B">
        <w:rPr>
          <w:lang w:val="fr-FR" w:bidi="fr-FR"/>
        </w:rPr>
        <w:t xml:space="preserve"> </w:t>
      </w:r>
      <w:r w:rsidRPr="0046567B">
        <w:rPr>
          <w:lang w:val="fr-FR" w:bidi="fr-FR"/>
        </w:rPr>
        <w:t>2013 et avril</w:t>
      </w:r>
      <w:r w:rsidR="002A20B0" w:rsidRPr="0046567B">
        <w:rPr>
          <w:lang w:val="fr-FR" w:bidi="fr-FR"/>
        </w:rPr>
        <w:t xml:space="preserve"> </w:t>
      </w:r>
      <w:r w:rsidRPr="0046567B">
        <w:rPr>
          <w:lang w:val="fr-FR" w:bidi="fr-FR"/>
        </w:rPr>
        <w:t>2018 pour permettre aux personnes âgées qui choisissent de résider dans ces provinces de percevoir cette allocation, en plus de l</w:t>
      </w:r>
      <w:r w:rsidR="00FB11B3" w:rsidRPr="0046567B">
        <w:rPr>
          <w:lang w:val="fr-FR" w:bidi="fr-FR"/>
        </w:rPr>
        <w:t>’</w:t>
      </w:r>
      <w:r w:rsidRPr="0046567B">
        <w:rPr>
          <w:lang w:val="fr-FR" w:bidi="fr-FR"/>
        </w:rPr>
        <w:t>allocation au titre du Plan d</w:t>
      </w:r>
      <w:r w:rsidR="00FB11B3" w:rsidRPr="0046567B">
        <w:rPr>
          <w:lang w:val="fr-FR" w:bidi="fr-FR"/>
        </w:rPr>
        <w:t>’</w:t>
      </w:r>
      <w:r w:rsidRPr="0046567B">
        <w:rPr>
          <w:lang w:val="fr-FR" w:bidi="fr-FR"/>
        </w:rPr>
        <w:t>assistance au titre de la sécurité sociale, qui est actuellement de 1</w:t>
      </w:r>
      <w:r w:rsidR="002A20B0" w:rsidRPr="0046567B">
        <w:rPr>
          <w:lang w:val="fr-FR" w:bidi="fr-FR"/>
        </w:rPr>
        <w:t xml:space="preserve"> </w:t>
      </w:r>
      <w:r w:rsidRPr="0046567B">
        <w:rPr>
          <w:lang w:val="fr-FR" w:bidi="fr-FR"/>
        </w:rPr>
        <w:t>345</w:t>
      </w:r>
      <w:r w:rsidR="002A20B0" w:rsidRPr="0046567B">
        <w:rPr>
          <w:lang w:val="fr-FR" w:bidi="fr-FR"/>
        </w:rPr>
        <w:t xml:space="preserve"> </w:t>
      </w:r>
      <w:r w:rsidRPr="0046567B">
        <w:rPr>
          <w:lang w:val="fr-FR" w:bidi="fr-FR"/>
        </w:rPr>
        <w:t>dollars hongkongais par mois.</w:t>
      </w:r>
    </w:p>
    <w:p w14:paraId="1F1BE165" w14:textId="0BA29232" w:rsidR="009E2F8B" w:rsidRPr="0046567B" w:rsidRDefault="009E2F8B" w:rsidP="009E2F8B">
      <w:pPr>
        <w:pStyle w:val="SingleTxt"/>
        <w:spacing w:after="0" w:line="120" w:lineRule="exact"/>
        <w:rPr>
          <w:sz w:val="10"/>
          <w:lang w:val="fr-FR" w:bidi="fr-FR"/>
        </w:rPr>
      </w:pPr>
    </w:p>
    <w:p w14:paraId="76CF4BF9" w14:textId="09A27810" w:rsidR="009E2F8B" w:rsidRPr="0046567B" w:rsidRDefault="009E2F8B" w:rsidP="009E2F8B">
      <w:pPr>
        <w:pStyle w:val="SingleTxt"/>
        <w:spacing w:after="0" w:line="120" w:lineRule="exact"/>
        <w:rPr>
          <w:sz w:val="10"/>
          <w:lang w:val="fr-FR"/>
        </w:rPr>
      </w:pPr>
    </w:p>
    <w:p w14:paraId="6960D74F" w14:textId="5F8F956F"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nouvellement arrivées sur le territoire</w:t>
      </w:r>
      <w:r w:rsidRPr="0046567B">
        <w:rPr>
          <w:rFonts w:hint="eastAsia"/>
          <w:lang w:val="fr-FR" w:bidi="fr-FR"/>
        </w:rPr>
        <w:t xml:space="preserve"> et les parents </w:t>
      </w:r>
      <w:r w:rsidRPr="0046567B">
        <w:rPr>
          <w:lang w:val="fr-FR" w:bidi="fr-FR"/>
        </w:rPr>
        <w:t>seuls</w:t>
      </w:r>
    </w:p>
    <w:p w14:paraId="2264BCEF" w14:textId="0DB0EF19" w:rsidR="009E2F8B" w:rsidRPr="0046567B" w:rsidRDefault="009E2F8B" w:rsidP="009E2F8B">
      <w:pPr>
        <w:pStyle w:val="SingleTxt"/>
        <w:spacing w:after="0" w:line="120" w:lineRule="exact"/>
        <w:rPr>
          <w:sz w:val="10"/>
          <w:lang w:val="fr-FR" w:bidi="fr-FR"/>
        </w:rPr>
      </w:pPr>
    </w:p>
    <w:p w14:paraId="57D1567E" w14:textId="14EFF365" w:rsidR="009E2F8B" w:rsidRPr="0046567B" w:rsidRDefault="009E2F8B" w:rsidP="009E2F8B">
      <w:pPr>
        <w:pStyle w:val="SingleTxt"/>
        <w:spacing w:after="0" w:line="120" w:lineRule="exact"/>
        <w:rPr>
          <w:sz w:val="10"/>
          <w:lang w:val="fr-FR" w:bidi="fr-FR"/>
        </w:rPr>
      </w:pPr>
    </w:p>
    <w:p w14:paraId="4330E9CF" w14:textId="11462215"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 xml:space="preserve">Les personnes fraîchement arrivées </w:t>
      </w:r>
      <w:r w:rsidRPr="0046567B">
        <w:rPr>
          <w:rFonts w:hint="eastAsia"/>
          <w:lang w:val="fr-FR" w:bidi="fr-FR"/>
        </w:rPr>
        <w:t xml:space="preserve">et les parents </w:t>
      </w:r>
      <w:r w:rsidRPr="0046567B">
        <w:rPr>
          <w:lang w:val="fr-FR" w:bidi="fr-FR"/>
        </w:rPr>
        <w:t>seuls</w:t>
      </w:r>
      <w:r w:rsidRPr="0046567B">
        <w:rPr>
          <w:rFonts w:hint="eastAsia"/>
          <w:lang w:val="fr-FR" w:bidi="fr-FR"/>
        </w:rPr>
        <w:t xml:space="preserve"> </w:t>
      </w:r>
      <w:r w:rsidRPr="0046567B">
        <w:rPr>
          <w:lang w:val="fr-FR" w:bidi="fr-FR"/>
        </w:rPr>
        <w:t>peuvent bénéficier d</w:t>
      </w:r>
      <w:r w:rsidR="00FB11B3" w:rsidRPr="0046567B">
        <w:rPr>
          <w:lang w:val="fr-FR" w:bidi="fr-FR"/>
        </w:rPr>
        <w:t>’</w:t>
      </w:r>
      <w:r w:rsidRPr="0046567B">
        <w:rPr>
          <w:lang w:val="fr-FR" w:bidi="fr-FR"/>
        </w:rPr>
        <w:t>un ensemble global de services</w:t>
      </w:r>
      <w:r w:rsidRPr="0046567B">
        <w:rPr>
          <w:rFonts w:hint="eastAsia"/>
          <w:lang w:val="fr-FR" w:bidi="fr-FR"/>
        </w:rPr>
        <w:t xml:space="preserve"> en matière d</w:t>
      </w:r>
      <w:r w:rsidR="00FB11B3" w:rsidRPr="0046567B">
        <w:rPr>
          <w:lang w:val="fr-FR" w:bidi="fr-FR"/>
        </w:rPr>
        <w:t>’</w:t>
      </w:r>
      <w:r w:rsidRPr="0046567B">
        <w:rPr>
          <w:rFonts w:hint="eastAsia"/>
          <w:lang w:val="fr-FR" w:bidi="fr-FR"/>
        </w:rPr>
        <w:t>aide à la famille, de formation, d</w:t>
      </w:r>
      <w:r w:rsidR="00FB11B3" w:rsidRPr="0046567B">
        <w:rPr>
          <w:lang w:val="fr-FR" w:bidi="fr-FR"/>
        </w:rPr>
        <w:t>’</w:t>
      </w:r>
      <w:r w:rsidRPr="0046567B">
        <w:rPr>
          <w:rFonts w:hint="eastAsia"/>
          <w:lang w:val="fr-FR" w:bidi="fr-FR"/>
        </w:rPr>
        <w:t xml:space="preserve">emploi et de logement mis à leur disposition </w:t>
      </w:r>
      <w:r w:rsidRPr="0046567B">
        <w:rPr>
          <w:lang w:val="fr-FR" w:bidi="fr-FR"/>
        </w:rPr>
        <w:t xml:space="preserve">par </w:t>
      </w:r>
      <w:r w:rsidRPr="0046567B">
        <w:rPr>
          <w:rFonts w:hint="eastAsia"/>
          <w:lang w:val="fr-FR" w:bidi="fr-FR"/>
        </w:rPr>
        <w:t>le Département de la protection sociale, le Département de l</w:t>
      </w:r>
      <w:r w:rsidR="00FB11B3" w:rsidRPr="0046567B">
        <w:rPr>
          <w:lang w:val="fr-FR" w:bidi="fr-FR"/>
        </w:rPr>
        <w:t>’</w:t>
      </w:r>
      <w:r w:rsidRPr="0046567B">
        <w:rPr>
          <w:rFonts w:hint="eastAsia"/>
          <w:lang w:val="fr-FR" w:bidi="fr-FR"/>
        </w:rPr>
        <w:t>habitat et le Bureau de reconversion des employés</w:t>
      </w:r>
      <w:r w:rsidRPr="0046567B">
        <w:rPr>
          <w:lang w:val="fr-FR" w:bidi="fr-FR"/>
        </w:rPr>
        <w:t>.</w:t>
      </w:r>
      <w:r w:rsidRPr="0046567B">
        <w:rPr>
          <w:rFonts w:hint="eastAsia"/>
          <w:lang w:val="fr-FR" w:bidi="fr-FR"/>
        </w:rPr>
        <w:t xml:space="preserve"> </w:t>
      </w:r>
      <w:r w:rsidRPr="0046567B">
        <w:rPr>
          <w:lang w:val="fr-FR" w:bidi="fr-FR"/>
        </w:rPr>
        <w:t>C</w:t>
      </w:r>
      <w:r w:rsidRPr="0046567B">
        <w:rPr>
          <w:rFonts w:hint="eastAsia"/>
          <w:lang w:val="fr-FR" w:bidi="fr-FR"/>
        </w:rPr>
        <w:t>es services figure</w:t>
      </w:r>
      <w:r w:rsidRPr="0046567B">
        <w:rPr>
          <w:lang w:val="fr-FR" w:bidi="fr-FR"/>
        </w:rPr>
        <w:t>nt</w:t>
      </w:r>
      <w:r w:rsidRPr="0046567B">
        <w:rPr>
          <w:rFonts w:hint="eastAsia"/>
          <w:lang w:val="fr-FR" w:bidi="fr-FR"/>
        </w:rPr>
        <w:t xml:space="preserve"> à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13A du présent rapport.</w:t>
      </w:r>
    </w:p>
    <w:p w14:paraId="70227CC9" w14:textId="761A103F" w:rsidR="009E2F8B" w:rsidRPr="0046567B" w:rsidRDefault="009E2F8B" w:rsidP="009E2F8B">
      <w:pPr>
        <w:pStyle w:val="SingleTxt"/>
        <w:spacing w:after="0" w:line="120" w:lineRule="exact"/>
        <w:rPr>
          <w:sz w:val="10"/>
          <w:lang w:val="fr-FR" w:bidi="fr-FR"/>
        </w:rPr>
      </w:pPr>
    </w:p>
    <w:p w14:paraId="60EE2A02" w14:textId="2BCE88F0" w:rsidR="009E2F8B" w:rsidRPr="0046567B" w:rsidRDefault="009E2F8B" w:rsidP="009E2F8B">
      <w:pPr>
        <w:pStyle w:val="SingleTxt"/>
        <w:spacing w:after="0" w:line="120" w:lineRule="exact"/>
        <w:rPr>
          <w:sz w:val="10"/>
          <w:lang w:val="fr-FR"/>
        </w:rPr>
      </w:pPr>
    </w:p>
    <w:p w14:paraId="46868A8F" w14:textId="11F5737C"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Amélioration des services de conseil et autres services aux familles pour les femmes en situation de séparation ou de divorce</w:t>
      </w:r>
    </w:p>
    <w:p w14:paraId="105C26E7" w14:textId="3A4D3101" w:rsidR="009E2F8B" w:rsidRPr="0046567B" w:rsidRDefault="009E2F8B" w:rsidP="009E2F8B">
      <w:pPr>
        <w:pStyle w:val="SingleTxt"/>
        <w:spacing w:after="0" w:line="120" w:lineRule="exact"/>
        <w:rPr>
          <w:sz w:val="10"/>
          <w:lang w:val="fr-FR" w:bidi="fr-FR"/>
        </w:rPr>
      </w:pPr>
    </w:p>
    <w:p w14:paraId="3E5DB8F9" w14:textId="2C8DF87B" w:rsidR="009E2F8B" w:rsidRPr="0046567B" w:rsidRDefault="009E2F8B" w:rsidP="009E2F8B">
      <w:pPr>
        <w:pStyle w:val="SingleTxt"/>
        <w:spacing w:after="0" w:line="120" w:lineRule="exact"/>
        <w:rPr>
          <w:sz w:val="10"/>
          <w:lang w:val="fr-FR" w:bidi="fr-FR"/>
        </w:rPr>
      </w:pPr>
    </w:p>
    <w:p w14:paraId="327E5A0E" w14:textId="1CA3F01C"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Pour renforcer le soutien aux familles en situation de séparation ou de divorce, notamment les femmes, le Gouvernement a débloqué des ressources supplémentaires d</w:t>
      </w:r>
      <w:r w:rsidR="00FB11B3" w:rsidRPr="0046567B">
        <w:rPr>
          <w:lang w:val="fr-FR" w:bidi="fr-FR"/>
        </w:rPr>
        <w:t>’</w:t>
      </w:r>
      <w:r w:rsidRPr="0046567B">
        <w:rPr>
          <w:lang w:val="fr-FR" w:bidi="fr-FR"/>
        </w:rPr>
        <w:t>environ 56</w:t>
      </w:r>
      <w:r w:rsidR="002A20B0" w:rsidRPr="0046567B">
        <w:rPr>
          <w:lang w:val="fr-FR" w:bidi="fr-FR"/>
        </w:rPr>
        <w:t xml:space="preserve"> </w:t>
      </w:r>
      <w:r w:rsidRPr="0046567B">
        <w:rPr>
          <w:lang w:val="fr-FR" w:bidi="fr-FR"/>
        </w:rPr>
        <w:t>millions de dollars pour</w:t>
      </w:r>
      <w:r w:rsidR="002A20B0" w:rsidRPr="0046567B">
        <w:rPr>
          <w:lang w:val="fr-FR" w:bidi="fr-FR"/>
        </w:rPr>
        <w:t xml:space="preserve"> </w:t>
      </w:r>
      <w:r w:rsidRPr="0046567B">
        <w:rPr>
          <w:lang w:val="fr-FR" w:bidi="fr-FR"/>
        </w:rPr>
        <w:t>2018-2019. Il est prévu de mettre en place, par étapes, cinq centres spécialisés dans la coparentalité, pour fournir en particulier un service de visites pour les enfants de parents divorcés. Ces centres devraient également proposer des conseils en matière de coparentalité, des services de coordination parentale, des groupes ou programmes structurés à destination des parents, ainsi que des programmes, groupes et conseils axés sur les enfants. Pour être en mesure d</w:t>
      </w:r>
      <w:r w:rsidR="00FB11B3" w:rsidRPr="0046567B">
        <w:rPr>
          <w:lang w:val="fr-FR" w:bidi="fr-FR"/>
        </w:rPr>
        <w:t>’</w:t>
      </w:r>
      <w:r w:rsidRPr="0046567B">
        <w:rPr>
          <w:lang w:val="fr-FR" w:bidi="fr-FR"/>
        </w:rPr>
        <w:t>intervenir en amont et d</w:t>
      </w:r>
      <w:r w:rsidR="00FB11B3" w:rsidRPr="0046567B">
        <w:rPr>
          <w:lang w:val="fr-FR" w:bidi="fr-FR"/>
        </w:rPr>
        <w:t>’</w:t>
      </w:r>
      <w:r w:rsidRPr="0046567B">
        <w:rPr>
          <w:lang w:val="fr-FR" w:bidi="fr-FR"/>
        </w:rPr>
        <w:t>identifier les familles en situation de séparation ou de divorce, des ressources en personnel supplémentaire ont été allouées aux Centres de services familiaux gérés par le Département de la protection sociale et par les 11 unités de services de protection de la famille et de l</w:t>
      </w:r>
      <w:r w:rsidR="00FB11B3" w:rsidRPr="0046567B">
        <w:rPr>
          <w:lang w:val="fr-FR" w:bidi="fr-FR"/>
        </w:rPr>
        <w:t>’</w:t>
      </w:r>
      <w:r w:rsidRPr="0046567B">
        <w:rPr>
          <w:lang w:val="fr-FR" w:bidi="fr-FR"/>
        </w:rPr>
        <w:t>enfance.</w:t>
      </w:r>
    </w:p>
    <w:p w14:paraId="34519737" w14:textId="7B96A62B"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handicapées</w:t>
      </w:r>
    </w:p>
    <w:p w14:paraId="5D71AAB1" w14:textId="6CAE37DE" w:rsidR="009E2F8B" w:rsidRPr="0046567B" w:rsidRDefault="009E2F8B" w:rsidP="009E2F8B">
      <w:pPr>
        <w:pStyle w:val="SingleTxt"/>
        <w:spacing w:after="0" w:line="120" w:lineRule="exact"/>
        <w:rPr>
          <w:sz w:val="10"/>
          <w:lang w:val="fr-FR" w:bidi="fr-FR"/>
        </w:rPr>
      </w:pPr>
    </w:p>
    <w:p w14:paraId="72A22B3E" w14:textId="5261E36E" w:rsidR="009E2F8B" w:rsidRPr="0046567B" w:rsidRDefault="009E2F8B" w:rsidP="009E2F8B">
      <w:pPr>
        <w:pStyle w:val="SingleTxt"/>
        <w:spacing w:after="0" w:line="120" w:lineRule="exact"/>
        <w:rPr>
          <w:sz w:val="10"/>
          <w:lang w:val="fr-FR" w:bidi="fr-FR"/>
        </w:rPr>
      </w:pPr>
    </w:p>
    <w:p w14:paraId="3922E170" w14:textId="4E75478A"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 Gouvernement a pris des mesures législatives et administratives appropriées pour protéger les femmes, y compris les femmes handicapées, contre toute discrimination quel qu</w:t>
      </w:r>
      <w:r w:rsidR="00FB11B3" w:rsidRPr="0046567B">
        <w:rPr>
          <w:lang w:val="fr-FR" w:bidi="fr-FR"/>
        </w:rPr>
        <w:t>’</w:t>
      </w:r>
      <w:r w:rsidRPr="0046567B">
        <w:rPr>
          <w:lang w:val="fr-FR" w:bidi="fr-FR"/>
        </w:rPr>
        <w:t>en soit le motif et assurer leur évolution, leur promotion et leur autonomisation, facilitant ainsi l</w:t>
      </w:r>
      <w:r w:rsidR="00FB11B3" w:rsidRPr="0046567B">
        <w:rPr>
          <w:lang w:val="fr-FR" w:bidi="fr-FR"/>
        </w:rPr>
        <w:t>’</w:t>
      </w:r>
      <w:r w:rsidRPr="0046567B">
        <w:rPr>
          <w:lang w:val="fr-FR" w:bidi="fr-FR"/>
        </w:rPr>
        <w:t xml:space="preserve">exercice des droits reconnus par la </w:t>
      </w:r>
      <w:r w:rsidRPr="0046567B">
        <w:rPr>
          <w:rFonts w:hint="eastAsia"/>
          <w:lang w:val="fr-FR" w:bidi="fr-FR"/>
        </w:rPr>
        <w:t>Convention relative aux droits des personnes handicapées</w:t>
      </w:r>
      <w:r w:rsidRPr="0046567B">
        <w:rPr>
          <w:lang w:val="fr-FR" w:bidi="fr-FR"/>
        </w:rPr>
        <w:t>. Les mesures prises par le Gouvernement à cet égard ont été élaborées en vertu de l</w:t>
      </w:r>
      <w:r w:rsidR="00FB11B3" w:rsidRPr="0046567B">
        <w:rPr>
          <w:lang w:val="fr-FR" w:bidi="fr-FR"/>
        </w:rPr>
        <w:t>’</w:t>
      </w:r>
      <w:r w:rsidRPr="0046567B">
        <w:rPr>
          <w:lang w:val="fr-FR" w:bidi="fr-FR"/>
        </w:rPr>
        <w:t>article 6 du deuxième rapport de la Région administrative spéciale de Hong Kong au titre de la Convention relative aux droits des personnes handicapées.</w:t>
      </w:r>
    </w:p>
    <w:p w14:paraId="0A2F51F8" w14:textId="09C2B416"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 xml:space="preserve">Conformément à la </w:t>
      </w:r>
      <w:r w:rsidRPr="0046567B">
        <w:rPr>
          <w:szCs w:val="20"/>
          <w:lang w:val="fr-FR" w:bidi="fr-FR"/>
        </w:rPr>
        <w:t>politique</w:t>
      </w:r>
      <w:r w:rsidRPr="0046567B">
        <w:rPr>
          <w:lang w:val="fr-FR" w:bidi="fr-FR"/>
        </w:rPr>
        <w:t xml:space="preserve"> générale de</w:t>
      </w:r>
      <w:r w:rsidR="002A20B0" w:rsidRPr="0046567B">
        <w:rPr>
          <w:lang w:val="fr-FR" w:bidi="fr-FR"/>
        </w:rPr>
        <w:t xml:space="preserve"> </w:t>
      </w:r>
      <w:r w:rsidRPr="0046567B">
        <w:rPr>
          <w:lang w:val="fr-FR" w:bidi="fr-FR"/>
        </w:rPr>
        <w:t>2016, pour renforcer l</w:t>
      </w:r>
      <w:r w:rsidR="00FB11B3" w:rsidRPr="0046567B">
        <w:rPr>
          <w:lang w:val="fr-FR" w:bidi="fr-FR"/>
        </w:rPr>
        <w:t>’</w:t>
      </w:r>
      <w:r w:rsidRPr="0046567B">
        <w:rPr>
          <w:lang w:val="fr-FR" w:bidi="fr-FR"/>
        </w:rPr>
        <w:t>aide à l</w:t>
      </w:r>
      <w:r w:rsidR="00FB11B3" w:rsidRPr="0046567B">
        <w:rPr>
          <w:lang w:val="fr-FR" w:bidi="fr-FR"/>
        </w:rPr>
        <w:t>’</w:t>
      </w:r>
      <w:r w:rsidRPr="0046567B">
        <w:rPr>
          <w:lang w:val="fr-FR" w:bidi="fr-FR"/>
        </w:rPr>
        <w:t>emploi fournie aux demandeurs d</w:t>
      </w:r>
      <w:r w:rsidR="00FB11B3" w:rsidRPr="0046567B">
        <w:rPr>
          <w:lang w:val="fr-FR" w:bidi="fr-FR"/>
        </w:rPr>
        <w:t>’</w:t>
      </w:r>
      <w:r w:rsidRPr="0046567B">
        <w:rPr>
          <w:lang w:val="fr-FR" w:bidi="fr-FR"/>
        </w:rPr>
        <w:t>emploi handicapés, le Ministère du travail a mis en place, depuis septembre</w:t>
      </w:r>
      <w:r w:rsidR="002A20B0" w:rsidRPr="0046567B">
        <w:rPr>
          <w:lang w:val="fr-FR" w:bidi="fr-FR"/>
        </w:rPr>
        <w:t xml:space="preserve"> </w:t>
      </w:r>
      <w:r w:rsidRPr="0046567B">
        <w:rPr>
          <w:lang w:val="fr-FR" w:bidi="fr-FR"/>
        </w:rPr>
        <w:t>2016, un programme pilote sur deux ans destiné à fournir à ces travailleurs une assistance psychologique et morale. Ce programme vise à soulager les difficultés émotionnelles auxquelles sont confrontés ces demandeurs d</w:t>
      </w:r>
      <w:r w:rsidR="00FB11B3" w:rsidRPr="0046567B">
        <w:rPr>
          <w:lang w:val="fr-FR" w:bidi="fr-FR"/>
        </w:rPr>
        <w:t>’</w:t>
      </w:r>
      <w:r w:rsidRPr="0046567B">
        <w:rPr>
          <w:lang w:val="fr-FR" w:bidi="fr-FR"/>
        </w:rPr>
        <w:t>emploi en raison de leur état de santé ou de leurs problèmes personnels ou familiaux, mais aussi de leur permettre de se concentrer sur la recherche d</w:t>
      </w:r>
      <w:r w:rsidR="00FB11B3" w:rsidRPr="0046567B">
        <w:rPr>
          <w:lang w:val="fr-FR" w:bidi="fr-FR"/>
        </w:rPr>
        <w:t>’</w:t>
      </w:r>
      <w:r w:rsidRPr="0046567B">
        <w:rPr>
          <w:lang w:val="fr-FR" w:bidi="fr-FR"/>
        </w:rPr>
        <w:t>un emploi et sur l</w:t>
      </w:r>
      <w:r w:rsidR="00FB11B3" w:rsidRPr="0046567B">
        <w:rPr>
          <w:lang w:val="fr-FR" w:bidi="fr-FR"/>
        </w:rPr>
        <w:t>’</w:t>
      </w:r>
      <w:r w:rsidRPr="0046567B">
        <w:rPr>
          <w:lang w:val="fr-FR" w:bidi="fr-FR"/>
        </w:rPr>
        <w:t>adaptation à leur nouveau poste, en mettant ainsi toutes les chances de leur côté.</w:t>
      </w:r>
    </w:p>
    <w:p w14:paraId="5468471F" w14:textId="75D2369F"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 Ministère du travail gère également le Programme d</w:t>
      </w:r>
      <w:r w:rsidR="00FB11B3" w:rsidRPr="0046567B">
        <w:rPr>
          <w:lang w:val="fr-FR" w:bidi="fr-FR"/>
        </w:rPr>
        <w:t>’</w:t>
      </w:r>
      <w:r w:rsidRPr="0046567B">
        <w:rPr>
          <w:lang w:val="fr-FR" w:bidi="fr-FR"/>
        </w:rPr>
        <w:t>orientation professionnelle et de placement pour encourager les employeurs à embaucher des personnes handicapées. Comme annoncé dans le budget</w:t>
      </w:r>
      <w:r w:rsidR="002A20B0" w:rsidRPr="0046567B">
        <w:rPr>
          <w:lang w:val="fr-FR" w:bidi="fr-FR"/>
        </w:rPr>
        <w:t xml:space="preserve"> </w:t>
      </w:r>
      <w:r w:rsidRPr="0046567B">
        <w:rPr>
          <w:lang w:val="fr-FR" w:bidi="fr-FR"/>
        </w:rPr>
        <w:t>2018-2019, le Ministère du travail améliorera en</w:t>
      </w:r>
      <w:r w:rsidR="002A20B0" w:rsidRPr="0046567B">
        <w:rPr>
          <w:lang w:val="fr-FR" w:bidi="fr-FR"/>
        </w:rPr>
        <w:t xml:space="preserve"> </w:t>
      </w:r>
      <w:r w:rsidRPr="0046567B">
        <w:rPr>
          <w:lang w:val="fr-FR" w:bidi="fr-FR"/>
        </w:rPr>
        <w:t>2018 le Programme d</w:t>
      </w:r>
      <w:r w:rsidR="00FB11B3" w:rsidRPr="0046567B">
        <w:rPr>
          <w:lang w:val="fr-FR" w:bidi="fr-FR"/>
        </w:rPr>
        <w:t>’</w:t>
      </w:r>
      <w:r w:rsidRPr="0046567B">
        <w:rPr>
          <w:lang w:val="fr-FR" w:bidi="fr-FR"/>
        </w:rPr>
        <w:t>orientation professionnelle et de placement, en augmentant le montant de la participation allouée aux employeurs qui embauchent des demandeurs d</w:t>
      </w:r>
      <w:r w:rsidR="00FB11B3" w:rsidRPr="0046567B">
        <w:rPr>
          <w:lang w:val="fr-FR" w:bidi="fr-FR"/>
        </w:rPr>
        <w:t>’</w:t>
      </w:r>
      <w:r w:rsidRPr="0046567B">
        <w:rPr>
          <w:lang w:val="fr-FR" w:bidi="fr-FR"/>
        </w:rPr>
        <w:t>emploi handicapés.</w:t>
      </w:r>
    </w:p>
    <w:p w14:paraId="5B355375" w14:textId="27CFA42B" w:rsidR="009E2F8B" w:rsidRPr="0046567B" w:rsidRDefault="009E2F8B" w:rsidP="009E2F8B">
      <w:pPr>
        <w:pStyle w:val="SingleTxt"/>
        <w:spacing w:after="0" w:line="120" w:lineRule="exact"/>
        <w:rPr>
          <w:sz w:val="10"/>
          <w:lang w:val="fr-FR" w:bidi="fr-FR"/>
        </w:rPr>
      </w:pPr>
    </w:p>
    <w:p w14:paraId="63D9D857" w14:textId="374D6FD3" w:rsidR="009E2F8B" w:rsidRPr="0046567B" w:rsidRDefault="009E2F8B" w:rsidP="009E2F8B">
      <w:pPr>
        <w:pStyle w:val="SingleTxt"/>
        <w:spacing w:after="0" w:line="120" w:lineRule="exact"/>
        <w:rPr>
          <w:sz w:val="10"/>
          <w:lang w:val="fr-FR"/>
        </w:rPr>
      </w:pPr>
    </w:p>
    <w:p w14:paraId="3F7D5AA9" w14:textId="486BA922"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issues de minorités ethniques</w:t>
      </w:r>
    </w:p>
    <w:p w14:paraId="65446C18" w14:textId="0CF3C065" w:rsidR="009E2F8B" w:rsidRPr="0046567B" w:rsidRDefault="009E2F8B" w:rsidP="009E2F8B">
      <w:pPr>
        <w:pStyle w:val="SingleTxt"/>
        <w:spacing w:after="0" w:line="120" w:lineRule="exact"/>
        <w:rPr>
          <w:sz w:val="10"/>
          <w:lang w:val="fr-FR" w:bidi="fr-FR"/>
        </w:rPr>
      </w:pPr>
    </w:p>
    <w:p w14:paraId="7E2896D7" w14:textId="762FA020" w:rsidR="009E2F8B" w:rsidRPr="0046567B" w:rsidRDefault="009E2F8B" w:rsidP="009E2F8B">
      <w:pPr>
        <w:pStyle w:val="SingleTxt"/>
        <w:spacing w:after="0" w:line="120" w:lineRule="exact"/>
        <w:rPr>
          <w:sz w:val="10"/>
          <w:lang w:val="fr-FR" w:bidi="fr-FR"/>
        </w:rPr>
      </w:pPr>
    </w:p>
    <w:p w14:paraId="470BDC89" w14:textId="5C352280"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 Gouvernement s</w:t>
      </w:r>
      <w:r w:rsidR="00FB11B3" w:rsidRPr="0046567B">
        <w:rPr>
          <w:lang w:val="fr-FR" w:bidi="fr-FR"/>
        </w:rPr>
        <w:t>’</w:t>
      </w:r>
      <w:r w:rsidRPr="0046567B">
        <w:rPr>
          <w:lang w:val="fr-FR" w:bidi="fr-FR"/>
        </w:rPr>
        <w:t>est engagé à lutter contre la discrimination raciale. Le Gouvernement a rendu publiques en</w:t>
      </w:r>
      <w:r w:rsidR="002A20B0" w:rsidRPr="0046567B">
        <w:rPr>
          <w:lang w:val="fr-FR" w:bidi="fr-FR"/>
        </w:rPr>
        <w:t xml:space="preserve"> </w:t>
      </w:r>
      <w:r w:rsidRPr="0046567B">
        <w:rPr>
          <w:lang w:val="fr-FR" w:bidi="fr-FR"/>
        </w:rPr>
        <w:t>2010 des lignes directrices sur la promotion de l</w:t>
      </w:r>
      <w:r w:rsidR="00FB11B3" w:rsidRPr="0046567B">
        <w:rPr>
          <w:lang w:val="fr-FR" w:bidi="fr-FR"/>
        </w:rPr>
        <w:t>’</w:t>
      </w:r>
      <w:r w:rsidRPr="0046567B">
        <w:rPr>
          <w:lang w:val="fr-FR" w:bidi="fr-FR"/>
        </w:rPr>
        <w:t>égalité entre les races afin de donner aux bureaux, aux départements et aux autorités publiques concernés des orientations générales pour promouvoir l</w:t>
      </w:r>
      <w:r w:rsidR="00FB11B3" w:rsidRPr="0046567B">
        <w:rPr>
          <w:lang w:val="fr-FR" w:bidi="fr-FR"/>
        </w:rPr>
        <w:t>’</w:t>
      </w:r>
      <w:r w:rsidRPr="0046567B">
        <w:rPr>
          <w:lang w:val="fr-FR" w:bidi="fr-FR"/>
        </w:rPr>
        <w:t>égalité entre les races et garantir l</w:t>
      </w:r>
      <w:r w:rsidR="00FB11B3" w:rsidRPr="0046567B">
        <w:rPr>
          <w:lang w:val="fr-FR" w:bidi="fr-FR"/>
        </w:rPr>
        <w:t>’</w:t>
      </w:r>
      <w:r w:rsidRPr="0046567B">
        <w:rPr>
          <w:lang w:val="fr-FR" w:bidi="fr-FR"/>
        </w:rPr>
        <w:t>égalité d</w:t>
      </w:r>
      <w:r w:rsidR="00FB11B3" w:rsidRPr="0046567B">
        <w:rPr>
          <w:lang w:val="fr-FR" w:bidi="fr-FR"/>
        </w:rPr>
        <w:t>’</w:t>
      </w:r>
      <w:r w:rsidRPr="0046567B">
        <w:rPr>
          <w:lang w:val="fr-FR" w:bidi="fr-FR"/>
        </w:rPr>
        <w:t>accès des minorités ethniques aux services publics.</w:t>
      </w:r>
      <w:r w:rsidR="002A20B0" w:rsidRPr="0046567B">
        <w:rPr>
          <w:lang w:val="fr-FR" w:bidi="fr-FR"/>
        </w:rPr>
        <w:t xml:space="preserve"> </w:t>
      </w:r>
      <w:r w:rsidRPr="0046567B">
        <w:rPr>
          <w:lang w:val="fr-FR" w:bidi="fr-FR"/>
        </w:rPr>
        <w:t>Ces directives tendent également à conduire ces autorités, chacune dans leur domaine, à tenir compte de ces orientations dans la formulation, la mise en œuvre et la révision des politiques et des mesures concernées. Le champ d</w:t>
      </w:r>
      <w:r w:rsidR="00FB11B3" w:rsidRPr="0046567B">
        <w:rPr>
          <w:lang w:val="fr-FR" w:bidi="fr-FR"/>
        </w:rPr>
        <w:t>’</w:t>
      </w:r>
      <w:r w:rsidRPr="0046567B">
        <w:rPr>
          <w:lang w:val="fr-FR" w:bidi="fr-FR"/>
        </w:rPr>
        <w:t>application de ces lignes directrices, initialement fixé à 14</w:t>
      </w:r>
      <w:r w:rsidR="002A20B0" w:rsidRPr="0046567B">
        <w:rPr>
          <w:lang w:val="fr-FR" w:bidi="fr-FR"/>
        </w:rPr>
        <w:t xml:space="preserve"> </w:t>
      </w:r>
      <w:r w:rsidRPr="0046567B">
        <w:rPr>
          <w:lang w:val="fr-FR" w:bidi="fr-FR"/>
        </w:rPr>
        <w:t>autorités publiques, a été étendu à 23</w:t>
      </w:r>
      <w:r w:rsidR="002A20B0" w:rsidRPr="0046567B">
        <w:rPr>
          <w:lang w:val="fr-FR" w:bidi="fr-FR"/>
        </w:rPr>
        <w:t xml:space="preserve"> </w:t>
      </w:r>
      <w:r w:rsidRPr="0046567B">
        <w:rPr>
          <w:lang w:val="fr-FR" w:bidi="fr-FR"/>
        </w:rPr>
        <w:t>autorités. Les autorités compétentes ont systématiquement mis en place des mesures en faveur des minorités ethniques.</w:t>
      </w:r>
    </w:p>
    <w:p w14:paraId="2D185720" w14:textId="3B2BB356"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Des progrès considérables ont été accomplis dans le renforcement des services pour l</w:t>
      </w:r>
      <w:r w:rsidR="00FB11B3" w:rsidRPr="0046567B">
        <w:rPr>
          <w:lang w:val="fr-FR" w:bidi="fr-FR"/>
        </w:rPr>
        <w:t>’</w:t>
      </w:r>
      <w:r w:rsidRPr="0046567B">
        <w:rPr>
          <w:lang w:val="fr-FR" w:bidi="fr-FR"/>
        </w:rPr>
        <w:t>emploi des minorités ethniques. Le Ministère du travail fournit des services d</w:t>
      </w:r>
      <w:r w:rsidR="00FB11B3" w:rsidRPr="0046567B">
        <w:rPr>
          <w:lang w:val="fr-FR" w:bidi="fr-FR"/>
        </w:rPr>
        <w:t>’</w:t>
      </w:r>
      <w:r w:rsidRPr="0046567B">
        <w:rPr>
          <w:lang w:val="fr-FR" w:bidi="fr-FR"/>
        </w:rPr>
        <w:t>emploi complets et gratuits à tous les demandeurs d</w:t>
      </w:r>
      <w:r w:rsidR="00FB11B3" w:rsidRPr="0046567B">
        <w:rPr>
          <w:lang w:val="fr-FR" w:bidi="fr-FR"/>
        </w:rPr>
        <w:t>’</w:t>
      </w:r>
      <w:r w:rsidRPr="0046567B">
        <w:rPr>
          <w:lang w:val="fr-FR" w:bidi="fr-FR"/>
        </w:rPr>
        <w:t>emploi, notamment les femmes issues de minorités ethniques. Tous les centres de recrutement du Ministère du travail offrent un large éventail de services spécialisés pour répondre aux besoins des demandeurs d</w:t>
      </w:r>
      <w:r w:rsidR="00FB11B3" w:rsidRPr="0046567B">
        <w:rPr>
          <w:lang w:val="fr-FR" w:bidi="fr-FR"/>
        </w:rPr>
        <w:t>’</w:t>
      </w:r>
      <w:r w:rsidRPr="0046567B">
        <w:rPr>
          <w:lang w:val="fr-FR" w:bidi="fr-FR"/>
        </w:rPr>
        <w:t>emploi issus de ces minorités. À une plus grande échelle, le Ministère du travail organise également des salons de l</w:t>
      </w:r>
      <w:r w:rsidR="00FB11B3" w:rsidRPr="0046567B">
        <w:rPr>
          <w:lang w:val="fr-FR" w:bidi="fr-FR"/>
        </w:rPr>
        <w:t>’</w:t>
      </w:r>
      <w:r w:rsidRPr="0046567B">
        <w:rPr>
          <w:lang w:val="fr-FR" w:bidi="fr-FR"/>
        </w:rPr>
        <w:t>emploi inclusifs au niveau des districts, pour augmenter les chances des demandeurs d</w:t>
      </w:r>
      <w:r w:rsidR="00FB11B3" w:rsidRPr="0046567B">
        <w:rPr>
          <w:lang w:val="fr-FR" w:bidi="fr-FR"/>
        </w:rPr>
        <w:t>’</w:t>
      </w:r>
      <w:r w:rsidRPr="0046567B">
        <w:rPr>
          <w:lang w:val="fr-FR" w:bidi="fr-FR"/>
        </w:rPr>
        <w:t>emploi issus de minorités ethniques de trouver du travail.</w:t>
      </w:r>
    </w:p>
    <w:p w14:paraId="19D33AEC" w14:textId="62239667"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Depuis 2014, le Ministère du travail a lancé le programme « Ambassadeur des services pour l</w:t>
      </w:r>
      <w:r w:rsidR="00FB11B3" w:rsidRPr="0046567B">
        <w:rPr>
          <w:lang w:val="fr-FR" w:bidi="fr-FR"/>
        </w:rPr>
        <w:t>’</w:t>
      </w:r>
      <w:r w:rsidRPr="0046567B">
        <w:rPr>
          <w:lang w:val="fr-FR" w:bidi="fr-FR"/>
        </w:rPr>
        <w:t>emploi » (Employment Services Ambassador) destiné aux minorités ethniques. Dans le cadre de ce programme, des stagiaires qui maîtrisent les langues parlées par les minorités ethniques sont recrutés comme ambassadeurs pour suivre une formation dans des centres de recrutement pendant une durée de six mois. Leur mission consiste à aider les demandeurs d</w:t>
      </w:r>
      <w:r w:rsidR="00FB11B3" w:rsidRPr="0046567B">
        <w:rPr>
          <w:lang w:val="fr-FR" w:bidi="fr-FR"/>
        </w:rPr>
        <w:t>’</w:t>
      </w:r>
      <w:r w:rsidRPr="0046567B">
        <w:rPr>
          <w:lang w:val="fr-FR" w:bidi="fr-FR"/>
        </w:rPr>
        <w:t>emploi issus de minorités ethniques à utiliser les divers services et installations mis à leur disposition pour trouver un emploi. Depuis la mise en œuvre de ce programme, le Ministère du travail a recruté 117</w:t>
      </w:r>
      <w:r w:rsidR="002A20B0" w:rsidRPr="0046567B">
        <w:rPr>
          <w:lang w:val="fr-FR" w:bidi="fr-FR"/>
        </w:rPr>
        <w:t xml:space="preserve"> </w:t>
      </w:r>
      <w:r w:rsidRPr="0046567B">
        <w:rPr>
          <w:lang w:val="fr-FR" w:bidi="fr-FR"/>
        </w:rPr>
        <w:t>stagiaires, dont</w:t>
      </w:r>
      <w:r w:rsidR="002A20B0" w:rsidRPr="0046567B">
        <w:rPr>
          <w:lang w:val="fr-FR" w:bidi="fr-FR"/>
        </w:rPr>
        <w:t xml:space="preserve"> </w:t>
      </w:r>
      <w:r w:rsidRPr="0046567B">
        <w:rPr>
          <w:lang w:val="fr-FR" w:bidi="fr-FR"/>
        </w:rPr>
        <w:t>86</w:t>
      </w:r>
      <w:r w:rsidR="002A20B0" w:rsidRPr="0046567B">
        <w:rPr>
          <w:lang w:val="fr-FR" w:bidi="fr-FR"/>
        </w:rPr>
        <w:t xml:space="preserve"> </w:t>
      </w:r>
      <w:r w:rsidRPr="0046567B">
        <w:rPr>
          <w:lang w:val="fr-FR" w:bidi="fr-FR"/>
        </w:rPr>
        <w:t>(73,5</w:t>
      </w:r>
      <w:r w:rsidR="00FB11B3" w:rsidRPr="0046567B">
        <w:rPr>
          <w:lang w:val="fr-FR" w:bidi="fr-FR"/>
        </w:rPr>
        <w:t> %</w:t>
      </w:r>
      <w:r w:rsidRPr="0046567B">
        <w:rPr>
          <w:lang w:val="fr-FR" w:bidi="fr-FR"/>
        </w:rPr>
        <w:t>) étaient des femmes.</w:t>
      </w:r>
    </w:p>
    <w:p w14:paraId="57883079" w14:textId="02F82633"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Conformément à la politique générale de</w:t>
      </w:r>
      <w:r w:rsidR="002A20B0" w:rsidRPr="0046567B">
        <w:rPr>
          <w:lang w:val="fr-FR" w:bidi="fr-FR"/>
        </w:rPr>
        <w:t xml:space="preserve"> </w:t>
      </w:r>
      <w:r w:rsidRPr="0046567B">
        <w:rPr>
          <w:lang w:val="fr-FR" w:bidi="fr-FR"/>
        </w:rPr>
        <w:t>2017, le Ministère du travail a recruté depuis mai</w:t>
      </w:r>
      <w:r w:rsidR="002A20B0" w:rsidRPr="0046567B">
        <w:rPr>
          <w:lang w:val="fr-FR" w:bidi="fr-FR"/>
        </w:rPr>
        <w:t xml:space="preserve"> </w:t>
      </w:r>
      <w:r w:rsidRPr="0046567B">
        <w:rPr>
          <w:lang w:val="fr-FR" w:bidi="fr-FR"/>
        </w:rPr>
        <w:t>2017 deux assistants qui maîtrisent les langues parlées par les minorités ethniques, dans deux centres de recrutement choisis à titre expérimental, afin de renforcer l</w:t>
      </w:r>
      <w:r w:rsidR="00FB11B3" w:rsidRPr="0046567B">
        <w:rPr>
          <w:lang w:val="fr-FR" w:bidi="fr-FR"/>
        </w:rPr>
        <w:t>’</w:t>
      </w:r>
      <w:r w:rsidRPr="0046567B">
        <w:rPr>
          <w:lang w:val="fr-FR" w:bidi="fr-FR"/>
        </w:rPr>
        <w:t>aide à l</w:t>
      </w:r>
      <w:r w:rsidR="00FB11B3" w:rsidRPr="0046567B">
        <w:rPr>
          <w:lang w:val="fr-FR" w:bidi="fr-FR"/>
        </w:rPr>
        <w:t>’</w:t>
      </w:r>
      <w:r w:rsidRPr="0046567B">
        <w:rPr>
          <w:lang w:val="fr-FR" w:bidi="fr-FR"/>
        </w:rPr>
        <w:t>emploi pour les demandeurs issus de minorités ethniques. En plus de s</w:t>
      </w:r>
      <w:r w:rsidR="00FB11B3" w:rsidRPr="0046567B">
        <w:rPr>
          <w:lang w:val="fr-FR" w:bidi="fr-FR"/>
        </w:rPr>
        <w:t>’</w:t>
      </w:r>
      <w:r w:rsidRPr="0046567B">
        <w:rPr>
          <w:lang w:val="fr-FR" w:bidi="fr-FR"/>
        </w:rPr>
        <w:t>associer à des agents expérimentés pour aider les demandeurs d</w:t>
      </w:r>
      <w:r w:rsidR="00FB11B3" w:rsidRPr="0046567B">
        <w:rPr>
          <w:lang w:val="fr-FR" w:bidi="fr-FR"/>
        </w:rPr>
        <w:t>’</w:t>
      </w:r>
      <w:r w:rsidRPr="0046567B">
        <w:rPr>
          <w:lang w:val="fr-FR" w:bidi="fr-FR"/>
        </w:rPr>
        <w:t>emploi issus de minorités ethniques, ces assistants, qui connaissent particulièrement les langues et les cultures de ces minorités, apportent également leur concours au Ministère du travail pour atteindre ces minorités en recherche d</w:t>
      </w:r>
      <w:r w:rsidR="00FB11B3" w:rsidRPr="0046567B">
        <w:rPr>
          <w:lang w:val="fr-FR" w:bidi="fr-FR"/>
        </w:rPr>
        <w:t>’</w:t>
      </w:r>
      <w:r w:rsidRPr="0046567B">
        <w:rPr>
          <w:lang w:val="fr-FR" w:bidi="fr-FR"/>
        </w:rPr>
        <w:t>emploi et les encourager à faire appel à ses services.</w:t>
      </w:r>
    </w:p>
    <w:p w14:paraId="1EB86967" w14:textId="7DE9F872"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 Bureau de reconversion des employés propose des formations spécifiques dispensées en anglais pour répondre aux aspirations et aux besoins en formation des minorités ethniques. En</w:t>
      </w:r>
      <w:r w:rsidR="002A20B0" w:rsidRPr="0046567B">
        <w:rPr>
          <w:lang w:val="fr-FR" w:bidi="fr-FR"/>
        </w:rPr>
        <w:t xml:space="preserve"> </w:t>
      </w:r>
      <w:r w:rsidRPr="0046567B">
        <w:rPr>
          <w:lang w:val="fr-FR" w:bidi="fr-FR"/>
        </w:rPr>
        <w:t>2018-2019, ce Bureau a réservé au total 800</w:t>
      </w:r>
      <w:r w:rsidR="002A20B0" w:rsidRPr="0046567B">
        <w:rPr>
          <w:lang w:val="fr-FR" w:bidi="fr-FR"/>
        </w:rPr>
        <w:t> </w:t>
      </w:r>
      <w:r w:rsidRPr="0046567B">
        <w:rPr>
          <w:lang w:val="fr-FR" w:bidi="fr-FR"/>
        </w:rPr>
        <w:t>places de formation et proposé 32</w:t>
      </w:r>
      <w:r w:rsidR="002A20B0" w:rsidRPr="0046567B">
        <w:rPr>
          <w:lang w:val="fr-FR" w:bidi="fr-FR"/>
        </w:rPr>
        <w:t xml:space="preserve"> </w:t>
      </w:r>
      <w:r w:rsidRPr="0046567B">
        <w:rPr>
          <w:lang w:val="fr-FR" w:bidi="fr-FR"/>
        </w:rPr>
        <w:t>cours dédiés aux minorités ethniques. Il serait éventuellement en mesure de mettre à disposition des auxiliaires pédagogiques qui parlent anglais ainsi que les langues des minorités ethniques, pour fournir des services d</w:t>
      </w:r>
      <w:r w:rsidR="00FB11B3" w:rsidRPr="0046567B">
        <w:rPr>
          <w:lang w:val="fr-FR" w:bidi="fr-FR"/>
        </w:rPr>
        <w:t>’</w:t>
      </w:r>
      <w:r w:rsidRPr="0046567B">
        <w:rPr>
          <w:lang w:val="fr-FR" w:bidi="fr-FR"/>
        </w:rPr>
        <w:t>interprétation ou d</w:t>
      </w:r>
      <w:r w:rsidR="00FB11B3" w:rsidRPr="0046567B">
        <w:rPr>
          <w:lang w:val="fr-FR" w:bidi="fr-FR"/>
        </w:rPr>
        <w:t>’</w:t>
      </w:r>
      <w:r w:rsidRPr="0046567B">
        <w:rPr>
          <w:lang w:val="fr-FR" w:bidi="fr-FR"/>
        </w:rPr>
        <w:t>orientation en classe afin d</w:t>
      </w:r>
      <w:r w:rsidR="00FB11B3" w:rsidRPr="0046567B">
        <w:rPr>
          <w:lang w:val="fr-FR" w:bidi="fr-FR"/>
        </w:rPr>
        <w:t>’</w:t>
      </w:r>
      <w:r w:rsidRPr="0046567B">
        <w:rPr>
          <w:lang w:val="fr-FR" w:bidi="fr-FR"/>
        </w:rPr>
        <w:t>aider ceux qui rencontrent des difficultés à comprendre l</w:t>
      </w:r>
      <w:r w:rsidR="00FB11B3" w:rsidRPr="0046567B">
        <w:rPr>
          <w:lang w:val="fr-FR" w:bidi="fr-FR"/>
        </w:rPr>
        <w:t>’</w:t>
      </w:r>
      <w:r w:rsidRPr="0046567B">
        <w:rPr>
          <w:lang w:val="fr-FR" w:bidi="fr-FR"/>
        </w:rPr>
        <w:t>anglais. Les minorités ethniques qui ont suivi les cours de formation spécifiques en vue de leur placement bénéficient d</w:t>
      </w:r>
      <w:r w:rsidR="00FB11B3" w:rsidRPr="0046567B">
        <w:rPr>
          <w:lang w:val="fr-FR" w:bidi="fr-FR"/>
        </w:rPr>
        <w:t>’</w:t>
      </w:r>
      <w:r w:rsidRPr="0046567B">
        <w:rPr>
          <w:lang w:val="fr-FR" w:bidi="fr-FR"/>
        </w:rPr>
        <w:t>un suivi de six mois supplémentaires.</w:t>
      </w:r>
    </w:p>
    <w:p w14:paraId="23B046EC" w14:textId="0E46695A"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 Bureau de reconversion des employés propose également des subventions aux organismes de formation qui souhaitent développer des supports de formation et un soutien à l</w:t>
      </w:r>
      <w:r w:rsidR="00FB11B3" w:rsidRPr="0046567B">
        <w:rPr>
          <w:lang w:val="fr-FR" w:bidi="fr-FR"/>
        </w:rPr>
        <w:t>’</w:t>
      </w:r>
      <w:r w:rsidRPr="0046567B">
        <w:rPr>
          <w:lang w:val="fr-FR" w:bidi="fr-FR"/>
        </w:rPr>
        <w:t>apprentissage pour les minorités ethniques qui parlent le cantonais.</w:t>
      </w:r>
    </w:p>
    <w:p w14:paraId="3C9D8F8C" w14:textId="62C41117"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 Bureau de reconversion des employés collabore avec le Ministère de l</w:t>
      </w:r>
      <w:r w:rsidR="00FB11B3" w:rsidRPr="0046567B">
        <w:rPr>
          <w:lang w:val="fr-FR" w:bidi="fr-FR"/>
        </w:rPr>
        <w:t>’</w:t>
      </w:r>
      <w:r w:rsidRPr="0046567B">
        <w:rPr>
          <w:lang w:val="fr-FR" w:bidi="fr-FR"/>
        </w:rPr>
        <w:t>intérieur pour proposer des formations dans ses centres d</w:t>
      </w:r>
      <w:r w:rsidR="00FB11B3" w:rsidRPr="0046567B">
        <w:rPr>
          <w:lang w:val="fr-FR" w:bidi="fr-FR"/>
        </w:rPr>
        <w:t>’</w:t>
      </w:r>
      <w:r w:rsidRPr="0046567B">
        <w:rPr>
          <w:lang w:val="fr-FR" w:bidi="fr-FR"/>
        </w:rPr>
        <w:t>aide et de soutien aux minorités ethniques. Les minorités ethniques peuvent également faire appel à toute une série de services, notamment des séminaires sectoriels, des cours d</w:t>
      </w:r>
      <w:r w:rsidR="00FB11B3" w:rsidRPr="0046567B">
        <w:rPr>
          <w:lang w:val="fr-FR" w:bidi="fr-FR"/>
        </w:rPr>
        <w:t>’</w:t>
      </w:r>
      <w:r w:rsidRPr="0046567B">
        <w:rPr>
          <w:lang w:val="fr-FR" w:bidi="fr-FR"/>
        </w:rPr>
        <w:t>initiation, des ateliers ou des conseils en formation. Les consultants en formation proposent également ce type de conseil aux minorités ethniques pour leur fournir les informations nécessaires sur une formation ou un emploi spécifique. Le Bureau de reconversion des employés publie aussi des livrets d</w:t>
      </w:r>
      <w:r w:rsidR="00FB11B3" w:rsidRPr="0046567B">
        <w:rPr>
          <w:lang w:val="fr-FR" w:bidi="fr-FR"/>
        </w:rPr>
        <w:t>’</w:t>
      </w:r>
      <w:r w:rsidRPr="0046567B">
        <w:rPr>
          <w:lang w:val="fr-FR" w:bidi="fr-FR"/>
        </w:rPr>
        <w:t>information et des cours, traduits en anglais et dans plusieurs langues pratiquées par les minorités ethniques. Il publie aussi des annonces dans ces langues dans différents journaux.</w:t>
      </w:r>
    </w:p>
    <w:p w14:paraId="541EF79B" w14:textId="430DE8C6" w:rsidR="009E2F8B" w:rsidRPr="0046567B" w:rsidRDefault="009E2F8B" w:rsidP="009E2F8B">
      <w:pPr>
        <w:pStyle w:val="SingleTxt"/>
        <w:spacing w:after="0" w:line="120" w:lineRule="exact"/>
        <w:rPr>
          <w:sz w:val="10"/>
          <w:lang w:val="fr-FR" w:bidi="fr-FR"/>
        </w:rPr>
      </w:pPr>
    </w:p>
    <w:p w14:paraId="07A7CA40" w14:textId="4B06B651" w:rsidR="009E2F8B" w:rsidRPr="0046567B" w:rsidRDefault="009E2F8B" w:rsidP="009E2F8B">
      <w:pPr>
        <w:pStyle w:val="SingleTxt"/>
        <w:spacing w:after="0" w:line="120" w:lineRule="exact"/>
        <w:rPr>
          <w:sz w:val="10"/>
          <w:lang w:val="fr-FR"/>
        </w:rPr>
      </w:pPr>
    </w:p>
    <w:p w14:paraId="0398B01A" w14:textId="44F1D7C8"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âgées</w:t>
      </w:r>
    </w:p>
    <w:p w14:paraId="0CEFE93A" w14:textId="6AD31A2E" w:rsidR="009E2F8B" w:rsidRPr="0046567B" w:rsidRDefault="009E2F8B" w:rsidP="009E2F8B">
      <w:pPr>
        <w:pStyle w:val="SingleTxt"/>
        <w:spacing w:after="0" w:line="120" w:lineRule="exact"/>
        <w:rPr>
          <w:sz w:val="10"/>
          <w:lang w:val="fr-FR" w:bidi="fr-FR"/>
        </w:rPr>
      </w:pPr>
    </w:p>
    <w:p w14:paraId="3FA034D2" w14:textId="167131EA" w:rsidR="009E2F8B" w:rsidRPr="0046567B" w:rsidRDefault="009E2F8B" w:rsidP="009E2F8B">
      <w:pPr>
        <w:pStyle w:val="SingleTxt"/>
        <w:spacing w:after="0" w:line="120" w:lineRule="exact"/>
        <w:rPr>
          <w:sz w:val="10"/>
          <w:lang w:val="fr-FR" w:bidi="fr-FR"/>
        </w:rPr>
      </w:pPr>
    </w:p>
    <w:p w14:paraId="13A87871" w14:textId="77777777"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 xml:space="preserve">Grâce au programme </w:t>
      </w:r>
      <w:r w:rsidRPr="0046567B">
        <w:rPr>
          <w:i/>
          <w:lang w:val="fr-FR" w:bidi="fr-FR"/>
        </w:rPr>
        <w:t>Single Elderly Persons Priority Scheme</w:t>
      </w:r>
      <w:r w:rsidRPr="0046567B">
        <w:rPr>
          <w:lang w:val="fr-FR" w:bidi="fr-FR"/>
        </w:rPr>
        <w:t>, qui donne la priorité aux personnes âgées vivant seules, des logements locatifs publics sont attribués en priorité aux personnes âgées.</w:t>
      </w:r>
    </w:p>
    <w:p w14:paraId="412133DC" w14:textId="152FF9B2"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En outre, la Direction générale des hôpitaux engage au besoin des travaux d</w:t>
      </w:r>
      <w:r w:rsidR="00FB11B3" w:rsidRPr="0046567B">
        <w:rPr>
          <w:lang w:val="fr-FR" w:bidi="fr-FR"/>
        </w:rPr>
        <w:t>’</w:t>
      </w:r>
      <w:r w:rsidRPr="0046567B">
        <w:rPr>
          <w:lang w:val="fr-FR" w:bidi="fr-FR"/>
        </w:rPr>
        <w:t>adaptation ou de modification du logement et prend en charge l</w:t>
      </w:r>
      <w:r w:rsidR="00FB11B3" w:rsidRPr="0046567B">
        <w:rPr>
          <w:lang w:val="fr-FR" w:bidi="fr-FR"/>
        </w:rPr>
        <w:t>’</w:t>
      </w:r>
      <w:r w:rsidRPr="0046567B">
        <w:rPr>
          <w:lang w:val="fr-FR" w:bidi="fr-FR"/>
        </w:rPr>
        <w:t>intégralité des frais pour les locataires âgés qui vivent seuls, ainsi que pour les familles dont des membres ont plus de 60</w:t>
      </w:r>
      <w:r w:rsidR="002A20B0" w:rsidRPr="0046567B">
        <w:rPr>
          <w:lang w:val="fr-FR" w:bidi="fr-FR"/>
        </w:rPr>
        <w:t xml:space="preserve"> </w:t>
      </w:r>
      <w:r w:rsidRPr="0046567B">
        <w:rPr>
          <w:lang w:val="fr-FR" w:bidi="fr-FR"/>
        </w:rPr>
        <w:t>ans. Si nécessaire, les conseils de physiothérapeutes ou de médecins peuvent être sollicités pour engager des travaux d</w:t>
      </w:r>
      <w:r w:rsidR="00FB11B3" w:rsidRPr="0046567B">
        <w:rPr>
          <w:lang w:val="fr-FR" w:bidi="fr-FR"/>
        </w:rPr>
        <w:t>’</w:t>
      </w:r>
      <w:r w:rsidRPr="0046567B">
        <w:rPr>
          <w:lang w:val="fr-FR" w:bidi="fr-FR"/>
        </w:rPr>
        <w:t>adaptation appropriés de ces logements.</w:t>
      </w:r>
    </w:p>
    <w:p w14:paraId="73750A9B" w14:textId="6C24CFD8" w:rsidR="009E2F8B" w:rsidRPr="0046567B" w:rsidRDefault="009E2F8B" w:rsidP="009E2F8B">
      <w:pPr>
        <w:pStyle w:val="SingleTxt"/>
        <w:spacing w:after="0" w:line="120" w:lineRule="exact"/>
        <w:rPr>
          <w:sz w:val="10"/>
          <w:lang w:val="fr-FR" w:bidi="fr-FR"/>
        </w:rPr>
      </w:pPr>
    </w:p>
    <w:p w14:paraId="5B469544" w14:textId="3DD93F06" w:rsidR="009E2F8B" w:rsidRPr="0046567B" w:rsidRDefault="009E2F8B" w:rsidP="009E2F8B">
      <w:pPr>
        <w:pStyle w:val="SingleTxt"/>
        <w:spacing w:after="0" w:line="120" w:lineRule="exact"/>
        <w:rPr>
          <w:sz w:val="10"/>
          <w:lang w:val="fr-FR"/>
        </w:rPr>
      </w:pPr>
    </w:p>
    <w:p w14:paraId="31CF4A3A" w14:textId="3D4DD9F0" w:rsidR="00FC36AA" w:rsidRPr="0046567B" w:rsidRDefault="00FC36AA" w:rsidP="008373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14 </w:t>
      </w:r>
      <w:r w:rsidR="008373EE" w:rsidRPr="0046567B">
        <w:rPr>
          <w:lang w:val="fr-FR" w:bidi="fr-FR"/>
        </w:rPr>
        <w:t>–</w:t>
      </w:r>
      <w:r w:rsidRPr="0046567B">
        <w:rPr>
          <w:lang w:val="fr-FR" w:bidi="fr-FR"/>
        </w:rPr>
        <w:t xml:space="preserve"> Les femmes rurales</w:t>
      </w:r>
    </w:p>
    <w:p w14:paraId="06B94C71" w14:textId="0DB640ED" w:rsidR="009E2F8B" w:rsidRPr="0046567B" w:rsidRDefault="009E2F8B" w:rsidP="008373EE">
      <w:pPr>
        <w:pStyle w:val="SingleTxt"/>
        <w:keepNext/>
        <w:keepLines/>
        <w:spacing w:after="0" w:line="120" w:lineRule="exact"/>
        <w:rPr>
          <w:sz w:val="10"/>
          <w:lang w:val="fr-FR" w:bidi="fr-FR"/>
        </w:rPr>
      </w:pPr>
    </w:p>
    <w:p w14:paraId="23E58E94" w14:textId="389B8C5F" w:rsidR="009E2F8B" w:rsidRPr="0046567B" w:rsidRDefault="009E2F8B" w:rsidP="008373EE">
      <w:pPr>
        <w:pStyle w:val="SingleTxt"/>
        <w:keepNext/>
        <w:keepLines/>
        <w:spacing w:after="0" w:line="120" w:lineRule="exact"/>
        <w:rPr>
          <w:sz w:val="10"/>
          <w:lang w:val="fr-FR" w:bidi="fr-FR"/>
        </w:rPr>
      </w:pPr>
    </w:p>
    <w:p w14:paraId="785F5B99" w14:textId="34C193E2" w:rsidR="00FC36AA" w:rsidRPr="0046567B" w:rsidRDefault="00FC36AA" w:rsidP="008373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Réserve</w:t>
      </w:r>
    </w:p>
    <w:p w14:paraId="0153155B" w14:textId="6B66E5C6" w:rsidR="009E2F8B" w:rsidRPr="0046567B" w:rsidRDefault="009E2F8B" w:rsidP="009E2F8B">
      <w:pPr>
        <w:pStyle w:val="SingleTxt"/>
        <w:spacing w:after="0" w:line="120" w:lineRule="exact"/>
        <w:rPr>
          <w:sz w:val="10"/>
          <w:lang w:val="fr-FR" w:bidi="fr-FR"/>
        </w:rPr>
      </w:pPr>
    </w:p>
    <w:p w14:paraId="6589D317" w14:textId="73740FF7" w:rsidR="009E2F8B" w:rsidRPr="0046567B" w:rsidRDefault="009E2F8B" w:rsidP="009E2F8B">
      <w:pPr>
        <w:pStyle w:val="SingleTxt"/>
        <w:spacing w:after="0" w:line="120" w:lineRule="exact"/>
        <w:rPr>
          <w:sz w:val="10"/>
          <w:lang w:val="fr-FR" w:bidi="fr-FR"/>
        </w:rPr>
      </w:pPr>
    </w:p>
    <w:p w14:paraId="7D49F630" w14:textId="7F86FA99"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Au nom de la Région administrative spéciale de Hong Kong, le Gouvernement de la République populaire de Chine a déclaré que les lois en vigueur dans les Nouveaux Territoires de la Région administrative spéciale de Hong Kong qui permettent aux villageois autochtones de sexe masculin d</w:t>
      </w:r>
      <w:r w:rsidR="00FB11B3" w:rsidRPr="0046567B">
        <w:rPr>
          <w:lang w:val="fr-FR" w:bidi="fr-FR"/>
        </w:rPr>
        <w:t>’</w:t>
      </w:r>
      <w:r w:rsidRPr="0046567B">
        <w:rPr>
          <w:lang w:val="fr-FR" w:bidi="fr-FR"/>
        </w:rPr>
        <w:t>exercer certains droits s</w:t>
      </w:r>
      <w:r w:rsidR="00FB11B3" w:rsidRPr="0046567B">
        <w:rPr>
          <w:lang w:val="fr-FR" w:bidi="fr-FR"/>
        </w:rPr>
        <w:t>’</w:t>
      </w:r>
      <w:r w:rsidRPr="0046567B">
        <w:rPr>
          <w:lang w:val="fr-FR" w:bidi="fr-FR"/>
        </w:rPr>
        <w:t>agissant de biens immobiliers et qui prévoit que les concessions à bail concernant une terre ou une propriété détenue par des personnes autochtones ou par leurs successeurs légitimes par filiation paternelle, continueront d</w:t>
      </w:r>
      <w:r w:rsidR="00FB11B3" w:rsidRPr="0046567B">
        <w:rPr>
          <w:lang w:val="fr-FR" w:bidi="fr-FR"/>
        </w:rPr>
        <w:t>’</w:t>
      </w:r>
      <w:r w:rsidRPr="0046567B">
        <w:rPr>
          <w:lang w:val="fr-FR" w:bidi="fr-FR"/>
        </w:rPr>
        <w:t xml:space="preserve">être appliquées. La position du Gouvernement concernant la définition de la population « autochtone », </w:t>
      </w:r>
      <w:r w:rsidRPr="0046567B">
        <w:rPr>
          <w:rFonts w:hint="eastAsia"/>
          <w:lang w:val="fr-FR" w:bidi="fr-FR"/>
        </w:rPr>
        <w:t>ainsi</w:t>
      </w:r>
      <w:r w:rsidRPr="0046567B">
        <w:rPr>
          <w:lang w:val="fr-FR" w:bidi="fr-FR"/>
        </w:rPr>
        <w:t xml:space="preserve"> que les règles de succession des propriétés foncières dans les Nouveaux Territoires et la révision de la politique foncière, </w:t>
      </w:r>
      <w:r w:rsidRPr="0046567B">
        <w:rPr>
          <w:rFonts w:hint="eastAsia"/>
          <w:lang w:val="fr-FR" w:bidi="fr-FR"/>
        </w:rPr>
        <w:t>reste</w:t>
      </w:r>
      <w:r w:rsidRPr="0046567B">
        <w:rPr>
          <w:lang w:val="fr-FR" w:bidi="fr-FR"/>
        </w:rPr>
        <w:t xml:space="preserve"> telle qu</w:t>
      </w:r>
      <w:r w:rsidR="00FB11B3" w:rsidRPr="0046567B">
        <w:rPr>
          <w:lang w:val="fr-FR" w:bidi="fr-FR"/>
        </w:rPr>
        <w:t>’</w:t>
      </w:r>
      <w:r w:rsidRPr="0046567B">
        <w:rPr>
          <w:lang w:val="fr-FR" w:bidi="fr-FR"/>
        </w:rPr>
        <w:t>exposée dans le rapport précédent.</w:t>
      </w:r>
    </w:p>
    <w:p w14:paraId="044B8E85" w14:textId="61A725F5" w:rsidR="009E2F8B" w:rsidRPr="0046567B" w:rsidRDefault="009E2F8B" w:rsidP="009E2F8B">
      <w:pPr>
        <w:pStyle w:val="SingleTxt"/>
        <w:spacing w:after="0" w:line="120" w:lineRule="exact"/>
        <w:rPr>
          <w:sz w:val="10"/>
          <w:lang w:val="fr-FR" w:bidi="fr-FR"/>
        </w:rPr>
      </w:pPr>
    </w:p>
    <w:p w14:paraId="64681732" w14:textId="084EC849" w:rsidR="009E2F8B" w:rsidRPr="0046567B" w:rsidRDefault="009E2F8B" w:rsidP="009E2F8B">
      <w:pPr>
        <w:pStyle w:val="SingleTxt"/>
        <w:spacing w:after="0" w:line="120" w:lineRule="exact"/>
        <w:rPr>
          <w:sz w:val="10"/>
          <w:lang w:val="fr-FR"/>
        </w:rPr>
      </w:pPr>
    </w:p>
    <w:p w14:paraId="19768826" w14:textId="65A8C64F"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bookmarkStart w:id="12" w:name="_Rural_elections"/>
      <w:bookmarkEnd w:id="12"/>
      <w:r w:rsidRPr="0046567B">
        <w:rPr>
          <w:lang w:val="fr-FR" w:bidi="fr-FR"/>
        </w:rPr>
        <w:tab/>
      </w:r>
      <w:r w:rsidRPr="0046567B">
        <w:rPr>
          <w:lang w:val="fr-FR" w:bidi="fr-FR"/>
        </w:rPr>
        <w:tab/>
        <w:t>Élections rurales</w:t>
      </w:r>
    </w:p>
    <w:p w14:paraId="16CCA25D" w14:textId="437D7F36" w:rsidR="009E2F8B" w:rsidRPr="0046567B" w:rsidRDefault="009E2F8B" w:rsidP="009E2F8B">
      <w:pPr>
        <w:pStyle w:val="SingleTxt"/>
        <w:spacing w:after="0" w:line="120" w:lineRule="exact"/>
        <w:rPr>
          <w:sz w:val="10"/>
          <w:lang w:val="fr-FR" w:bidi="fr-FR"/>
        </w:rPr>
      </w:pPr>
    </w:p>
    <w:p w14:paraId="69762B2E" w14:textId="0D520BBD" w:rsidR="009E2F8B" w:rsidRPr="0046567B" w:rsidRDefault="009E2F8B" w:rsidP="009E2F8B">
      <w:pPr>
        <w:pStyle w:val="SingleTxt"/>
        <w:spacing w:after="0" w:line="120" w:lineRule="exact"/>
        <w:rPr>
          <w:sz w:val="10"/>
          <w:lang w:val="fr-FR" w:bidi="fr-FR"/>
        </w:rPr>
      </w:pPr>
    </w:p>
    <w:p w14:paraId="7351E541" w14:textId="1F9D1F62"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Après l</w:t>
      </w:r>
      <w:r w:rsidR="00FB11B3" w:rsidRPr="0046567B">
        <w:rPr>
          <w:lang w:val="fr-FR" w:bidi="fr-FR"/>
        </w:rPr>
        <w:t>’</w:t>
      </w:r>
      <w:r w:rsidRPr="0046567B">
        <w:rPr>
          <w:lang w:val="fr-FR" w:bidi="fr-FR"/>
        </w:rPr>
        <w:t>élection des représentants de village en</w:t>
      </w:r>
      <w:r w:rsidR="002A20B0" w:rsidRPr="0046567B">
        <w:rPr>
          <w:lang w:val="fr-FR" w:bidi="fr-FR"/>
        </w:rPr>
        <w:t xml:space="preserve"> </w:t>
      </w:r>
      <w:r w:rsidRPr="0046567B">
        <w:rPr>
          <w:lang w:val="fr-FR" w:bidi="fr-FR"/>
        </w:rPr>
        <w:t>2011, le Gouvernement a procédé à un examen complet des modalités électorales concernant les élections rurales. Par la suite, les dispositions de l</w:t>
      </w:r>
      <w:r w:rsidR="00FB11B3" w:rsidRPr="0046567B">
        <w:rPr>
          <w:lang w:val="fr-FR" w:bidi="fr-FR"/>
        </w:rPr>
        <w:t>’</w:t>
      </w:r>
      <w:r w:rsidRPr="0046567B">
        <w:rPr>
          <w:lang w:val="fr-FR" w:bidi="fr-FR"/>
        </w:rPr>
        <w:t>ordonnance sur l</w:t>
      </w:r>
      <w:r w:rsidR="00FB11B3" w:rsidRPr="0046567B">
        <w:rPr>
          <w:lang w:val="fr-FR" w:bidi="fr-FR"/>
        </w:rPr>
        <w:t>’</w:t>
      </w:r>
      <w:r w:rsidRPr="0046567B">
        <w:rPr>
          <w:lang w:val="fr-FR" w:bidi="fr-FR"/>
        </w:rPr>
        <w:t>élection des représentants de villages (chap. 576) et d</w:t>
      </w:r>
      <w:r w:rsidR="00FB11B3" w:rsidRPr="0046567B">
        <w:rPr>
          <w:lang w:val="fr-FR" w:bidi="fr-FR"/>
        </w:rPr>
        <w:t>’</w:t>
      </w:r>
      <w:r w:rsidRPr="0046567B">
        <w:rPr>
          <w:lang w:val="fr-FR" w:bidi="fr-FR"/>
        </w:rPr>
        <w:t>autres lois connexes ont été étendues à l</w:t>
      </w:r>
      <w:r w:rsidR="00FB11B3" w:rsidRPr="0046567B">
        <w:rPr>
          <w:lang w:val="fr-FR" w:bidi="fr-FR"/>
        </w:rPr>
        <w:t>’</w:t>
      </w:r>
      <w:r w:rsidRPr="0046567B">
        <w:rPr>
          <w:lang w:val="fr-FR" w:bidi="fr-FR"/>
        </w:rPr>
        <w:t>élection des représentants de Kaifong qui sont membres du Comité rural de Cheung Chau et de Peng Chau, deux îles périphériques de Hong Kong. L</w:t>
      </w:r>
      <w:r w:rsidR="00FB11B3" w:rsidRPr="0046567B">
        <w:rPr>
          <w:lang w:val="fr-FR" w:bidi="fr-FR"/>
        </w:rPr>
        <w:t>’</w:t>
      </w:r>
      <w:r w:rsidRPr="0046567B">
        <w:rPr>
          <w:lang w:val="fr-FR" w:bidi="fr-FR"/>
        </w:rPr>
        <w:t>ordonnance sur l</w:t>
      </w:r>
      <w:r w:rsidR="00FB11B3" w:rsidRPr="0046567B">
        <w:rPr>
          <w:lang w:val="fr-FR" w:bidi="fr-FR"/>
        </w:rPr>
        <w:t>’</w:t>
      </w:r>
      <w:r w:rsidRPr="0046567B">
        <w:rPr>
          <w:lang w:val="fr-FR" w:bidi="fr-FR"/>
        </w:rPr>
        <w:t>élection des représentants de villages a donc été rebaptisée en</w:t>
      </w:r>
      <w:r w:rsidR="002A20B0" w:rsidRPr="0046567B">
        <w:rPr>
          <w:lang w:val="fr-FR" w:bidi="fr-FR"/>
        </w:rPr>
        <w:t xml:space="preserve"> </w:t>
      </w:r>
      <w:r w:rsidRPr="0046567B">
        <w:rPr>
          <w:lang w:val="fr-FR" w:bidi="fr-FR"/>
        </w:rPr>
        <w:t>2014 « ordonnance relative aux élections des représentants ruraux (</w:t>
      </w:r>
      <w:r w:rsidRPr="0046567B">
        <w:rPr>
          <w:i/>
          <w:lang w:val="fr-FR" w:bidi="fr-FR"/>
        </w:rPr>
        <w:t>Rural Representative Election Ordinance</w:t>
      </w:r>
      <w:r w:rsidRPr="0046567B">
        <w:rPr>
          <w:lang w:val="fr-FR" w:bidi="fr-FR"/>
        </w:rPr>
        <w:t>) et les élections des représentants de Kaifong sont régies par cette ordonnance depuis</w:t>
      </w:r>
      <w:r w:rsidR="002A20B0" w:rsidRPr="0046567B">
        <w:rPr>
          <w:lang w:val="fr-FR" w:bidi="fr-FR"/>
        </w:rPr>
        <w:t xml:space="preserve"> </w:t>
      </w:r>
      <w:r w:rsidRPr="0046567B">
        <w:rPr>
          <w:lang w:val="fr-FR" w:bidi="fr-FR"/>
        </w:rPr>
        <w:t>2015.</w:t>
      </w:r>
    </w:p>
    <w:p w14:paraId="02B6A77A" w14:textId="5D9B7C12" w:rsidR="009E2F8B" w:rsidRPr="0046567B" w:rsidRDefault="009E2F8B" w:rsidP="009E2F8B">
      <w:pPr>
        <w:pStyle w:val="SingleTxt"/>
        <w:spacing w:after="0" w:line="120" w:lineRule="exact"/>
        <w:rPr>
          <w:sz w:val="10"/>
          <w:lang w:val="fr-FR"/>
        </w:rPr>
      </w:pPr>
    </w:p>
    <w:p w14:paraId="27D4EB72" w14:textId="778DA397" w:rsidR="00FC36AA" w:rsidRPr="0046567B" w:rsidRDefault="00FC36AA" w:rsidP="009E2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r>
      <w:r w:rsidRPr="0046567B">
        <w:rPr>
          <w:szCs w:val="20"/>
          <w:lang w:val="fr-FR" w:bidi="fr-FR"/>
        </w:rPr>
        <w:t>L</w:t>
      </w:r>
      <w:r w:rsidR="00FB11B3" w:rsidRPr="0046567B">
        <w:rPr>
          <w:szCs w:val="20"/>
          <w:lang w:val="fr-FR" w:bidi="fr-FR"/>
        </w:rPr>
        <w:t>’</w:t>
      </w:r>
      <w:r w:rsidRPr="0046567B">
        <w:rPr>
          <w:szCs w:val="20"/>
          <w:lang w:val="fr-FR" w:bidi="fr-FR"/>
        </w:rPr>
        <w:t>élection</w:t>
      </w:r>
      <w:r w:rsidRPr="0046567B">
        <w:rPr>
          <w:lang w:val="fr-FR" w:bidi="fr-FR"/>
        </w:rPr>
        <w:t xml:space="preserve"> rurale ordinaire de 2015</w:t>
      </w:r>
    </w:p>
    <w:p w14:paraId="169F17EA" w14:textId="70653450" w:rsidR="009E2F8B" w:rsidRPr="0046567B" w:rsidRDefault="009E2F8B" w:rsidP="009E2F8B">
      <w:pPr>
        <w:pStyle w:val="SingleTxt"/>
        <w:spacing w:after="0" w:line="120" w:lineRule="exact"/>
        <w:rPr>
          <w:sz w:val="10"/>
          <w:lang w:val="fr-FR" w:bidi="fr-FR"/>
        </w:rPr>
      </w:pPr>
    </w:p>
    <w:p w14:paraId="2E593F92" w14:textId="3F28DD05"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Depuis le précédent rapport, deux élections rurales ordinaires ont eu lieu, respectivement en</w:t>
      </w:r>
      <w:r w:rsidR="002A20B0" w:rsidRPr="0046567B">
        <w:rPr>
          <w:lang w:val="fr-FR" w:bidi="fr-FR"/>
        </w:rPr>
        <w:t xml:space="preserve"> </w:t>
      </w:r>
      <w:r w:rsidRPr="0046567B">
        <w:rPr>
          <w:lang w:val="fr-FR" w:bidi="fr-FR"/>
        </w:rPr>
        <w:t>2011 et</w:t>
      </w:r>
      <w:r w:rsidR="002A20B0" w:rsidRPr="0046567B">
        <w:rPr>
          <w:lang w:val="fr-FR" w:bidi="fr-FR"/>
        </w:rPr>
        <w:t xml:space="preserve"> </w:t>
      </w:r>
      <w:r w:rsidRPr="0046567B">
        <w:rPr>
          <w:lang w:val="fr-FR" w:bidi="fr-FR"/>
        </w:rPr>
        <w:t>2015. Le nombre d</w:t>
      </w:r>
      <w:r w:rsidR="00FB11B3" w:rsidRPr="0046567B">
        <w:rPr>
          <w:lang w:val="fr-FR" w:bidi="fr-FR"/>
        </w:rPr>
        <w:t>’</w:t>
      </w:r>
      <w:r w:rsidRPr="0046567B">
        <w:rPr>
          <w:lang w:val="fr-FR" w:bidi="fr-FR"/>
        </w:rPr>
        <w:t>électeurs inscrits en</w:t>
      </w:r>
      <w:r w:rsidR="002A20B0" w:rsidRPr="0046567B">
        <w:rPr>
          <w:lang w:val="fr-FR" w:bidi="fr-FR"/>
        </w:rPr>
        <w:t xml:space="preserve"> </w:t>
      </w:r>
      <w:r w:rsidRPr="0046567B">
        <w:rPr>
          <w:lang w:val="fr-FR" w:bidi="fr-FR"/>
        </w:rPr>
        <w:t>2011 était d</w:t>
      </w:r>
      <w:r w:rsidR="00FB11B3" w:rsidRPr="0046567B">
        <w:rPr>
          <w:lang w:val="fr-FR" w:bidi="fr-FR"/>
        </w:rPr>
        <w:t>’</w:t>
      </w:r>
      <w:r w:rsidRPr="0046567B">
        <w:rPr>
          <w:lang w:val="fr-FR" w:bidi="fr-FR"/>
        </w:rPr>
        <w:t>environ 182</w:t>
      </w:r>
      <w:r w:rsidR="002A20B0" w:rsidRPr="0046567B">
        <w:rPr>
          <w:lang w:val="fr-FR" w:bidi="fr-FR"/>
        </w:rPr>
        <w:t xml:space="preserve"> </w:t>
      </w:r>
      <w:r w:rsidRPr="0046567B">
        <w:rPr>
          <w:lang w:val="fr-FR" w:bidi="fr-FR"/>
        </w:rPr>
        <w:t>700, dont 47,3</w:t>
      </w:r>
      <w:r w:rsidR="00FB11B3" w:rsidRPr="0046567B">
        <w:rPr>
          <w:lang w:val="fr-FR" w:bidi="fr-FR"/>
        </w:rPr>
        <w:t> %</w:t>
      </w:r>
      <w:r w:rsidRPr="0046567B">
        <w:rPr>
          <w:lang w:val="fr-FR" w:bidi="fr-FR"/>
        </w:rPr>
        <w:t xml:space="preserve"> étaient des femmes. Les élections des représentants de Kaifong ont été organisées en 2015, pour la première fois sous la nouvelle loi électorale et sous la supervision de la Commission des affaires électorales. Le nombre d</w:t>
      </w:r>
      <w:r w:rsidR="00FB11B3" w:rsidRPr="0046567B">
        <w:rPr>
          <w:lang w:val="fr-FR" w:bidi="fr-FR"/>
        </w:rPr>
        <w:t>’</w:t>
      </w:r>
      <w:r w:rsidRPr="0046567B">
        <w:rPr>
          <w:lang w:val="fr-FR" w:bidi="fr-FR"/>
        </w:rPr>
        <w:t>électeurs inscrits est passé à environ 198 700 (dont environ 9</w:t>
      </w:r>
      <w:r w:rsidR="002A20B0" w:rsidRPr="0046567B">
        <w:rPr>
          <w:lang w:val="fr-FR" w:bidi="fr-FR"/>
        </w:rPr>
        <w:t> </w:t>
      </w:r>
      <w:r w:rsidRPr="0046567B">
        <w:rPr>
          <w:lang w:val="fr-FR" w:bidi="fr-FR"/>
        </w:rPr>
        <w:t>100</w:t>
      </w:r>
      <w:r w:rsidR="002A20B0" w:rsidRPr="0046567B">
        <w:rPr>
          <w:lang w:val="fr-FR" w:bidi="fr-FR"/>
        </w:rPr>
        <w:t xml:space="preserve"> </w:t>
      </w:r>
      <w:r w:rsidRPr="0046567B">
        <w:rPr>
          <w:lang w:val="fr-FR" w:bidi="fr-FR"/>
        </w:rPr>
        <w:t>étaient des électeurs Kaifong), dont 47,66</w:t>
      </w:r>
      <w:r w:rsidR="00FB11B3" w:rsidRPr="0046567B">
        <w:rPr>
          <w:lang w:val="fr-FR" w:bidi="fr-FR"/>
        </w:rPr>
        <w:t> %</w:t>
      </w:r>
      <w:r w:rsidRPr="0046567B">
        <w:rPr>
          <w:lang w:val="fr-FR" w:bidi="fr-FR"/>
        </w:rPr>
        <w:t xml:space="preserve"> étaient des femmes, soit près de la moitié des électeurs inscrits. Le nombre de candidates était de</w:t>
      </w:r>
      <w:r w:rsidR="002A20B0" w:rsidRPr="0046567B">
        <w:rPr>
          <w:lang w:val="fr-FR" w:bidi="fr-FR"/>
        </w:rPr>
        <w:t xml:space="preserve"> </w:t>
      </w:r>
      <w:r w:rsidRPr="0046567B">
        <w:rPr>
          <w:lang w:val="fr-FR" w:bidi="fr-FR"/>
        </w:rPr>
        <w:t>39 en</w:t>
      </w:r>
      <w:r w:rsidR="002A20B0" w:rsidRPr="0046567B">
        <w:rPr>
          <w:lang w:val="fr-FR" w:bidi="fr-FR"/>
        </w:rPr>
        <w:t xml:space="preserve"> </w:t>
      </w:r>
      <w:r w:rsidRPr="0046567B">
        <w:rPr>
          <w:lang w:val="fr-FR" w:bidi="fr-FR"/>
        </w:rPr>
        <w:t>2011 (soit 2,23</w:t>
      </w:r>
      <w:r w:rsidR="00FB11B3" w:rsidRPr="0046567B">
        <w:rPr>
          <w:lang w:val="fr-FR" w:bidi="fr-FR"/>
        </w:rPr>
        <w:t> %</w:t>
      </w:r>
      <w:r w:rsidRPr="0046567B">
        <w:rPr>
          <w:lang w:val="fr-FR" w:bidi="fr-FR"/>
        </w:rPr>
        <w:t xml:space="preserve"> du nombre total de candidats). Ce nombre a augmenté de 79</w:t>
      </w:r>
      <w:r w:rsidR="00FB11B3" w:rsidRPr="0046567B">
        <w:rPr>
          <w:lang w:val="fr-FR" w:bidi="fr-FR"/>
        </w:rPr>
        <w:t> %</w:t>
      </w:r>
      <w:r w:rsidRPr="0046567B">
        <w:rPr>
          <w:lang w:val="fr-FR" w:bidi="fr-FR"/>
        </w:rPr>
        <w:t xml:space="preserve"> pour atteindre</w:t>
      </w:r>
      <w:r w:rsidR="00FB222C" w:rsidRPr="0046567B">
        <w:rPr>
          <w:lang w:val="fr-FR" w:bidi="fr-FR"/>
        </w:rPr>
        <w:t xml:space="preserve"> </w:t>
      </w:r>
      <w:r w:rsidRPr="0046567B">
        <w:rPr>
          <w:lang w:val="fr-FR" w:bidi="fr-FR"/>
        </w:rPr>
        <w:t>70 en</w:t>
      </w:r>
      <w:r w:rsidR="00FB222C" w:rsidRPr="0046567B">
        <w:rPr>
          <w:lang w:val="fr-FR" w:bidi="fr-FR"/>
        </w:rPr>
        <w:t xml:space="preserve"> </w:t>
      </w:r>
      <w:r w:rsidRPr="0046567B">
        <w:rPr>
          <w:lang w:val="fr-FR" w:bidi="fr-FR"/>
        </w:rPr>
        <w:t>2015 (soit 3,75</w:t>
      </w:r>
      <w:r w:rsidR="00FB11B3" w:rsidRPr="0046567B">
        <w:rPr>
          <w:lang w:val="fr-FR" w:bidi="fr-FR"/>
        </w:rPr>
        <w:t> %</w:t>
      </w:r>
      <w:r w:rsidRPr="0046567B">
        <w:rPr>
          <w:lang w:val="fr-FR" w:bidi="fr-FR"/>
        </w:rPr>
        <w:t xml:space="preserve"> du nombre total de candidats). Le nombre de femmes élues lors d</w:t>
      </w:r>
      <w:r w:rsidR="00FB11B3" w:rsidRPr="0046567B">
        <w:rPr>
          <w:lang w:val="fr-FR" w:bidi="fr-FR"/>
        </w:rPr>
        <w:t>’</w:t>
      </w:r>
      <w:r w:rsidRPr="0046567B">
        <w:rPr>
          <w:lang w:val="fr-FR" w:bidi="fr-FR"/>
        </w:rPr>
        <w:t>élections rurales est passé de</w:t>
      </w:r>
      <w:r w:rsidR="00FB222C" w:rsidRPr="0046567B">
        <w:rPr>
          <w:lang w:val="fr-FR" w:bidi="fr-FR"/>
        </w:rPr>
        <w:t xml:space="preserve"> </w:t>
      </w:r>
      <w:r w:rsidRPr="0046567B">
        <w:rPr>
          <w:lang w:val="fr-FR" w:bidi="fr-FR"/>
        </w:rPr>
        <w:t>30 en</w:t>
      </w:r>
      <w:r w:rsidR="00FB222C" w:rsidRPr="0046567B">
        <w:rPr>
          <w:lang w:val="fr-FR" w:bidi="fr-FR"/>
        </w:rPr>
        <w:t xml:space="preserve"> </w:t>
      </w:r>
      <w:r w:rsidRPr="0046567B">
        <w:rPr>
          <w:lang w:val="fr-FR" w:bidi="fr-FR"/>
        </w:rPr>
        <w:t>2011 à</w:t>
      </w:r>
      <w:r w:rsidR="00FB222C" w:rsidRPr="0046567B">
        <w:rPr>
          <w:lang w:val="fr-FR" w:bidi="fr-FR"/>
        </w:rPr>
        <w:t xml:space="preserve"> </w:t>
      </w:r>
      <w:r w:rsidRPr="0046567B">
        <w:rPr>
          <w:lang w:val="fr-FR" w:bidi="fr-FR"/>
        </w:rPr>
        <w:t>49 en</w:t>
      </w:r>
      <w:r w:rsidR="00FB222C" w:rsidRPr="0046567B">
        <w:rPr>
          <w:lang w:val="fr-FR" w:bidi="fr-FR"/>
        </w:rPr>
        <w:t xml:space="preserve"> </w:t>
      </w:r>
      <w:r w:rsidRPr="0046567B">
        <w:rPr>
          <w:lang w:val="fr-FR" w:bidi="fr-FR"/>
        </w:rPr>
        <w:t>2015, soit une augmentation de 63</w:t>
      </w:r>
      <w:r w:rsidR="00FB11B3" w:rsidRPr="0046567B">
        <w:rPr>
          <w:lang w:val="fr-FR" w:bidi="fr-FR"/>
        </w:rPr>
        <w:t> %</w:t>
      </w:r>
      <w:r w:rsidRPr="0046567B">
        <w:rPr>
          <w:lang w:val="fr-FR" w:bidi="fr-FR"/>
        </w:rPr>
        <w:t>.</w:t>
      </w:r>
    </w:p>
    <w:p w14:paraId="30E87EA2" w14:textId="162E19AF"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 Gouvernement poursuivra ses efforts pour encourager les personnes éligibles des deux sexes à s</w:t>
      </w:r>
      <w:r w:rsidR="00FB11B3" w:rsidRPr="0046567B">
        <w:rPr>
          <w:lang w:val="fr-FR" w:bidi="fr-FR"/>
        </w:rPr>
        <w:t>’</w:t>
      </w:r>
      <w:r w:rsidRPr="0046567B">
        <w:rPr>
          <w:lang w:val="fr-FR" w:bidi="fr-FR"/>
        </w:rPr>
        <w:t>inscrire comme électeurs et à participer aux élections en tant que candidats. Nous renforcerons la communication pour encourager la participation des femmes aux prochaines élections rurales ordinaires qui auront lieu en</w:t>
      </w:r>
      <w:r w:rsidR="00FB222C" w:rsidRPr="0046567B">
        <w:rPr>
          <w:lang w:val="fr-FR" w:bidi="fr-FR"/>
        </w:rPr>
        <w:t xml:space="preserve"> </w:t>
      </w:r>
      <w:r w:rsidRPr="0046567B">
        <w:rPr>
          <w:lang w:val="fr-FR" w:bidi="fr-FR"/>
        </w:rPr>
        <w:t>2019. Nous suivrons également de près le nombre de candidates et le nombre de représentantes rurales élues.</w:t>
      </w:r>
    </w:p>
    <w:p w14:paraId="1949208B" w14:textId="25723D54" w:rsidR="009E2F8B" w:rsidRPr="0046567B" w:rsidRDefault="009E2F8B" w:rsidP="009E2F8B">
      <w:pPr>
        <w:pStyle w:val="SingleTxt"/>
        <w:spacing w:after="0" w:line="120" w:lineRule="exact"/>
        <w:rPr>
          <w:sz w:val="10"/>
          <w:lang w:val="fr-FR" w:bidi="fr-FR"/>
        </w:rPr>
      </w:pPr>
    </w:p>
    <w:p w14:paraId="2AA78846" w14:textId="7823A737" w:rsidR="009E2F8B" w:rsidRPr="0046567B" w:rsidRDefault="009E2F8B" w:rsidP="009E2F8B">
      <w:pPr>
        <w:pStyle w:val="SingleTxt"/>
        <w:spacing w:after="0" w:line="120" w:lineRule="exact"/>
        <w:rPr>
          <w:sz w:val="10"/>
          <w:lang w:val="fr-FR"/>
        </w:rPr>
      </w:pPr>
    </w:p>
    <w:p w14:paraId="624EE856" w14:textId="15488583" w:rsidR="00FC36AA" w:rsidRPr="0046567B" w:rsidRDefault="00FC36AA" w:rsidP="009E2F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15 </w:t>
      </w:r>
      <w:r w:rsidR="008373EE" w:rsidRPr="0046567B">
        <w:rPr>
          <w:lang w:val="fr-FR" w:bidi="fr-FR"/>
        </w:rPr>
        <w:t>–</w:t>
      </w:r>
      <w:r w:rsidRPr="0046567B">
        <w:rPr>
          <w:lang w:val="fr-FR" w:bidi="fr-FR"/>
        </w:rPr>
        <w:t xml:space="preserve"> Égalité des droits en matière civile</w:t>
      </w:r>
    </w:p>
    <w:p w14:paraId="17E31F1F" w14:textId="7F2DABC5" w:rsidR="009E2F8B" w:rsidRPr="0046567B" w:rsidRDefault="009E2F8B" w:rsidP="009E2F8B">
      <w:pPr>
        <w:pStyle w:val="SingleTxt"/>
        <w:spacing w:after="0" w:line="120" w:lineRule="exact"/>
        <w:rPr>
          <w:sz w:val="10"/>
          <w:lang w:val="fr-FR" w:bidi="fr-FR"/>
        </w:rPr>
      </w:pPr>
    </w:p>
    <w:p w14:paraId="162397A9" w14:textId="6E7DE1DE" w:rsidR="009E2F8B" w:rsidRPr="0046567B" w:rsidRDefault="009E2F8B" w:rsidP="009E2F8B">
      <w:pPr>
        <w:pStyle w:val="SingleTxt"/>
        <w:spacing w:after="0" w:line="120" w:lineRule="exact"/>
        <w:rPr>
          <w:sz w:val="10"/>
          <w:lang w:val="fr-FR" w:bidi="fr-FR"/>
        </w:rPr>
      </w:pPr>
    </w:p>
    <w:p w14:paraId="08342322" w14:textId="5D749688"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Réserves</w:t>
      </w:r>
    </w:p>
    <w:p w14:paraId="5CBFC72E" w14:textId="44491F81" w:rsidR="009E2F8B" w:rsidRPr="0046567B" w:rsidRDefault="009E2F8B" w:rsidP="009E2F8B">
      <w:pPr>
        <w:pStyle w:val="SingleTxt"/>
        <w:spacing w:after="0" w:line="120" w:lineRule="exact"/>
        <w:rPr>
          <w:sz w:val="10"/>
          <w:lang w:val="fr-FR" w:bidi="fr-FR"/>
        </w:rPr>
      </w:pPr>
    </w:p>
    <w:p w14:paraId="444A7201" w14:textId="7704578B" w:rsidR="009E2F8B" w:rsidRPr="0046567B" w:rsidRDefault="009E2F8B" w:rsidP="009E2F8B">
      <w:pPr>
        <w:pStyle w:val="SingleTxt"/>
        <w:spacing w:after="0" w:line="120" w:lineRule="exact"/>
        <w:rPr>
          <w:sz w:val="10"/>
          <w:lang w:val="fr-FR" w:bidi="fr-FR"/>
        </w:rPr>
      </w:pPr>
    </w:p>
    <w:p w14:paraId="53347471" w14:textId="28C4920C"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Les réserves formulées à l</w:t>
      </w:r>
      <w:r w:rsidR="00FB11B3" w:rsidRPr="0046567B">
        <w:rPr>
          <w:lang w:val="fr-FR" w:bidi="fr-FR"/>
        </w:rPr>
        <w:t>’</w:t>
      </w:r>
      <w:r w:rsidRPr="0046567B">
        <w:rPr>
          <w:lang w:val="fr-FR" w:bidi="fr-FR"/>
        </w:rPr>
        <w:t xml:space="preserve">égard de cet article sont </w:t>
      </w:r>
      <w:r w:rsidRPr="0046567B">
        <w:rPr>
          <w:rFonts w:hint="eastAsia"/>
          <w:lang w:val="fr-FR" w:bidi="fr-FR"/>
        </w:rPr>
        <w:t>maintenues</w:t>
      </w:r>
      <w:r w:rsidRPr="0046567B">
        <w:rPr>
          <w:lang w:val="fr-FR" w:bidi="fr-FR"/>
        </w:rPr>
        <w:t>.</w:t>
      </w:r>
    </w:p>
    <w:p w14:paraId="1E63E985" w14:textId="2CBFED01"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Statut juridique et droits civils des femmes</w:t>
      </w:r>
    </w:p>
    <w:p w14:paraId="59F3F96E" w14:textId="7FB4E865" w:rsidR="009E2F8B" w:rsidRPr="0046567B" w:rsidRDefault="009E2F8B" w:rsidP="009E2F8B">
      <w:pPr>
        <w:pStyle w:val="SingleTxt"/>
        <w:spacing w:after="0" w:line="120" w:lineRule="exact"/>
        <w:rPr>
          <w:sz w:val="10"/>
          <w:lang w:val="fr-FR" w:bidi="fr-FR"/>
        </w:rPr>
      </w:pPr>
    </w:p>
    <w:p w14:paraId="5A44590F" w14:textId="0B1983B9" w:rsidR="009E2F8B" w:rsidRPr="0046567B" w:rsidRDefault="009E2F8B" w:rsidP="009E2F8B">
      <w:pPr>
        <w:pStyle w:val="SingleTxt"/>
        <w:spacing w:after="0" w:line="120" w:lineRule="exact"/>
        <w:rPr>
          <w:sz w:val="10"/>
          <w:lang w:val="fr-FR" w:bidi="fr-FR"/>
        </w:rPr>
      </w:pPr>
    </w:p>
    <w:p w14:paraId="7A025E51" w14:textId="65A6B603"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Tous les droits reconnus dans la Déclaration des droits, tels qu</w:t>
      </w:r>
      <w:r w:rsidR="00FB11B3" w:rsidRPr="0046567B">
        <w:rPr>
          <w:lang w:val="fr-FR" w:bidi="fr-FR"/>
        </w:rPr>
        <w:t>’</w:t>
      </w:r>
      <w:r w:rsidRPr="0046567B">
        <w:rPr>
          <w:lang w:val="fr-FR" w:bidi="fr-FR"/>
        </w:rPr>
        <w:t>énoncés dans la Loi fondamentale et la Déclaration des droits de Hong Kong, sont exercés par chacun et chacune, sans distinction d</w:t>
      </w:r>
      <w:r w:rsidR="00FB11B3" w:rsidRPr="0046567B">
        <w:rPr>
          <w:lang w:val="fr-FR" w:bidi="fr-FR"/>
        </w:rPr>
        <w:t>’</w:t>
      </w:r>
      <w:r w:rsidRPr="0046567B">
        <w:rPr>
          <w:lang w:val="fr-FR" w:bidi="fr-FR"/>
        </w:rPr>
        <w:t>aucune sorte, y compris de sexe.</w:t>
      </w:r>
    </w:p>
    <w:p w14:paraId="61B690CB" w14:textId="33DDA998" w:rsidR="009E2F8B" w:rsidRPr="0046567B" w:rsidRDefault="009E2F8B" w:rsidP="009E2F8B">
      <w:pPr>
        <w:pStyle w:val="SingleTxt"/>
        <w:spacing w:after="0" w:line="120" w:lineRule="exact"/>
        <w:rPr>
          <w:sz w:val="10"/>
          <w:lang w:val="fr-FR" w:bidi="fr-FR"/>
        </w:rPr>
      </w:pPr>
    </w:p>
    <w:p w14:paraId="47E942CF" w14:textId="16EB67AF" w:rsidR="00FC36AA" w:rsidRPr="0046567B" w:rsidRDefault="00FC36AA" w:rsidP="009E2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 droit des femmes à conclure des contrats en leur nom propre et à administrer des biens</w:t>
      </w:r>
    </w:p>
    <w:p w14:paraId="5FF560E4" w14:textId="6392ED22" w:rsidR="009E2F8B" w:rsidRPr="0046567B" w:rsidRDefault="009E2F8B" w:rsidP="009E2F8B">
      <w:pPr>
        <w:pStyle w:val="SingleTxt"/>
        <w:keepNext/>
        <w:keepLines/>
        <w:spacing w:after="0" w:line="120" w:lineRule="exact"/>
        <w:rPr>
          <w:sz w:val="10"/>
          <w:lang w:val="fr-FR" w:bidi="fr-FR"/>
        </w:rPr>
      </w:pPr>
    </w:p>
    <w:p w14:paraId="5AB4E2ED" w14:textId="17CD8C91" w:rsidR="00FC36AA" w:rsidRPr="0046567B" w:rsidRDefault="00FC36AA" w:rsidP="009E2F8B">
      <w:pPr>
        <w:pStyle w:val="SingleTxt"/>
        <w:keepNext/>
        <w:keepLines/>
        <w:numPr>
          <w:ilvl w:val="0"/>
          <w:numId w:val="33"/>
        </w:numPr>
        <w:spacing w:line="240" w:lineRule="exact"/>
        <w:ind w:left="1267" w:firstLine="0"/>
        <w:rPr>
          <w:lang w:val="fr-FR"/>
        </w:rPr>
      </w:pPr>
      <w:r w:rsidRPr="0046567B">
        <w:rPr>
          <w:lang w:val="fr-FR" w:bidi="fr-FR"/>
        </w:rPr>
        <w:t>La position du Gouvernement concernant le droit des femmes à conclure des contrats en leur nom propre et à administrer des biens, telle que mentionnée au paragraphe 315 de la partie</w:t>
      </w:r>
      <w:r w:rsidR="002A20B0" w:rsidRPr="0046567B">
        <w:rPr>
          <w:lang w:val="fr-FR" w:bidi="fr-FR"/>
        </w:rPr>
        <w:t xml:space="preserve"> </w:t>
      </w:r>
      <w:r w:rsidRPr="0046567B">
        <w:rPr>
          <w:lang w:val="fr-FR" w:bidi="fr-FR"/>
        </w:rPr>
        <w:t>II du deuxième rapport, demeure inchangée.</w:t>
      </w:r>
    </w:p>
    <w:p w14:paraId="3B19E5CA" w14:textId="6B91413C" w:rsidR="009E2F8B" w:rsidRPr="0046567B" w:rsidRDefault="009E2F8B" w:rsidP="009E2F8B">
      <w:pPr>
        <w:pStyle w:val="SingleTxt"/>
        <w:keepNext/>
        <w:keepLines/>
        <w:spacing w:after="0" w:line="120" w:lineRule="exact"/>
        <w:rPr>
          <w:sz w:val="10"/>
          <w:lang w:val="fr-FR" w:bidi="fr-FR"/>
        </w:rPr>
      </w:pPr>
    </w:p>
    <w:p w14:paraId="6872953B" w14:textId="13C24E38" w:rsidR="00FC36AA" w:rsidRPr="0046567B" w:rsidRDefault="00FC36AA" w:rsidP="009E2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Traitement des femmes devant les tribunaux</w:t>
      </w:r>
    </w:p>
    <w:p w14:paraId="203F70E5" w14:textId="3CDABDA9" w:rsidR="009E2F8B" w:rsidRPr="0046567B" w:rsidRDefault="009E2F8B" w:rsidP="009E2F8B">
      <w:pPr>
        <w:pStyle w:val="SingleTxt"/>
        <w:spacing w:after="0" w:line="120" w:lineRule="exact"/>
        <w:rPr>
          <w:sz w:val="10"/>
          <w:lang w:val="fr-FR" w:bidi="fr-FR"/>
        </w:rPr>
      </w:pPr>
    </w:p>
    <w:p w14:paraId="0ED3F14C" w14:textId="5B38052D"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D</w:t>
      </w:r>
      <w:r w:rsidR="00FB11B3" w:rsidRPr="0046567B">
        <w:rPr>
          <w:lang w:val="fr-FR" w:bidi="fr-FR"/>
        </w:rPr>
        <w:t>’</w:t>
      </w:r>
      <w:r w:rsidRPr="0046567B">
        <w:rPr>
          <w:lang w:val="fr-FR" w:bidi="fr-FR"/>
        </w:rPr>
        <w:t>une manière générale, on note que les femmes ne sont pas traitées moins favorablement que les hommes devant les tribunaux en raison de leur sexe. En ce qui concerne les mesures en vigueur pour permettre aux femmes de témoigner dans les affaires d</w:t>
      </w:r>
      <w:r w:rsidR="00FB11B3" w:rsidRPr="0046567B">
        <w:rPr>
          <w:lang w:val="fr-FR" w:bidi="fr-FR"/>
        </w:rPr>
        <w:t>’</w:t>
      </w:r>
      <w:r w:rsidRPr="0046567B">
        <w:rPr>
          <w:lang w:val="fr-FR" w:bidi="fr-FR"/>
        </w:rPr>
        <w:t>infractions sexuelles devant les tribunaux, il conviendra de se reporter à l</w:t>
      </w:r>
      <w:r w:rsidR="00FB11B3" w:rsidRPr="0046567B">
        <w:rPr>
          <w:lang w:val="fr-FR" w:bidi="fr-FR"/>
        </w:rPr>
        <w:t>’</w:t>
      </w:r>
      <w:r w:rsidRPr="0046567B">
        <w:rPr>
          <w:lang w:val="fr-FR" w:bidi="fr-FR"/>
        </w:rPr>
        <w:t>article</w:t>
      </w:r>
      <w:r w:rsidR="00FB222C" w:rsidRPr="0046567B">
        <w:rPr>
          <w:lang w:val="fr-FR" w:bidi="fr-FR"/>
        </w:rPr>
        <w:t xml:space="preserve"> </w:t>
      </w:r>
      <w:r w:rsidRPr="0046567B">
        <w:rPr>
          <w:lang w:val="fr-FR" w:bidi="fr-FR"/>
        </w:rPr>
        <w:t>5.</w:t>
      </w:r>
    </w:p>
    <w:p w14:paraId="3D7AD348" w14:textId="2C084394" w:rsidR="009E2F8B" w:rsidRPr="0046567B" w:rsidRDefault="009E2F8B" w:rsidP="009E2F8B">
      <w:pPr>
        <w:pStyle w:val="SingleTxt"/>
        <w:spacing w:after="0" w:line="120" w:lineRule="exact"/>
        <w:rPr>
          <w:sz w:val="10"/>
          <w:lang w:val="fr-FR" w:bidi="fr-FR"/>
        </w:rPr>
      </w:pPr>
    </w:p>
    <w:p w14:paraId="73DCA38F" w14:textId="4738DCF1" w:rsidR="00FC36AA" w:rsidRPr="0046567B" w:rsidRDefault="00FC36AA" w:rsidP="009E2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Accès à l</w:t>
      </w:r>
      <w:r w:rsidR="00FB11B3" w:rsidRPr="0046567B">
        <w:rPr>
          <w:lang w:val="fr-FR" w:bidi="fr-FR"/>
        </w:rPr>
        <w:t>’</w:t>
      </w:r>
      <w:r w:rsidRPr="0046567B">
        <w:rPr>
          <w:lang w:val="fr-FR" w:bidi="fr-FR"/>
        </w:rPr>
        <w:t>aide judiciaire</w:t>
      </w:r>
    </w:p>
    <w:p w14:paraId="70E2C757" w14:textId="47063BDB" w:rsidR="009E2F8B" w:rsidRPr="0046567B" w:rsidRDefault="009E2F8B" w:rsidP="009E2F8B">
      <w:pPr>
        <w:pStyle w:val="SingleTxt"/>
        <w:spacing w:after="0" w:line="120" w:lineRule="exact"/>
        <w:rPr>
          <w:sz w:val="10"/>
          <w:lang w:val="fr-FR" w:bidi="fr-FR"/>
        </w:rPr>
      </w:pPr>
    </w:p>
    <w:p w14:paraId="727B9291" w14:textId="2C1BA712"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Afin de garantir aux personnes qui ont des motifs légitimes d</w:t>
      </w:r>
      <w:r w:rsidR="00FB11B3" w:rsidRPr="0046567B">
        <w:rPr>
          <w:lang w:val="fr-FR" w:bidi="fr-FR"/>
        </w:rPr>
        <w:t>’</w:t>
      </w:r>
      <w:r w:rsidRPr="0046567B">
        <w:rPr>
          <w:lang w:val="fr-FR" w:bidi="fr-FR"/>
        </w:rPr>
        <w:t xml:space="preserve">engager une procédure en justice </w:t>
      </w:r>
      <w:r w:rsidRPr="0046567B">
        <w:rPr>
          <w:rFonts w:hint="eastAsia"/>
          <w:lang w:val="fr-FR" w:bidi="fr-FR"/>
        </w:rPr>
        <w:t>en dépit</w:t>
      </w:r>
      <w:r w:rsidRPr="0046567B">
        <w:rPr>
          <w:lang w:val="fr-FR" w:bidi="fr-FR"/>
        </w:rPr>
        <w:t xml:space="preserve"> de leur situation de fortune, un service d</w:t>
      </w:r>
      <w:r w:rsidR="00FB11B3" w:rsidRPr="0046567B">
        <w:rPr>
          <w:lang w:val="fr-FR" w:bidi="fr-FR"/>
        </w:rPr>
        <w:t>’</w:t>
      </w:r>
      <w:r w:rsidRPr="0046567B">
        <w:rPr>
          <w:lang w:val="fr-FR" w:bidi="fr-FR"/>
        </w:rPr>
        <w:t>aide judiciaire financé par l</w:t>
      </w:r>
      <w:r w:rsidR="00FB11B3" w:rsidRPr="0046567B">
        <w:rPr>
          <w:lang w:val="fr-FR" w:bidi="fr-FR"/>
        </w:rPr>
        <w:t>’</w:t>
      </w:r>
      <w:r w:rsidRPr="0046567B">
        <w:rPr>
          <w:lang w:val="fr-FR" w:bidi="fr-FR"/>
        </w:rPr>
        <w:t>État est ouvert aux personnes qui satisfont à des conditions de ressources et qui justifient du bien-fondé de la demande, comme énoncé dans l</w:t>
      </w:r>
      <w:r w:rsidR="00FB11B3" w:rsidRPr="0046567B">
        <w:rPr>
          <w:lang w:val="fr-FR" w:bidi="fr-FR"/>
        </w:rPr>
        <w:t>’</w:t>
      </w:r>
      <w:r w:rsidRPr="0046567B">
        <w:rPr>
          <w:lang w:val="fr-FR" w:bidi="fr-FR"/>
        </w:rPr>
        <w:t>ordonnance sur l</w:t>
      </w:r>
      <w:r w:rsidR="00FB11B3" w:rsidRPr="0046567B">
        <w:rPr>
          <w:lang w:val="fr-FR" w:bidi="fr-FR"/>
        </w:rPr>
        <w:t>’</w:t>
      </w:r>
      <w:r w:rsidRPr="0046567B">
        <w:rPr>
          <w:lang w:val="fr-FR" w:bidi="fr-FR"/>
        </w:rPr>
        <w:t>aide judiciaire (chap. 91), qu</w:t>
      </w:r>
      <w:r w:rsidR="00FB11B3" w:rsidRPr="0046567B">
        <w:rPr>
          <w:lang w:val="fr-FR" w:bidi="fr-FR"/>
        </w:rPr>
        <w:t>’</w:t>
      </w:r>
      <w:r w:rsidRPr="0046567B">
        <w:rPr>
          <w:lang w:val="fr-FR" w:bidi="fr-FR"/>
        </w:rPr>
        <w:t>ils soient ou non résidents de Hong Kong. En</w:t>
      </w:r>
      <w:r w:rsidR="002A20B0" w:rsidRPr="0046567B">
        <w:rPr>
          <w:lang w:val="fr-FR" w:bidi="fr-FR"/>
        </w:rPr>
        <w:t xml:space="preserve"> </w:t>
      </w:r>
      <w:r w:rsidRPr="0046567B">
        <w:rPr>
          <w:lang w:val="fr-FR" w:bidi="fr-FR"/>
        </w:rPr>
        <w:t>2017, 41</w:t>
      </w:r>
      <w:r w:rsidR="00FB11B3" w:rsidRPr="0046567B">
        <w:rPr>
          <w:lang w:val="fr-FR" w:bidi="fr-FR"/>
        </w:rPr>
        <w:t> %</w:t>
      </w:r>
      <w:r w:rsidRPr="0046567B">
        <w:rPr>
          <w:lang w:val="fr-FR" w:bidi="fr-FR"/>
        </w:rPr>
        <w:t xml:space="preserve"> des 8</w:t>
      </w:r>
      <w:r w:rsidR="002A20B0" w:rsidRPr="0046567B">
        <w:rPr>
          <w:lang w:val="fr-FR" w:bidi="fr-FR"/>
        </w:rPr>
        <w:t xml:space="preserve"> </w:t>
      </w:r>
      <w:r w:rsidRPr="0046567B">
        <w:rPr>
          <w:lang w:val="fr-FR" w:bidi="fr-FR"/>
        </w:rPr>
        <w:t>559 femmes ayant déposé une demande ont obtenu une aide judiciaire, contre 46</w:t>
      </w:r>
      <w:r w:rsidR="00FB11B3" w:rsidRPr="0046567B">
        <w:rPr>
          <w:lang w:val="fr-FR" w:bidi="fr-FR"/>
        </w:rPr>
        <w:t> %</w:t>
      </w:r>
      <w:r w:rsidRPr="0046567B">
        <w:rPr>
          <w:lang w:val="fr-FR" w:bidi="fr-FR"/>
        </w:rPr>
        <w:t xml:space="preserve"> des 10</w:t>
      </w:r>
      <w:r w:rsidR="00FB222C" w:rsidRPr="0046567B">
        <w:rPr>
          <w:lang w:val="fr-FR" w:bidi="fr-FR"/>
        </w:rPr>
        <w:t> </w:t>
      </w:r>
      <w:r w:rsidRPr="0046567B">
        <w:rPr>
          <w:lang w:val="fr-FR" w:bidi="fr-FR"/>
        </w:rPr>
        <w:t>285</w:t>
      </w:r>
      <w:r w:rsidR="00FB222C" w:rsidRPr="0046567B">
        <w:rPr>
          <w:lang w:val="fr-FR" w:bidi="fr-FR"/>
        </w:rPr>
        <w:t xml:space="preserve"> </w:t>
      </w:r>
      <w:r w:rsidRPr="0046567B">
        <w:rPr>
          <w:rFonts w:hint="eastAsia"/>
          <w:lang w:val="fr-FR" w:bidi="fr-FR"/>
        </w:rPr>
        <w:t>hommes</w:t>
      </w:r>
      <w:r w:rsidRPr="0046567B">
        <w:rPr>
          <w:lang w:val="fr-FR" w:bidi="fr-FR"/>
        </w:rPr>
        <w:t>.</w:t>
      </w:r>
    </w:p>
    <w:p w14:paraId="511A9BAB" w14:textId="04D2C73E" w:rsidR="009E2F8B" w:rsidRPr="0046567B" w:rsidRDefault="009E2F8B" w:rsidP="009E2F8B">
      <w:pPr>
        <w:pStyle w:val="SingleTxt"/>
        <w:spacing w:after="0" w:line="120" w:lineRule="exact"/>
        <w:rPr>
          <w:sz w:val="10"/>
          <w:lang w:val="fr-FR" w:bidi="fr-FR"/>
        </w:rPr>
      </w:pPr>
    </w:p>
    <w:p w14:paraId="09B2BAFE" w14:textId="65162E4B" w:rsidR="00FC36AA" w:rsidRPr="0046567B" w:rsidRDefault="00FC36AA" w:rsidP="009E2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Divers</w:t>
      </w:r>
    </w:p>
    <w:p w14:paraId="1EFAEC2F" w14:textId="1B4380FF" w:rsidR="009E2F8B" w:rsidRPr="0046567B" w:rsidRDefault="009E2F8B" w:rsidP="009E2F8B">
      <w:pPr>
        <w:pStyle w:val="SingleTxt"/>
        <w:spacing w:after="0" w:line="120" w:lineRule="exact"/>
        <w:rPr>
          <w:sz w:val="10"/>
          <w:lang w:val="fr-FR" w:bidi="fr-FR"/>
        </w:rPr>
      </w:pPr>
    </w:p>
    <w:p w14:paraId="28BC4E8F" w14:textId="5EEFCAEF"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Comme indiqué au paragraphe</w:t>
      </w:r>
      <w:r w:rsidR="00FB222C" w:rsidRPr="0046567B">
        <w:rPr>
          <w:lang w:val="fr-FR" w:bidi="fr-FR"/>
        </w:rPr>
        <w:t xml:space="preserve"> </w:t>
      </w:r>
      <w:r w:rsidRPr="0046567B">
        <w:rPr>
          <w:lang w:val="fr-FR" w:bidi="fr-FR"/>
        </w:rPr>
        <w:t>46 du rapport précédent, les femmes et les hommes éligibles ont le droit de servir en qualité de juré étant donné que l</w:t>
      </w:r>
      <w:r w:rsidR="00FB11B3" w:rsidRPr="0046567B">
        <w:rPr>
          <w:lang w:val="fr-FR" w:bidi="fr-FR"/>
        </w:rPr>
        <w:t>’</w:t>
      </w:r>
      <w:r w:rsidRPr="0046567B">
        <w:rPr>
          <w:lang w:val="fr-FR" w:bidi="fr-FR"/>
        </w:rPr>
        <w:t>ordonnance relative aux jurys (chap. 3) ne comporte aucune restriction concernant la participation des femmes à un jury. Au 31</w:t>
      </w:r>
      <w:r w:rsidR="002A20B0" w:rsidRPr="0046567B">
        <w:rPr>
          <w:lang w:val="fr-FR" w:bidi="fr-FR"/>
        </w:rPr>
        <w:t xml:space="preserve"> </w:t>
      </w:r>
      <w:r w:rsidRPr="0046567B">
        <w:rPr>
          <w:lang w:val="fr-FR" w:bidi="fr-FR"/>
        </w:rPr>
        <w:t>mars</w:t>
      </w:r>
      <w:r w:rsidR="002A20B0" w:rsidRPr="0046567B">
        <w:rPr>
          <w:lang w:val="fr-FR" w:bidi="fr-FR"/>
        </w:rPr>
        <w:t xml:space="preserve"> </w:t>
      </w:r>
      <w:r w:rsidRPr="0046567B">
        <w:rPr>
          <w:lang w:val="fr-FR" w:bidi="fr-FR"/>
        </w:rPr>
        <w:t>2018, la liste commune des jurés comptait 750</w:t>
      </w:r>
      <w:r w:rsidR="002A20B0" w:rsidRPr="0046567B">
        <w:rPr>
          <w:lang w:val="fr-FR" w:bidi="fr-FR"/>
        </w:rPr>
        <w:t xml:space="preserve"> </w:t>
      </w:r>
      <w:r w:rsidRPr="0046567B">
        <w:rPr>
          <w:lang w:val="fr-FR" w:bidi="fr-FR"/>
        </w:rPr>
        <w:t>587</w:t>
      </w:r>
      <w:r w:rsidR="002A20B0" w:rsidRPr="0046567B">
        <w:rPr>
          <w:lang w:val="fr-FR" w:bidi="fr-FR"/>
        </w:rPr>
        <w:t xml:space="preserve"> </w:t>
      </w:r>
      <w:r w:rsidRPr="0046567B">
        <w:rPr>
          <w:lang w:val="fr-FR" w:bidi="fr-FR"/>
        </w:rPr>
        <w:t>personnes, dont 382</w:t>
      </w:r>
      <w:r w:rsidR="002A20B0" w:rsidRPr="0046567B">
        <w:rPr>
          <w:lang w:val="fr-FR" w:bidi="fr-FR"/>
        </w:rPr>
        <w:t xml:space="preserve"> </w:t>
      </w:r>
      <w:r w:rsidRPr="0046567B">
        <w:rPr>
          <w:lang w:val="fr-FR" w:bidi="fr-FR"/>
        </w:rPr>
        <w:t>094</w:t>
      </w:r>
      <w:r w:rsidR="002A20B0" w:rsidRPr="0046567B">
        <w:rPr>
          <w:lang w:val="fr-FR" w:bidi="fr-FR"/>
        </w:rPr>
        <w:t xml:space="preserve"> </w:t>
      </w:r>
      <w:r w:rsidRPr="0046567B">
        <w:rPr>
          <w:lang w:val="fr-FR" w:bidi="fr-FR"/>
        </w:rPr>
        <w:t>femmes (51</w:t>
      </w:r>
      <w:r w:rsidR="00FB11B3" w:rsidRPr="0046567B">
        <w:rPr>
          <w:lang w:val="fr-FR" w:bidi="fr-FR"/>
        </w:rPr>
        <w:t> %</w:t>
      </w:r>
      <w:r w:rsidRPr="0046567B">
        <w:rPr>
          <w:lang w:val="fr-FR" w:bidi="fr-FR"/>
        </w:rPr>
        <w:t>).</w:t>
      </w:r>
    </w:p>
    <w:p w14:paraId="7C0ED55B" w14:textId="601C01B6" w:rsidR="009E2F8B" w:rsidRPr="0046567B" w:rsidRDefault="009E2F8B" w:rsidP="009E2F8B">
      <w:pPr>
        <w:pStyle w:val="SingleTxt"/>
        <w:spacing w:after="0" w:line="120" w:lineRule="exact"/>
        <w:rPr>
          <w:sz w:val="10"/>
          <w:lang w:val="fr-FR" w:bidi="fr-FR"/>
        </w:rPr>
      </w:pPr>
    </w:p>
    <w:p w14:paraId="2D7A947C" w14:textId="529F2C11" w:rsidR="009E2F8B" w:rsidRPr="0046567B" w:rsidRDefault="009E2F8B" w:rsidP="009E2F8B">
      <w:pPr>
        <w:pStyle w:val="SingleTxt"/>
        <w:spacing w:after="0" w:line="120" w:lineRule="exact"/>
        <w:rPr>
          <w:sz w:val="10"/>
          <w:lang w:val="fr-FR"/>
        </w:rPr>
      </w:pPr>
    </w:p>
    <w:p w14:paraId="5B1E84D6" w14:textId="5C79A084"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Nomination des femmes dans le système judiciaire</w:t>
      </w:r>
    </w:p>
    <w:p w14:paraId="410FDC8B" w14:textId="188C8C40" w:rsidR="009E2F8B" w:rsidRPr="0046567B" w:rsidRDefault="009E2F8B" w:rsidP="009E2F8B">
      <w:pPr>
        <w:pStyle w:val="SingleTxt"/>
        <w:spacing w:after="0" w:line="120" w:lineRule="exact"/>
        <w:rPr>
          <w:sz w:val="10"/>
          <w:lang w:val="fr-FR" w:bidi="fr-FR"/>
        </w:rPr>
      </w:pPr>
    </w:p>
    <w:p w14:paraId="62ED3F3A" w14:textId="429F74F4" w:rsidR="009E2F8B" w:rsidRPr="0046567B" w:rsidRDefault="009E2F8B" w:rsidP="009E2F8B">
      <w:pPr>
        <w:pStyle w:val="SingleTxt"/>
        <w:spacing w:after="0" w:line="120" w:lineRule="exact"/>
        <w:rPr>
          <w:sz w:val="10"/>
          <w:lang w:val="fr-FR" w:bidi="fr-FR"/>
        </w:rPr>
      </w:pPr>
    </w:p>
    <w:p w14:paraId="3CDAEB1F" w14:textId="70801EC7"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Le genre ne constitue pas une considération pertinente dans les nominations judiciaires. Au 31</w:t>
      </w:r>
      <w:r w:rsidR="002A20B0" w:rsidRPr="0046567B">
        <w:rPr>
          <w:lang w:val="fr-FR" w:bidi="fr-FR"/>
        </w:rPr>
        <w:t xml:space="preserve"> </w:t>
      </w:r>
      <w:r w:rsidRPr="0046567B">
        <w:rPr>
          <w:lang w:val="fr-FR" w:bidi="fr-FR"/>
        </w:rPr>
        <w:t>mars</w:t>
      </w:r>
      <w:r w:rsidR="002A20B0" w:rsidRPr="0046567B">
        <w:rPr>
          <w:lang w:val="fr-FR" w:bidi="fr-FR"/>
        </w:rPr>
        <w:t xml:space="preserve"> </w:t>
      </w:r>
      <w:r w:rsidRPr="0046567B">
        <w:rPr>
          <w:lang w:val="fr-FR" w:bidi="fr-FR"/>
        </w:rPr>
        <w:t>2018, on comptait 54</w:t>
      </w:r>
      <w:r w:rsidR="00FB222C" w:rsidRPr="0046567B">
        <w:rPr>
          <w:lang w:val="fr-FR" w:bidi="fr-FR"/>
        </w:rPr>
        <w:t xml:space="preserve"> </w:t>
      </w:r>
      <w:r w:rsidRPr="0046567B">
        <w:rPr>
          <w:lang w:val="fr-FR" w:bidi="fr-FR"/>
        </w:rPr>
        <w:t>femmes (33</w:t>
      </w:r>
      <w:r w:rsidR="00FB11B3" w:rsidRPr="0046567B">
        <w:rPr>
          <w:lang w:val="fr-FR" w:bidi="fr-FR"/>
        </w:rPr>
        <w:t> %</w:t>
      </w:r>
      <w:r w:rsidRPr="0046567B">
        <w:rPr>
          <w:lang w:val="fr-FR" w:bidi="fr-FR"/>
        </w:rPr>
        <w:t>) sur un total de 164 </w:t>
      </w:r>
      <w:r w:rsidRPr="0046567B">
        <w:rPr>
          <w:rFonts w:hint="eastAsia"/>
          <w:lang w:val="fr-FR" w:bidi="fr-FR"/>
        </w:rPr>
        <w:t>juges et magistrats</w:t>
      </w:r>
      <w:r w:rsidRPr="0046567B">
        <w:rPr>
          <w:lang w:val="fr-FR" w:bidi="fr-FR"/>
        </w:rPr>
        <w:t>, contre 36</w:t>
      </w:r>
      <w:r w:rsidR="00FB222C" w:rsidRPr="0046567B">
        <w:rPr>
          <w:lang w:val="fr-FR" w:bidi="fr-FR"/>
        </w:rPr>
        <w:t xml:space="preserve"> </w:t>
      </w:r>
      <w:r w:rsidRPr="0046567B">
        <w:rPr>
          <w:lang w:val="fr-FR" w:bidi="fr-FR"/>
        </w:rPr>
        <w:t>femmes (22</w:t>
      </w:r>
      <w:r w:rsidR="00FB11B3" w:rsidRPr="0046567B">
        <w:rPr>
          <w:lang w:val="fr-FR" w:bidi="fr-FR"/>
        </w:rPr>
        <w:t> %</w:t>
      </w:r>
      <w:r w:rsidRPr="0046567B">
        <w:rPr>
          <w:lang w:val="fr-FR" w:bidi="fr-FR"/>
        </w:rPr>
        <w:t>) en</w:t>
      </w:r>
      <w:r w:rsidR="00FB222C" w:rsidRPr="0046567B">
        <w:rPr>
          <w:lang w:val="fr-FR" w:bidi="fr-FR"/>
        </w:rPr>
        <w:t xml:space="preserve"> </w:t>
      </w:r>
      <w:r w:rsidRPr="0046567B">
        <w:rPr>
          <w:lang w:val="fr-FR" w:bidi="fr-FR"/>
        </w:rPr>
        <w:t>2010.</w:t>
      </w:r>
    </w:p>
    <w:p w14:paraId="5FD16EA9" w14:textId="008F2B5E" w:rsidR="009E2F8B" w:rsidRPr="0046567B" w:rsidRDefault="009E2F8B" w:rsidP="009E2F8B">
      <w:pPr>
        <w:pStyle w:val="SingleTxt"/>
        <w:spacing w:after="0" w:line="120" w:lineRule="exact"/>
        <w:rPr>
          <w:sz w:val="10"/>
          <w:lang w:val="fr-FR" w:bidi="fr-FR"/>
        </w:rPr>
      </w:pPr>
    </w:p>
    <w:p w14:paraId="0F7F6867" w14:textId="25D4F430" w:rsidR="009E2F8B" w:rsidRPr="0046567B" w:rsidRDefault="009E2F8B" w:rsidP="009E2F8B">
      <w:pPr>
        <w:pStyle w:val="SingleTxt"/>
        <w:spacing w:after="0" w:line="120" w:lineRule="exact"/>
        <w:rPr>
          <w:sz w:val="10"/>
          <w:lang w:val="fr-FR"/>
        </w:rPr>
      </w:pPr>
    </w:p>
    <w:p w14:paraId="357AD4E3" w14:textId="64F8EF57" w:rsidR="00FC36AA" w:rsidRPr="0046567B" w:rsidRDefault="00FC36AA" w:rsidP="009E2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Les femmes en détention</w:t>
      </w:r>
    </w:p>
    <w:p w14:paraId="3D02C189" w14:textId="2DC771F2" w:rsidR="009E2F8B" w:rsidRPr="0046567B" w:rsidRDefault="009E2F8B" w:rsidP="009E2F8B">
      <w:pPr>
        <w:pStyle w:val="SingleTxt"/>
        <w:spacing w:after="0" w:line="120" w:lineRule="exact"/>
        <w:rPr>
          <w:sz w:val="10"/>
          <w:lang w:val="fr-FR" w:bidi="fr-FR"/>
        </w:rPr>
      </w:pPr>
    </w:p>
    <w:p w14:paraId="576B2E33" w14:textId="45D839D6" w:rsidR="009E2F8B" w:rsidRPr="0046567B" w:rsidRDefault="009E2F8B" w:rsidP="009E2F8B">
      <w:pPr>
        <w:pStyle w:val="SingleTxt"/>
        <w:spacing w:after="0" w:line="120" w:lineRule="exact"/>
        <w:rPr>
          <w:sz w:val="10"/>
          <w:lang w:val="fr-FR" w:bidi="fr-FR"/>
        </w:rPr>
      </w:pPr>
    </w:p>
    <w:p w14:paraId="4445CD06" w14:textId="6A1790FE" w:rsidR="00FC36AA" w:rsidRPr="0046567B" w:rsidRDefault="00FC36AA" w:rsidP="009E2F8B">
      <w:pPr>
        <w:pStyle w:val="SingleTxt"/>
        <w:numPr>
          <w:ilvl w:val="0"/>
          <w:numId w:val="33"/>
        </w:numPr>
        <w:spacing w:line="240" w:lineRule="exact"/>
        <w:ind w:left="1267" w:firstLine="0"/>
        <w:rPr>
          <w:lang w:val="fr-FR"/>
        </w:rPr>
      </w:pPr>
      <w:r w:rsidRPr="0046567B">
        <w:rPr>
          <w:lang w:val="fr-FR" w:bidi="fr-FR"/>
        </w:rPr>
        <w:t>La situation des femmes en détention reste globalement telle qu</w:t>
      </w:r>
      <w:r w:rsidR="00FB11B3" w:rsidRPr="0046567B">
        <w:rPr>
          <w:lang w:val="fr-FR" w:bidi="fr-FR"/>
        </w:rPr>
        <w:t>’</w:t>
      </w:r>
      <w:r w:rsidRPr="0046567B">
        <w:rPr>
          <w:lang w:val="fr-FR" w:bidi="fr-FR"/>
        </w:rPr>
        <w:t>exposée aux paragraphes</w:t>
      </w:r>
      <w:r w:rsidR="002A20B0" w:rsidRPr="0046567B">
        <w:rPr>
          <w:lang w:val="fr-FR" w:bidi="fr-FR"/>
        </w:rPr>
        <w:t xml:space="preserve"> </w:t>
      </w:r>
      <w:r w:rsidRPr="0046567B">
        <w:rPr>
          <w:lang w:val="fr-FR" w:bidi="fr-FR"/>
        </w:rPr>
        <w:t>467 et</w:t>
      </w:r>
      <w:r w:rsidR="002A20B0" w:rsidRPr="0046567B">
        <w:rPr>
          <w:lang w:val="fr-FR" w:bidi="fr-FR"/>
        </w:rPr>
        <w:t xml:space="preserve"> </w:t>
      </w:r>
      <w:r w:rsidRPr="0046567B">
        <w:rPr>
          <w:lang w:val="fr-FR" w:bidi="fr-FR"/>
        </w:rPr>
        <w:t xml:space="preserve">468 du rapport précédent. </w:t>
      </w:r>
      <w:r w:rsidRPr="0046567B">
        <w:rPr>
          <w:rFonts w:hint="eastAsia"/>
          <w:lang w:val="fr-FR" w:bidi="fr-FR"/>
        </w:rPr>
        <w:t>Certaines informations générales sont présentées à l</w:t>
      </w:r>
      <w:r w:rsidR="00FB11B3" w:rsidRPr="0046567B">
        <w:rPr>
          <w:lang w:val="fr-FR" w:bidi="fr-FR"/>
        </w:rPr>
        <w:t>’</w:t>
      </w:r>
      <w:r w:rsidRPr="0046567B">
        <w:rPr>
          <w:rFonts w:hint="eastAsia"/>
          <w:lang w:val="fr-FR" w:bidi="fr-FR"/>
        </w:rPr>
        <w:t>annexe</w:t>
      </w:r>
      <w:r w:rsidR="002A20B0" w:rsidRPr="0046567B">
        <w:rPr>
          <w:rFonts w:hint="eastAsia"/>
          <w:lang w:val="fr-FR" w:bidi="fr-FR"/>
        </w:rPr>
        <w:t xml:space="preserve"> </w:t>
      </w:r>
      <w:r w:rsidRPr="0046567B">
        <w:rPr>
          <w:rFonts w:hint="eastAsia"/>
          <w:lang w:val="fr-FR" w:bidi="fr-FR"/>
        </w:rPr>
        <w:t>15A du présent rapport.</w:t>
      </w:r>
    </w:p>
    <w:p w14:paraId="714DCA80" w14:textId="505E8AC8" w:rsidR="009E2F8B" w:rsidRPr="0046567B" w:rsidRDefault="009E2F8B" w:rsidP="009E2F8B">
      <w:pPr>
        <w:pStyle w:val="SingleTxt"/>
        <w:spacing w:after="0" w:line="120" w:lineRule="exact"/>
        <w:rPr>
          <w:sz w:val="10"/>
          <w:lang w:val="fr-FR" w:bidi="fr-FR"/>
        </w:rPr>
      </w:pPr>
    </w:p>
    <w:p w14:paraId="55FF0547" w14:textId="337A60D7" w:rsidR="009E2F8B" w:rsidRPr="0046567B" w:rsidRDefault="009E2F8B" w:rsidP="009E2F8B">
      <w:pPr>
        <w:pStyle w:val="SingleTxt"/>
        <w:spacing w:after="0" w:line="120" w:lineRule="exact"/>
        <w:rPr>
          <w:sz w:val="10"/>
          <w:lang w:val="fr-FR"/>
        </w:rPr>
      </w:pPr>
    </w:p>
    <w:p w14:paraId="44D740BD" w14:textId="598A7B6A" w:rsidR="00FC36AA" w:rsidRPr="0046567B" w:rsidRDefault="00FC36AA" w:rsidP="008373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 xml:space="preserve">Article 16 </w:t>
      </w:r>
      <w:r w:rsidR="009E2F8B" w:rsidRPr="0046567B">
        <w:rPr>
          <w:lang w:val="fr-FR" w:bidi="fr-FR"/>
        </w:rPr>
        <w:t>–</w:t>
      </w:r>
      <w:r w:rsidRPr="0046567B">
        <w:rPr>
          <w:lang w:val="fr-FR" w:bidi="fr-FR"/>
        </w:rPr>
        <w:t xml:space="preserve"> Égalité des droits en matière familiale</w:t>
      </w:r>
    </w:p>
    <w:p w14:paraId="30AD76AA" w14:textId="09AE137B" w:rsidR="009E2F8B" w:rsidRPr="0046567B" w:rsidRDefault="009E2F8B" w:rsidP="008373EE">
      <w:pPr>
        <w:pStyle w:val="SingleTxt"/>
        <w:keepNext/>
        <w:keepLines/>
        <w:spacing w:after="0" w:line="120" w:lineRule="exact"/>
        <w:rPr>
          <w:sz w:val="10"/>
          <w:lang w:val="fr-FR" w:bidi="fr-FR"/>
        </w:rPr>
      </w:pPr>
    </w:p>
    <w:p w14:paraId="762E003D" w14:textId="5DCC2AF4" w:rsidR="009E2F8B" w:rsidRPr="0046567B" w:rsidRDefault="009E2F8B" w:rsidP="008373EE">
      <w:pPr>
        <w:pStyle w:val="SingleTxt"/>
        <w:keepNext/>
        <w:keepLines/>
        <w:spacing w:after="0" w:line="120" w:lineRule="exact"/>
        <w:rPr>
          <w:sz w:val="10"/>
          <w:lang w:val="fr-FR" w:bidi="fr-FR"/>
        </w:rPr>
      </w:pPr>
    </w:p>
    <w:p w14:paraId="10DB592C" w14:textId="2DEB32E6" w:rsidR="00FC36AA" w:rsidRPr="0046567B" w:rsidRDefault="00FC36AA" w:rsidP="008373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Révision de l</w:t>
      </w:r>
      <w:r w:rsidR="00FB11B3" w:rsidRPr="0046567B">
        <w:rPr>
          <w:lang w:val="fr-FR" w:bidi="fr-FR"/>
        </w:rPr>
        <w:t>’</w:t>
      </w:r>
      <w:r w:rsidRPr="0046567B">
        <w:rPr>
          <w:lang w:val="fr-FR" w:bidi="fr-FR"/>
        </w:rPr>
        <w:t>âge minimum requis pour se marier</w:t>
      </w:r>
    </w:p>
    <w:p w14:paraId="7421BC28" w14:textId="4D3C4BDB" w:rsidR="009E2F8B" w:rsidRPr="0046567B" w:rsidRDefault="009E2F8B" w:rsidP="008373EE">
      <w:pPr>
        <w:pStyle w:val="SingleTxt"/>
        <w:keepNext/>
        <w:keepLines/>
        <w:spacing w:after="0" w:line="120" w:lineRule="exact"/>
        <w:rPr>
          <w:sz w:val="10"/>
          <w:lang w:val="fr-FR" w:bidi="fr-FR"/>
        </w:rPr>
      </w:pPr>
    </w:p>
    <w:p w14:paraId="1D36FE2E" w14:textId="61C1FA95" w:rsidR="009E2F8B" w:rsidRPr="0046567B" w:rsidRDefault="009E2F8B" w:rsidP="008373EE">
      <w:pPr>
        <w:pStyle w:val="SingleTxt"/>
        <w:keepNext/>
        <w:keepLines/>
        <w:spacing w:after="0" w:line="120" w:lineRule="exact"/>
        <w:rPr>
          <w:sz w:val="10"/>
          <w:lang w:val="fr-FR" w:bidi="fr-FR"/>
        </w:rPr>
      </w:pPr>
    </w:p>
    <w:p w14:paraId="49F89D8A" w14:textId="33DCF124" w:rsidR="00FC36AA" w:rsidRPr="0046567B" w:rsidRDefault="00FC36AA" w:rsidP="008373EE">
      <w:pPr>
        <w:pStyle w:val="SingleTxt"/>
        <w:keepNext/>
        <w:keepLines/>
        <w:numPr>
          <w:ilvl w:val="0"/>
          <w:numId w:val="33"/>
        </w:numPr>
        <w:spacing w:line="240" w:lineRule="exact"/>
        <w:ind w:left="1267" w:firstLine="0"/>
        <w:rPr>
          <w:lang w:val="fr-FR"/>
        </w:rPr>
      </w:pPr>
      <w:r w:rsidRPr="0046567B">
        <w:t>À la lumière des paragraphes</w:t>
      </w:r>
      <w:r w:rsidR="002A20B0" w:rsidRPr="0046567B">
        <w:t> </w:t>
      </w:r>
      <w:r w:rsidRPr="0046567B">
        <w:t>66 et</w:t>
      </w:r>
      <w:r w:rsidR="002A20B0" w:rsidRPr="0046567B">
        <w:t xml:space="preserve"> </w:t>
      </w:r>
      <w:r w:rsidRPr="0046567B">
        <w:t>67 des observations finales sur l</w:t>
      </w:r>
      <w:r w:rsidR="00FB11B3" w:rsidRPr="0046567B">
        <w:t>’</w:t>
      </w:r>
      <w:r w:rsidRPr="0046567B">
        <w:t>âge minimum du mariage et du rapport de la Commission de la réforme législative publié en</w:t>
      </w:r>
      <w:r w:rsidR="002A20B0" w:rsidRPr="0046567B">
        <w:t xml:space="preserve"> </w:t>
      </w:r>
      <w:r w:rsidRPr="0046567B">
        <w:t>2005 sur la garde et le droit de visite des enfants, le Gouvernement a commandé une étude en juin</w:t>
      </w:r>
      <w:r w:rsidR="002A20B0" w:rsidRPr="0046567B">
        <w:t xml:space="preserve"> </w:t>
      </w:r>
      <w:r w:rsidRPr="0046567B">
        <w:t>2018 au Conseil de la famille. Cette étude abordera, entre autres, les questions liées à l</w:t>
      </w:r>
      <w:r w:rsidR="00FB11B3" w:rsidRPr="0046567B">
        <w:t>’</w:t>
      </w:r>
      <w:r w:rsidRPr="0046567B">
        <w:t>âge minimum du mariage, y compris le lien éventuel entre l</w:t>
      </w:r>
      <w:r w:rsidR="00FB11B3" w:rsidRPr="0046567B">
        <w:t>’</w:t>
      </w:r>
      <w:r w:rsidRPr="0046567B">
        <w:t>âge du mariage et le taux de divorce ainsi que la durée du mariage dans les autres pays.</w:t>
      </w:r>
      <w:r w:rsidR="002A20B0" w:rsidRPr="0046567B">
        <w:t xml:space="preserve"> </w:t>
      </w:r>
      <w:r w:rsidRPr="0046567B">
        <w:t>Elle effectuera également une analyse de la situation à Hong Kong. Nous tiendrons compte des conclusions de cette étude avant de formuler des prop</w:t>
      </w:r>
      <w:r w:rsidRPr="0046567B">
        <w:rPr>
          <w:lang w:val="fr-FR" w:bidi="fr-FR"/>
        </w:rPr>
        <w:t>ositions.</w:t>
      </w:r>
    </w:p>
    <w:p w14:paraId="26D808E2" w14:textId="48D99BD2" w:rsidR="00F02E0E" w:rsidRPr="0046567B" w:rsidRDefault="00F02E0E" w:rsidP="00F02E0E">
      <w:pPr>
        <w:pStyle w:val="SingleTxt"/>
        <w:spacing w:after="0" w:line="120" w:lineRule="exact"/>
        <w:rPr>
          <w:sz w:val="10"/>
          <w:lang w:val="fr-FR" w:bidi="fr-FR"/>
        </w:rPr>
      </w:pPr>
    </w:p>
    <w:p w14:paraId="5F3B9955" w14:textId="0C764E1D" w:rsidR="00F02E0E" w:rsidRPr="0046567B" w:rsidRDefault="00F02E0E" w:rsidP="00F02E0E">
      <w:pPr>
        <w:pStyle w:val="SingleTxt"/>
        <w:spacing w:after="0" w:line="120" w:lineRule="exact"/>
        <w:rPr>
          <w:sz w:val="10"/>
          <w:lang w:val="fr-FR"/>
        </w:rPr>
      </w:pPr>
    </w:p>
    <w:p w14:paraId="61C08595" w14:textId="4DC72E49" w:rsidR="00FC36AA" w:rsidRPr="0046567B" w:rsidRDefault="00FC36AA" w:rsidP="00F02E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Contentieux matrimonial</w:t>
      </w:r>
    </w:p>
    <w:p w14:paraId="6D47848D" w14:textId="6BB513D9" w:rsidR="00F02E0E" w:rsidRPr="0046567B" w:rsidRDefault="00F02E0E" w:rsidP="00F02E0E">
      <w:pPr>
        <w:pStyle w:val="SingleTxt"/>
        <w:spacing w:after="0" w:line="120" w:lineRule="exact"/>
        <w:rPr>
          <w:sz w:val="10"/>
          <w:lang w:val="fr-FR" w:bidi="fr-FR"/>
        </w:rPr>
      </w:pPr>
    </w:p>
    <w:p w14:paraId="1CC76B23" w14:textId="2965E892" w:rsidR="00F02E0E" w:rsidRPr="0046567B" w:rsidRDefault="00F02E0E" w:rsidP="00F02E0E">
      <w:pPr>
        <w:pStyle w:val="SingleTxt"/>
        <w:spacing w:after="0" w:line="120" w:lineRule="exact"/>
        <w:rPr>
          <w:sz w:val="10"/>
          <w:lang w:val="fr-FR" w:bidi="fr-FR"/>
        </w:rPr>
      </w:pPr>
    </w:p>
    <w:p w14:paraId="31D185CA" w14:textId="2C7E5618" w:rsidR="00FC36AA" w:rsidRPr="0046567B" w:rsidRDefault="00FC36AA" w:rsidP="00F02E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Médiation familiale</w:t>
      </w:r>
    </w:p>
    <w:p w14:paraId="05B99F54" w14:textId="3D220D5E" w:rsidR="00F02E0E" w:rsidRPr="0046567B" w:rsidRDefault="00F02E0E" w:rsidP="00F02E0E">
      <w:pPr>
        <w:pStyle w:val="SingleTxt"/>
        <w:spacing w:after="0" w:line="120" w:lineRule="exact"/>
        <w:rPr>
          <w:sz w:val="10"/>
          <w:lang w:val="fr-FR" w:bidi="fr-FR"/>
        </w:rPr>
      </w:pPr>
    </w:p>
    <w:p w14:paraId="4E0655FF" w14:textId="08F30675" w:rsidR="00FC36AA" w:rsidRPr="0046567B" w:rsidRDefault="00FC36AA" w:rsidP="00F02E0E">
      <w:pPr>
        <w:pStyle w:val="SingleTxt"/>
        <w:numPr>
          <w:ilvl w:val="0"/>
          <w:numId w:val="33"/>
        </w:numPr>
        <w:spacing w:line="240" w:lineRule="exact"/>
        <w:ind w:left="1267" w:firstLine="0"/>
        <w:rPr>
          <w:lang w:val="fr-FR"/>
        </w:rPr>
      </w:pPr>
      <w:r w:rsidRPr="0046567B">
        <w:rPr>
          <w:lang w:val="fr-FR" w:bidi="fr-FR"/>
        </w:rPr>
        <w:t>En</w:t>
      </w:r>
      <w:r w:rsidR="002A20B0" w:rsidRPr="0046567B">
        <w:rPr>
          <w:lang w:val="fr-FR" w:bidi="fr-FR"/>
        </w:rPr>
        <w:t xml:space="preserve"> </w:t>
      </w:r>
      <w:r w:rsidRPr="0046567B">
        <w:rPr>
          <w:lang w:val="fr-FR" w:bidi="fr-FR"/>
        </w:rPr>
        <w:t>2017, le Bureau du coordinateur de la médiation familiale a organisé 454</w:t>
      </w:r>
      <w:r w:rsidR="002A20B0" w:rsidRPr="0046567B">
        <w:rPr>
          <w:lang w:val="fr-FR" w:bidi="fr-FR"/>
        </w:rPr>
        <w:t xml:space="preserve"> </w:t>
      </w:r>
      <w:r w:rsidRPr="0046567B">
        <w:rPr>
          <w:lang w:val="fr-FR" w:bidi="fr-FR"/>
        </w:rPr>
        <w:t>séances d</w:t>
      </w:r>
      <w:r w:rsidR="00FB11B3" w:rsidRPr="0046567B">
        <w:rPr>
          <w:lang w:val="fr-FR" w:bidi="fr-FR"/>
        </w:rPr>
        <w:t>’</w:t>
      </w:r>
      <w:r w:rsidRPr="0046567B">
        <w:rPr>
          <w:lang w:val="fr-FR" w:bidi="fr-FR"/>
        </w:rPr>
        <w:t>information auxquelles ont participé 954</w:t>
      </w:r>
      <w:r w:rsidR="002A20B0" w:rsidRPr="0046567B">
        <w:rPr>
          <w:lang w:val="fr-FR" w:bidi="fr-FR"/>
        </w:rPr>
        <w:t xml:space="preserve"> </w:t>
      </w:r>
      <w:r w:rsidRPr="0046567B">
        <w:rPr>
          <w:lang w:val="fr-FR" w:bidi="fr-FR"/>
        </w:rPr>
        <w:t>personnes afin d</w:t>
      </w:r>
      <w:r w:rsidR="00FB11B3" w:rsidRPr="0046567B">
        <w:rPr>
          <w:lang w:val="fr-FR" w:bidi="fr-FR"/>
        </w:rPr>
        <w:t>’</w:t>
      </w:r>
      <w:r w:rsidRPr="0046567B">
        <w:rPr>
          <w:lang w:val="fr-FR" w:bidi="fr-FR"/>
        </w:rPr>
        <w:t>aider les couples à envisager la médiation comme mode de résolution de leurs différends matrimoniaux. En mai</w:t>
      </w:r>
      <w:r w:rsidR="002A20B0" w:rsidRPr="0046567B">
        <w:rPr>
          <w:lang w:val="fr-FR" w:bidi="fr-FR"/>
        </w:rPr>
        <w:t xml:space="preserve"> </w:t>
      </w:r>
      <w:r w:rsidRPr="0046567B">
        <w:rPr>
          <w:lang w:val="fr-FR" w:bidi="fr-FR"/>
        </w:rPr>
        <w:t>2018, ce bureau a fusionné avec le Bureau d</w:t>
      </w:r>
      <w:r w:rsidR="00FB11B3" w:rsidRPr="0046567B">
        <w:rPr>
          <w:lang w:val="fr-FR" w:bidi="fr-FR"/>
        </w:rPr>
        <w:t>’</w:t>
      </w:r>
      <w:r w:rsidRPr="0046567B">
        <w:rPr>
          <w:lang w:val="fr-FR" w:bidi="fr-FR"/>
        </w:rPr>
        <w:t>information sur la médiation du pouvoir judiciaire pour devenir l</w:t>
      </w:r>
      <w:r w:rsidR="00FB11B3" w:rsidRPr="0046567B">
        <w:rPr>
          <w:lang w:val="fr-FR" w:bidi="fr-FR"/>
        </w:rPr>
        <w:t>’</w:t>
      </w:r>
      <w:r w:rsidRPr="0046567B">
        <w:rPr>
          <w:lang w:val="fr-FR" w:bidi="fr-FR"/>
        </w:rPr>
        <w:t>Office de médiation intégré, poursuivant ainsi l</w:t>
      </w:r>
      <w:r w:rsidR="00FB11B3" w:rsidRPr="0046567B">
        <w:rPr>
          <w:lang w:val="fr-FR" w:bidi="fr-FR"/>
        </w:rPr>
        <w:t>’</w:t>
      </w:r>
      <w:r w:rsidRPr="0046567B">
        <w:rPr>
          <w:lang w:val="fr-FR" w:bidi="fr-FR"/>
        </w:rPr>
        <w:t>objectif de fournir un point d</w:t>
      </w:r>
      <w:r w:rsidR="00FB11B3" w:rsidRPr="0046567B">
        <w:rPr>
          <w:lang w:val="fr-FR" w:bidi="fr-FR"/>
        </w:rPr>
        <w:t>’</w:t>
      </w:r>
      <w:r w:rsidRPr="0046567B">
        <w:rPr>
          <w:lang w:val="fr-FR" w:bidi="fr-FR"/>
        </w:rPr>
        <w:t>information unique pour la médiation dans les procédures en matière matrimoniale et familiale, ainsi que dans d</w:t>
      </w:r>
      <w:r w:rsidR="00FB11B3" w:rsidRPr="0046567B">
        <w:rPr>
          <w:lang w:val="fr-FR" w:bidi="fr-FR"/>
        </w:rPr>
        <w:t>’</w:t>
      </w:r>
      <w:r w:rsidRPr="0046567B">
        <w:rPr>
          <w:lang w:val="fr-FR" w:bidi="fr-FR"/>
        </w:rPr>
        <w:t>autres affaires civiles.</w:t>
      </w:r>
    </w:p>
    <w:p w14:paraId="340FD2B0" w14:textId="5E126DD2" w:rsidR="00F02E0E" w:rsidRPr="0046567B" w:rsidRDefault="00F02E0E" w:rsidP="00F02E0E">
      <w:pPr>
        <w:pStyle w:val="SingleTxt"/>
        <w:spacing w:after="0" w:line="120" w:lineRule="exact"/>
        <w:rPr>
          <w:sz w:val="10"/>
          <w:lang w:val="fr-FR" w:bidi="fr-FR"/>
        </w:rPr>
      </w:pPr>
    </w:p>
    <w:p w14:paraId="641DF9A4" w14:textId="4EC0760C" w:rsidR="00FC36AA" w:rsidRPr="0046567B" w:rsidRDefault="00FC36AA" w:rsidP="00F02E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Pensions alimentaires</w:t>
      </w:r>
    </w:p>
    <w:p w14:paraId="487D84A6" w14:textId="1256A96D" w:rsidR="00F02E0E" w:rsidRPr="0046567B" w:rsidRDefault="00F02E0E" w:rsidP="00F02E0E">
      <w:pPr>
        <w:pStyle w:val="SingleTxt"/>
        <w:spacing w:after="0" w:line="120" w:lineRule="exact"/>
        <w:rPr>
          <w:sz w:val="10"/>
          <w:lang w:val="fr-FR" w:bidi="fr-FR"/>
        </w:rPr>
      </w:pPr>
    </w:p>
    <w:p w14:paraId="6CFEF8E5" w14:textId="3D42C7BA" w:rsidR="00FC36AA" w:rsidRPr="0046567B" w:rsidRDefault="00FC36AA" w:rsidP="00F02E0E">
      <w:pPr>
        <w:pStyle w:val="SingleTxt"/>
        <w:numPr>
          <w:ilvl w:val="0"/>
          <w:numId w:val="33"/>
        </w:numPr>
        <w:spacing w:line="240" w:lineRule="exact"/>
        <w:ind w:left="1267" w:firstLine="0"/>
        <w:rPr>
          <w:lang w:val="fr-FR"/>
        </w:rPr>
      </w:pPr>
      <w:r w:rsidRPr="0046567B">
        <w:rPr>
          <w:lang w:val="fr-FR" w:bidi="fr-FR"/>
        </w:rPr>
        <w:t>Le Gouvernement a introduit une série de mesures visant à améliorer le système des pensions alimentaires par des moyens législatifs et administratifs, afin de renforcer l</w:t>
      </w:r>
      <w:r w:rsidR="00FB11B3" w:rsidRPr="0046567B">
        <w:rPr>
          <w:lang w:val="fr-FR" w:bidi="fr-FR"/>
        </w:rPr>
        <w:t>’</w:t>
      </w:r>
      <w:r w:rsidRPr="0046567B">
        <w:rPr>
          <w:lang w:val="fr-FR" w:bidi="fr-FR"/>
        </w:rPr>
        <w:t>efficacité du système de recouvrement des pensions et d</w:t>
      </w:r>
      <w:r w:rsidR="00FB11B3" w:rsidRPr="0046567B">
        <w:rPr>
          <w:lang w:val="fr-FR" w:bidi="fr-FR"/>
        </w:rPr>
        <w:t>’</w:t>
      </w:r>
      <w:r w:rsidRPr="0046567B">
        <w:rPr>
          <w:lang w:val="fr-FR" w:bidi="fr-FR"/>
        </w:rPr>
        <w:t>exécution des pensions alimentaires. Les principales mesures prises à ce jour concernent l</w:t>
      </w:r>
      <w:r w:rsidR="00FB11B3" w:rsidRPr="0046567B">
        <w:rPr>
          <w:lang w:val="fr-FR" w:bidi="fr-FR"/>
        </w:rPr>
        <w:t>’</w:t>
      </w:r>
      <w:r w:rsidRPr="0046567B">
        <w:rPr>
          <w:lang w:val="fr-FR" w:bidi="fr-FR"/>
        </w:rPr>
        <w:t>assouplissement des conditions qui permettent à la Cour d</w:t>
      </w:r>
      <w:r w:rsidR="00FB11B3" w:rsidRPr="0046567B">
        <w:rPr>
          <w:lang w:val="fr-FR" w:bidi="fr-FR"/>
        </w:rPr>
        <w:t>’</w:t>
      </w:r>
      <w:r w:rsidRPr="0046567B">
        <w:rPr>
          <w:lang w:val="fr-FR" w:bidi="fr-FR"/>
        </w:rPr>
        <w:t>ordonner une saisie-arrêt, des intérêts ou des pénalités sur les revenus des débiteurs défaillants.</w:t>
      </w:r>
      <w:r w:rsidR="002A20B0" w:rsidRPr="0046567B">
        <w:rPr>
          <w:lang w:val="fr-FR" w:bidi="fr-FR"/>
        </w:rPr>
        <w:t xml:space="preserve"> </w:t>
      </w:r>
      <w:r w:rsidRPr="0046567B">
        <w:rPr>
          <w:lang w:val="fr-FR" w:bidi="fr-FR"/>
        </w:rPr>
        <w:t>Elles prévoient également d</w:t>
      </w:r>
      <w:r w:rsidR="00FB11B3" w:rsidRPr="0046567B">
        <w:rPr>
          <w:lang w:val="fr-FR" w:bidi="fr-FR"/>
        </w:rPr>
        <w:t>’</w:t>
      </w:r>
      <w:r w:rsidRPr="0046567B">
        <w:rPr>
          <w:lang w:val="fr-FR" w:bidi="fr-FR"/>
        </w:rPr>
        <w:t>intensifier le travail d</w:t>
      </w:r>
      <w:r w:rsidR="00FB11B3" w:rsidRPr="0046567B">
        <w:rPr>
          <w:lang w:val="fr-FR" w:bidi="fr-FR"/>
        </w:rPr>
        <w:t>’</w:t>
      </w:r>
      <w:r w:rsidRPr="0046567B">
        <w:rPr>
          <w:lang w:val="fr-FR" w:bidi="fr-FR"/>
        </w:rPr>
        <w:t>information et de sensibilisation.</w:t>
      </w:r>
    </w:p>
    <w:p w14:paraId="0C9F4DC0" w14:textId="556325F0" w:rsidR="00FC36AA" w:rsidRPr="0046567B" w:rsidRDefault="00FC36AA" w:rsidP="00F02E0E">
      <w:pPr>
        <w:pStyle w:val="SingleTxt"/>
        <w:numPr>
          <w:ilvl w:val="0"/>
          <w:numId w:val="33"/>
        </w:numPr>
        <w:spacing w:line="240" w:lineRule="exact"/>
        <w:ind w:left="1267" w:firstLine="0"/>
        <w:rPr>
          <w:lang w:val="fr-FR"/>
        </w:rPr>
      </w:pPr>
      <w:r w:rsidRPr="0046567B">
        <w:rPr>
          <w:lang w:val="fr-FR" w:bidi="fr-FR"/>
        </w:rPr>
        <w:t>Certaines des personnes consultées ont suggéré la création d</w:t>
      </w:r>
      <w:r w:rsidR="00FB11B3" w:rsidRPr="0046567B">
        <w:rPr>
          <w:lang w:val="fr-FR" w:bidi="fr-FR"/>
        </w:rPr>
        <w:t>’</w:t>
      </w:r>
      <w:r w:rsidRPr="0046567B">
        <w:rPr>
          <w:lang w:val="fr-FR" w:bidi="fr-FR"/>
        </w:rPr>
        <w:t>un Conseil des pensions alimentaires ou d</w:t>
      </w:r>
      <w:r w:rsidR="00FB11B3" w:rsidRPr="0046567B">
        <w:rPr>
          <w:lang w:val="fr-FR" w:bidi="fr-FR"/>
        </w:rPr>
        <w:t>’</w:t>
      </w:r>
      <w:r w:rsidRPr="0046567B">
        <w:rPr>
          <w:lang w:val="fr-FR" w:bidi="fr-FR"/>
        </w:rPr>
        <w:t>un organisme intermédiaire chargé d</w:t>
      </w:r>
      <w:r w:rsidR="00FB11B3" w:rsidRPr="0046567B">
        <w:rPr>
          <w:lang w:val="fr-FR" w:bidi="fr-FR"/>
        </w:rPr>
        <w:t>’</w:t>
      </w:r>
      <w:r w:rsidRPr="0046567B">
        <w:rPr>
          <w:lang w:val="fr-FR" w:bidi="fr-FR"/>
        </w:rPr>
        <w:t>aider les femmes divorcées à faire exécuter les pensions alimentaires et de réaliser des études pertinentes à ce sujet. À cet égard, le Gouvernement a commandé en juin</w:t>
      </w:r>
      <w:r w:rsidR="002A20B0" w:rsidRPr="0046567B">
        <w:rPr>
          <w:lang w:val="fr-FR" w:bidi="fr-FR"/>
        </w:rPr>
        <w:t xml:space="preserve"> </w:t>
      </w:r>
      <w:r w:rsidRPr="0046567B">
        <w:rPr>
          <w:lang w:val="fr-FR" w:bidi="fr-FR"/>
        </w:rPr>
        <w:t>2018 une étude au Conseil de la famille sur diverses questions liées au mariage et au divorce afin d</w:t>
      </w:r>
      <w:r w:rsidR="00FB11B3" w:rsidRPr="0046567B">
        <w:rPr>
          <w:lang w:val="fr-FR" w:bidi="fr-FR"/>
        </w:rPr>
        <w:t>’</w:t>
      </w:r>
      <w:r w:rsidRPr="0046567B">
        <w:rPr>
          <w:lang w:val="fr-FR" w:bidi="fr-FR"/>
        </w:rPr>
        <w:t>éclairer la marche à suivre.</w:t>
      </w:r>
    </w:p>
    <w:p w14:paraId="216E5370" w14:textId="2083B42D" w:rsidR="00F02E0E" w:rsidRPr="0046567B" w:rsidRDefault="00F02E0E" w:rsidP="00F02E0E">
      <w:pPr>
        <w:pStyle w:val="SingleTxt"/>
        <w:spacing w:after="0" w:line="120" w:lineRule="exact"/>
        <w:rPr>
          <w:sz w:val="10"/>
          <w:lang w:val="fr-FR" w:bidi="fr-FR"/>
        </w:rPr>
      </w:pPr>
    </w:p>
    <w:p w14:paraId="5676693C" w14:textId="3C0E9AF9" w:rsidR="00FC36AA" w:rsidRPr="0046567B" w:rsidRDefault="00FC36AA" w:rsidP="00F02E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w:t>
      </w:r>
      <w:r w:rsidR="00FB11B3" w:rsidRPr="0046567B">
        <w:rPr>
          <w:lang w:val="fr-FR" w:bidi="fr-FR"/>
        </w:rPr>
        <w:t>’</w:t>
      </w:r>
      <w:r w:rsidRPr="0046567B">
        <w:rPr>
          <w:lang w:val="fr-FR" w:bidi="fr-FR"/>
        </w:rPr>
        <w:t>accord sur la reconnaissance et l</w:t>
      </w:r>
      <w:r w:rsidR="00FB11B3" w:rsidRPr="0046567B">
        <w:rPr>
          <w:lang w:val="fr-FR" w:bidi="fr-FR"/>
        </w:rPr>
        <w:t>’</w:t>
      </w:r>
      <w:r w:rsidRPr="0046567B">
        <w:rPr>
          <w:lang w:val="fr-FR" w:bidi="fr-FR"/>
        </w:rPr>
        <w:t>exécution réciproques des décisions civiles dans les affaires matrimoniales et familiales par les tribunaux de la Chine continentale et de la Région administrative spéciale de Hong Kong</w:t>
      </w:r>
    </w:p>
    <w:p w14:paraId="66462EA6" w14:textId="2D787A7C" w:rsidR="00F02E0E" w:rsidRPr="0046567B" w:rsidRDefault="00F02E0E" w:rsidP="00F02E0E">
      <w:pPr>
        <w:pStyle w:val="SingleTxt"/>
        <w:spacing w:after="0" w:line="120" w:lineRule="exact"/>
        <w:rPr>
          <w:sz w:val="10"/>
          <w:lang w:val="fr-FR" w:bidi="fr-FR"/>
        </w:rPr>
      </w:pPr>
    </w:p>
    <w:p w14:paraId="17AFFC44" w14:textId="42770DBB" w:rsidR="00FC36AA" w:rsidRPr="0046567B" w:rsidRDefault="00FC36AA" w:rsidP="00F02E0E">
      <w:pPr>
        <w:pStyle w:val="SingleTxt"/>
        <w:numPr>
          <w:ilvl w:val="0"/>
          <w:numId w:val="35"/>
        </w:numPr>
        <w:spacing w:line="240" w:lineRule="exact"/>
        <w:rPr>
          <w:lang w:val="fr-FR"/>
        </w:rPr>
      </w:pPr>
      <w:r w:rsidRPr="0046567B">
        <w:rPr>
          <w:lang w:val="fr-FR" w:bidi="fr-FR"/>
        </w:rPr>
        <w:t>Le 20</w:t>
      </w:r>
      <w:r w:rsidR="002A20B0" w:rsidRPr="0046567B">
        <w:rPr>
          <w:lang w:val="fr-FR" w:bidi="fr-FR"/>
        </w:rPr>
        <w:t xml:space="preserve"> </w:t>
      </w:r>
      <w:r w:rsidRPr="0046567B">
        <w:rPr>
          <w:lang w:val="fr-FR" w:bidi="fr-FR"/>
        </w:rPr>
        <w:t>juin</w:t>
      </w:r>
      <w:r w:rsidR="002A20B0" w:rsidRPr="0046567B">
        <w:rPr>
          <w:lang w:val="fr-FR" w:bidi="fr-FR"/>
        </w:rPr>
        <w:t xml:space="preserve"> </w:t>
      </w:r>
      <w:r w:rsidRPr="0046567B">
        <w:rPr>
          <w:lang w:val="fr-FR" w:bidi="fr-FR"/>
        </w:rPr>
        <w:t>2017, le Gouvernement a signé avec la Cour populaire suprême de la République populaire de Chine l</w:t>
      </w:r>
      <w:r w:rsidR="00FB11B3" w:rsidRPr="0046567B">
        <w:rPr>
          <w:lang w:val="fr-FR" w:bidi="fr-FR"/>
        </w:rPr>
        <w:t>’</w:t>
      </w:r>
      <w:r w:rsidRPr="0046567B">
        <w:rPr>
          <w:i/>
          <w:iCs/>
          <w:lang w:val="fr-FR" w:bidi="fr-FR"/>
        </w:rPr>
        <w:t>Accord sur la reconnaissance et l</w:t>
      </w:r>
      <w:r w:rsidR="00FB11B3" w:rsidRPr="0046567B">
        <w:rPr>
          <w:i/>
          <w:iCs/>
          <w:lang w:val="fr-FR" w:bidi="fr-FR"/>
        </w:rPr>
        <w:t>’</w:t>
      </w:r>
      <w:r w:rsidRPr="0046567B">
        <w:rPr>
          <w:i/>
          <w:iCs/>
          <w:lang w:val="fr-FR" w:bidi="fr-FR"/>
        </w:rPr>
        <w:t>exécution réciproques des jugements civils dans les affaires matrimoniales et familiales par les tribunaux de la Chine continentale et de la Région administrative spéciale de Hong Kong</w:t>
      </w:r>
      <w:r w:rsidRPr="0046567B">
        <w:rPr>
          <w:lang w:val="fr-FR" w:bidi="fr-FR"/>
        </w:rPr>
        <w:t xml:space="preserve"> (ci-après l</w:t>
      </w:r>
      <w:r w:rsidR="00FB11B3" w:rsidRPr="0046567B">
        <w:rPr>
          <w:lang w:val="fr-FR" w:bidi="fr-FR"/>
        </w:rPr>
        <w:t>’</w:t>
      </w:r>
      <w:r w:rsidRPr="0046567B">
        <w:rPr>
          <w:lang w:val="fr-FR" w:bidi="fr-FR"/>
        </w:rPr>
        <w:t>Accord). L</w:t>
      </w:r>
      <w:r w:rsidR="00FB11B3" w:rsidRPr="0046567B">
        <w:rPr>
          <w:lang w:val="fr-FR" w:bidi="fr-FR"/>
        </w:rPr>
        <w:t>’</w:t>
      </w:r>
      <w:r w:rsidRPr="0046567B">
        <w:rPr>
          <w:lang w:val="fr-FR" w:bidi="fr-FR"/>
        </w:rPr>
        <w:t>Accord établit un mécanisme de reconnaissance et d</w:t>
      </w:r>
      <w:r w:rsidR="00FB11B3" w:rsidRPr="0046567B">
        <w:rPr>
          <w:lang w:val="fr-FR" w:bidi="fr-FR"/>
        </w:rPr>
        <w:t>’</w:t>
      </w:r>
      <w:r w:rsidRPr="0046567B">
        <w:rPr>
          <w:lang w:val="fr-FR" w:bidi="fr-FR"/>
        </w:rPr>
        <w:t>exécution réciproques des décisions civiles dans les affaires matrimoniales et familiales entre Hong Kong et la Chine continentale, offrant ainsi de meilleures garanties aux familles et à leurs enfants, en particulier celles concernées par les mariages transfrontaliers.</w:t>
      </w:r>
    </w:p>
    <w:p w14:paraId="556D6B88" w14:textId="4A6A1DF5" w:rsidR="00FC36AA" w:rsidRPr="0046567B" w:rsidRDefault="00FC36AA" w:rsidP="00F02E0E">
      <w:pPr>
        <w:pStyle w:val="SingleTxt"/>
        <w:numPr>
          <w:ilvl w:val="0"/>
          <w:numId w:val="35"/>
        </w:numPr>
        <w:spacing w:line="240" w:lineRule="exact"/>
        <w:rPr>
          <w:lang w:val="fr-FR"/>
        </w:rPr>
      </w:pPr>
      <w:r w:rsidRPr="0046567B">
        <w:rPr>
          <w:lang w:val="fr-FR" w:bidi="fr-FR"/>
        </w:rPr>
        <w:t>L</w:t>
      </w:r>
      <w:r w:rsidR="00FB11B3" w:rsidRPr="0046567B">
        <w:rPr>
          <w:lang w:val="fr-FR" w:bidi="fr-FR"/>
        </w:rPr>
        <w:t>’</w:t>
      </w:r>
      <w:r w:rsidRPr="0046567B">
        <w:rPr>
          <w:lang w:val="fr-FR" w:bidi="fr-FR"/>
        </w:rPr>
        <w:t>Accord entrera en vigueur après que les deux parties auront achevé leurs procédures de ratification respectives. Plus précisément, il sera mis en œuvre en Chine continentale par le biais d</w:t>
      </w:r>
      <w:r w:rsidR="00FB11B3" w:rsidRPr="0046567B">
        <w:rPr>
          <w:lang w:val="fr-FR" w:bidi="fr-FR"/>
        </w:rPr>
        <w:t>’</w:t>
      </w:r>
      <w:r w:rsidRPr="0046567B">
        <w:rPr>
          <w:lang w:val="fr-FR" w:bidi="fr-FR"/>
        </w:rPr>
        <w:t>une interprétation judiciaire et à Hong Kong par le biais d</w:t>
      </w:r>
      <w:r w:rsidR="00FB11B3" w:rsidRPr="0046567B">
        <w:rPr>
          <w:lang w:val="fr-FR" w:bidi="fr-FR"/>
        </w:rPr>
        <w:t>’</w:t>
      </w:r>
      <w:r w:rsidRPr="0046567B">
        <w:rPr>
          <w:lang w:val="fr-FR" w:bidi="fr-FR"/>
        </w:rPr>
        <w:t>une législation.</w:t>
      </w:r>
    </w:p>
    <w:p w14:paraId="35F4D22A" w14:textId="26683211" w:rsidR="00F02E0E" w:rsidRPr="0046567B" w:rsidRDefault="00F02E0E" w:rsidP="00F02E0E">
      <w:pPr>
        <w:pStyle w:val="SingleTxt"/>
        <w:spacing w:after="0" w:line="120" w:lineRule="exact"/>
        <w:rPr>
          <w:sz w:val="10"/>
          <w:lang w:val="fr-FR"/>
        </w:rPr>
      </w:pPr>
    </w:p>
    <w:p w14:paraId="06557E09" w14:textId="77777777" w:rsidR="00F02E0E" w:rsidRPr="0046567B" w:rsidRDefault="00F02E0E" w:rsidP="00F02E0E">
      <w:pPr>
        <w:pStyle w:val="SingleTxt"/>
        <w:spacing w:after="0" w:line="120" w:lineRule="exact"/>
        <w:rPr>
          <w:sz w:val="10"/>
          <w:lang w:val="fr-FR"/>
        </w:rPr>
      </w:pPr>
    </w:p>
    <w:p w14:paraId="61C32E66" w14:textId="7AF53A58" w:rsidR="00FC36AA" w:rsidRPr="0046567B" w:rsidRDefault="00FC36AA" w:rsidP="00F02E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r>
      <w:r w:rsidRPr="0046567B">
        <w:rPr>
          <w:szCs w:val="20"/>
          <w:lang w:val="fr-FR" w:bidi="fr-FR"/>
        </w:rPr>
        <w:t>Législation</w:t>
      </w:r>
      <w:r w:rsidRPr="0046567B">
        <w:rPr>
          <w:lang w:val="fr-FR" w:bidi="fr-FR"/>
        </w:rPr>
        <w:t xml:space="preserve"> en matière de tutelle, de curatelle et d</w:t>
      </w:r>
      <w:r w:rsidR="00FB11B3" w:rsidRPr="0046567B">
        <w:rPr>
          <w:lang w:val="fr-FR" w:bidi="fr-FR"/>
        </w:rPr>
        <w:t>’</w:t>
      </w:r>
      <w:r w:rsidRPr="0046567B">
        <w:rPr>
          <w:lang w:val="fr-FR" w:bidi="fr-FR"/>
        </w:rPr>
        <w:t>adoption d</w:t>
      </w:r>
      <w:r w:rsidR="00FB11B3" w:rsidRPr="0046567B">
        <w:rPr>
          <w:lang w:val="fr-FR" w:bidi="fr-FR"/>
        </w:rPr>
        <w:t>’</w:t>
      </w:r>
      <w:r w:rsidRPr="0046567B">
        <w:rPr>
          <w:lang w:val="fr-FR" w:bidi="fr-FR"/>
        </w:rPr>
        <w:t>enfants</w:t>
      </w:r>
    </w:p>
    <w:p w14:paraId="00373F72" w14:textId="6289AFEF" w:rsidR="00F02E0E" w:rsidRPr="0046567B" w:rsidRDefault="00F02E0E" w:rsidP="00F02E0E">
      <w:pPr>
        <w:pStyle w:val="SingleTxt"/>
        <w:keepNext/>
        <w:keepLines/>
        <w:spacing w:after="0" w:line="120" w:lineRule="exact"/>
        <w:rPr>
          <w:sz w:val="10"/>
          <w:lang w:val="fr-FR" w:bidi="fr-FR"/>
        </w:rPr>
      </w:pPr>
    </w:p>
    <w:p w14:paraId="572F5484" w14:textId="4DCA3B5F" w:rsidR="00F02E0E" w:rsidRPr="0046567B" w:rsidRDefault="00F02E0E" w:rsidP="00F02E0E">
      <w:pPr>
        <w:pStyle w:val="SingleTxt"/>
        <w:keepNext/>
        <w:keepLines/>
        <w:spacing w:after="0" w:line="120" w:lineRule="exact"/>
        <w:rPr>
          <w:sz w:val="10"/>
          <w:lang w:val="fr-FR" w:bidi="fr-FR"/>
        </w:rPr>
      </w:pPr>
    </w:p>
    <w:p w14:paraId="17D7F1C6" w14:textId="64C58916" w:rsidR="00FC36AA" w:rsidRPr="0046567B" w:rsidRDefault="00FC36AA" w:rsidP="00F02E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r>
      <w:r w:rsidRPr="0046567B">
        <w:rPr>
          <w:szCs w:val="20"/>
          <w:lang w:val="fr-FR" w:bidi="fr-FR"/>
        </w:rPr>
        <w:t>L</w:t>
      </w:r>
      <w:r w:rsidR="00FB11B3" w:rsidRPr="0046567B">
        <w:rPr>
          <w:szCs w:val="20"/>
          <w:lang w:val="fr-FR" w:bidi="fr-FR"/>
        </w:rPr>
        <w:t>’</w:t>
      </w:r>
      <w:r w:rsidRPr="0046567B">
        <w:rPr>
          <w:szCs w:val="20"/>
          <w:lang w:val="fr-FR" w:bidi="fr-FR"/>
        </w:rPr>
        <w:t>ordonnance</w:t>
      </w:r>
      <w:r w:rsidRPr="0046567B">
        <w:rPr>
          <w:lang w:val="fr-FR" w:bidi="fr-FR"/>
        </w:rPr>
        <w:t xml:space="preserve"> sur l</w:t>
      </w:r>
      <w:r w:rsidR="00FB11B3" w:rsidRPr="0046567B">
        <w:rPr>
          <w:lang w:val="fr-FR" w:bidi="fr-FR"/>
        </w:rPr>
        <w:t>’</w:t>
      </w:r>
      <w:r w:rsidRPr="0046567B">
        <w:rPr>
          <w:lang w:val="fr-FR" w:bidi="fr-FR"/>
        </w:rPr>
        <w:t>adoption</w:t>
      </w:r>
    </w:p>
    <w:p w14:paraId="28D1CAF7" w14:textId="136420B4" w:rsidR="00F02E0E" w:rsidRPr="0046567B" w:rsidRDefault="00F02E0E" w:rsidP="00F02E0E">
      <w:pPr>
        <w:pStyle w:val="SingleTxt"/>
        <w:spacing w:after="0" w:line="120" w:lineRule="exact"/>
        <w:rPr>
          <w:sz w:val="10"/>
          <w:lang w:val="fr-FR" w:bidi="fr-FR"/>
        </w:rPr>
      </w:pPr>
    </w:p>
    <w:p w14:paraId="5262EFED" w14:textId="49251C1C" w:rsidR="00FC36AA" w:rsidRPr="0046567B" w:rsidRDefault="00FC36AA" w:rsidP="00F02E0E">
      <w:pPr>
        <w:pStyle w:val="SingleTxt"/>
        <w:numPr>
          <w:ilvl w:val="0"/>
          <w:numId w:val="35"/>
        </w:numPr>
        <w:spacing w:line="240" w:lineRule="exact"/>
        <w:rPr>
          <w:lang w:val="fr-FR"/>
        </w:rPr>
      </w:pPr>
      <w:r w:rsidRPr="0046567B">
        <w:rPr>
          <w:lang w:val="fr-FR" w:bidi="fr-FR"/>
        </w:rPr>
        <w:t xml:space="preserve">La </w:t>
      </w:r>
      <w:r w:rsidRPr="0046567B">
        <w:rPr>
          <w:szCs w:val="20"/>
          <w:lang w:val="fr-FR" w:bidi="fr-FR"/>
        </w:rPr>
        <w:t>Convention</w:t>
      </w:r>
      <w:r w:rsidRPr="0046567B">
        <w:rPr>
          <w:lang w:val="fr-FR" w:bidi="fr-FR"/>
        </w:rPr>
        <w:t xml:space="preserve"> de La Haye sur la protection des enfants et la coopération en matière d</w:t>
      </w:r>
      <w:r w:rsidR="00FB11B3" w:rsidRPr="0046567B">
        <w:rPr>
          <w:lang w:val="fr-FR" w:bidi="fr-FR"/>
        </w:rPr>
        <w:t>’</w:t>
      </w:r>
      <w:r w:rsidRPr="0046567B">
        <w:rPr>
          <w:lang w:val="fr-FR" w:bidi="fr-FR"/>
        </w:rPr>
        <w:t>adoption internationale est actuellement en vigueur à Hong Kong à travers l</w:t>
      </w:r>
      <w:r w:rsidR="00FB11B3" w:rsidRPr="0046567B">
        <w:rPr>
          <w:lang w:val="fr-FR" w:bidi="fr-FR"/>
        </w:rPr>
        <w:t>’</w:t>
      </w:r>
      <w:r w:rsidRPr="0046567B">
        <w:rPr>
          <w:lang w:val="fr-FR" w:bidi="fr-FR"/>
        </w:rPr>
        <w:t>ordonnance sur l</w:t>
      </w:r>
      <w:r w:rsidR="00FB11B3" w:rsidRPr="0046567B">
        <w:rPr>
          <w:lang w:val="fr-FR" w:bidi="fr-FR"/>
        </w:rPr>
        <w:t>’</w:t>
      </w:r>
      <w:r w:rsidRPr="0046567B">
        <w:rPr>
          <w:lang w:val="fr-FR" w:bidi="fr-FR"/>
        </w:rPr>
        <w:t>adoption (chap. 290).</w:t>
      </w:r>
    </w:p>
    <w:p w14:paraId="17C13F8B" w14:textId="6BAF869E" w:rsidR="00F02E0E" w:rsidRPr="0046567B" w:rsidRDefault="00F02E0E" w:rsidP="00F02E0E">
      <w:pPr>
        <w:pStyle w:val="SingleTxt"/>
        <w:spacing w:after="0" w:line="120" w:lineRule="exact"/>
        <w:rPr>
          <w:sz w:val="10"/>
          <w:lang w:val="fr-FR" w:bidi="fr-FR"/>
        </w:rPr>
      </w:pPr>
    </w:p>
    <w:p w14:paraId="389B3D60" w14:textId="2DB65535" w:rsidR="00FC36AA" w:rsidRPr="0046567B" w:rsidRDefault="00FC36AA" w:rsidP="00F02E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w:t>
      </w:r>
      <w:r w:rsidR="00FB11B3" w:rsidRPr="0046567B">
        <w:rPr>
          <w:lang w:val="fr-FR" w:bidi="fr-FR"/>
        </w:rPr>
        <w:t>’</w:t>
      </w:r>
      <w:r w:rsidRPr="0046567B">
        <w:rPr>
          <w:lang w:val="fr-FR" w:bidi="fr-FR"/>
        </w:rPr>
        <w:t>ordonnance sur la tutelle des mineurs</w:t>
      </w:r>
    </w:p>
    <w:p w14:paraId="2E419A34" w14:textId="25C59AED" w:rsidR="00F02E0E" w:rsidRPr="0046567B" w:rsidRDefault="00F02E0E" w:rsidP="00F02E0E">
      <w:pPr>
        <w:pStyle w:val="SingleTxt"/>
        <w:spacing w:after="0" w:line="120" w:lineRule="exact"/>
        <w:rPr>
          <w:sz w:val="10"/>
          <w:lang w:val="fr-FR" w:bidi="fr-FR"/>
        </w:rPr>
      </w:pPr>
    </w:p>
    <w:p w14:paraId="368E6364" w14:textId="30E12231" w:rsidR="00FC36AA" w:rsidRPr="0046567B" w:rsidRDefault="00FC36AA" w:rsidP="002A20B0">
      <w:pPr>
        <w:pStyle w:val="SingleTxt"/>
        <w:numPr>
          <w:ilvl w:val="0"/>
          <w:numId w:val="35"/>
        </w:numPr>
        <w:spacing w:line="240" w:lineRule="exact"/>
        <w:rPr>
          <w:lang w:val="fr-FR"/>
        </w:rPr>
      </w:pPr>
      <w:r w:rsidRPr="0046567B">
        <w:rPr>
          <w:lang w:val="fr-FR" w:bidi="fr-FR"/>
        </w:rPr>
        <w:t xml:space="preserve">Les recommandations </w:t>
      </w:r>
      <w:r w:rsidRPr="0046567B">
        <w:rPr>
          <w:szCs w:val="20"/>
          <w:lang w:val="fr-FR" w:bidi="fr-FR"/>
        </w:rPr>
        <w:t>formulées</w:t>
      </w:r>
      <w:r w:rsidRPr="0046567B">
        <w:rPr>
          <w:lang w:val="fr-FR" w:bidi="fr-FR"/>
        </w:rPr>
        <w:t xml:space="preserve"> dans le rapport de la Commission de la réforme législative sur la tutelle des enfants ont été mises en œuvre par l</w:t>
      </w:r>
      <w:r w:rsidR="00FB11B3" w:rsidRPr="0046567B">
        <w:rPr>
          <w:lang w:val="fr-FR" w:bidi="fr-FR"/>
        </w:rPr>
        <w:t>’</w:t>
      </w:r>
      <w:r w:rsidRPr="0046567B">
        <w:rPr>
          <w:lang w:val="fr-FR" w:bidi="fr-FR"/>
        </w:rPr>
        <w:t>ordonnance de</w:t>
      </w:r>
      <w:r w:rsidR="002A20B0" w:rsidRPr="0046567B">
        <w:rPr>
          <w:lang w:val="fr-FR" w:bidi="fr-FR"/>
        </w:rPr>
        <w:t xml:space="preserve"> </w:t>
      </w:r>
      <w:r w:rsidRPr="0046567B">
        <w:rPr>
          <w:lang w:val="fr-FR" w:bidi="fr-FR"/>
        </w:rPr>
        <w:t>2012 sur la tutelle des mineurs</w:t>
      </w:r>
      <w:r w:rsidR="00FB11B3" w:rsidRPr="0046567B">
        <w:rPr>
          <w:lang w:val="fr-FR" w:bidi="fr-FR"/>
        </w:rPr>
        <w:t> :</w:t>
      </w:r>
      <w:r w:rsidRPr="0046567B">
        <w:rPr>
          <w:lang w:val="fr-FR" w:bidi="fr-FR"/>
        </w:rPr>
        <w:t xml:space="preserve"> la modification des dispositions de cette ordonnance (chap.</w:t>
      </w:r>
      <w:r w:rsidR="002A20B0" w:rsidRPr="0046567B">
        <w:rPr>
          <w:lang w:val="fr-FR" w:bidi="fr-FR"/>
        </w:rPr>
        <w:t> </w:t>
      </w:r>
      <w:r w:rsidRPr="0046567B">
        <w:rPr>
          <w:lang w:val="fr-FR" w:bidi="fr-FR"/>
        </w:rPr>
        <w:t>13) ont amélioré les arrangements légaux relatifs à la désignation, à la révocation et aux pouvoirs des tuteurs et ouvert aux parents la faculté de prendre des dispositions de tutelle pour leurs enfants en cas de décès, contribuant ainsi à l</w:t>
      </w:r>
      <w:r w:rsidR="00FB11B3" w:rsidRPr="0046567B">
        <w:rPr>
          <w:lang w:val="fr-FR" w:bidi="fr-FR"/>
        </w:rPr>
        <w:t>’</w:t>
      </w:r>
      <w:r w:rsidRPr="0046567B">
        <w:rPr>
          <w:lang w:val="fr-FR" w:bidi="fr-FR"/>
        </w:rPr>
        <w:t>intérêt supérieur des enfants.</w:t>
      </w:r>
    </w:p>
    <w:p w14:paraId="3DD60446" w14:textId="566EB803" w:rsidR="002A20B0" w:rsidRPr="0046567B" w:rsidRDefault="002A20B0" w:rsidP="002A20B0">
      <w:pPr>
        <w:pStyle w:val="SingleTxt"/>
        <w:spacing w:after="0" w:line="120" w:lineRule="exact"/>
        <w:rPr>
          <w:sz w:val="10"/>
          <w:lang w:val="fr-FR" w:bidi="fr-FR"/>
        </w:rPr>
      </w:pPr>
    </w:p>
    <w:p w14:paraId="0F87D32A" w14:textId="54406F09" w:rsidR="00FC36AA" w:rsidRPr="0046567B" w:rsidRDefault="00FC36AA" w:rsidP="002A20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46567B">
        <w:rPr>
          <w:lang w:val="fr-FR" w:bidi="fr-FR"/>
        </w:rPr>
        <w:tab/>
      </w:r>
      <w:r w:rsidRPr="0046567B">
        <w:rPr>
          <w:lang w:val="fr-FR" w:bidi="fr-FR"/>
        </w:rPr>
        <w:tab/>
        <w:t>L</w:t>
      </w:r>
      <w:r w:rsidR="00FB11B3" w:rsidRPr="0046567B">
        <w:rPr>
          <w:lang w:val="fr-FR" w:bidi="fr-FR"/>
        </w:rPr>
        <w:t>’</w:t>
      </w:r>
      <w:r w:rsidRPr="0046567B">
        <w:rPr>
          <w:lang w:val="fr-FR" w:bidi="fr-FR"/>
        </w:rPr>
        <w:t>ordonnance sur l</w:t>
      </w:r>
      <w:r w:rsidR="00FB11B3" w:rsidRPr="0046567B">
        <w:rPr>
          <w:lang w:val="fr-FR" w:bidi="fr-FR"/>
        </w:rPr>
        <w:t>’</w:t>
      </w:r>
      <w:r w:rsidRPr="0046567B">
        <w:rPr>
          <w:lang w:val="fr-FR" w:bidi="fr-FR"/>
        </w:rPr>
        <w:t>enlèvement et la garde d</w:t>
      </w:r>
      <w:r w:rsidR="00FB11B3" w:rsidRPr="0046567B">
        <w:rPr>
          <w:lang w:val="fr-FR" w:bidi="fr-FR"/>
        </w:rPr>
        <w:t>’</w:t>
      </w:r>
      <w:r w:rsidRPr="0046567B">
        <w:rPr>
          <w:lang w:val="fr-FR" w:bidi="fr-FR"/>
        </w:rPr>
        <w:t>enfants</w:t>
      </w:r>
    </w:p>
    <w:p w14:paraId="3E71A4EE" w14:textId="28D10A4A" w:rsidR="002A20B0" w:rsidRPr="0046567B" w:rsidRDefault="002A20B0" w:rsidP="002A20B0">
      <w:pPr>
        <w:pStyle w:val="SingleTxt"/>
        <w:spacing w:after="0" w:line="120" w:lineRule="exact"/>
        <w:rPr>
          <w:sz w:val="10"/>
          <w:lang w:val="fr-FR" w:bidi="fr-FR"/>
        </w:rPr>
      </w:pPr>
    </w:p>
    <w:p w14:paraId="750F07EB" w14:textId="03FED57A" w:rsidR="00FC36AA" w:rsidRPr="0046567B" w:rsidRDefault="00FC36AA" w:rsidP="002A20B0">
      <w:pPr>
        <w:pStyle w:val="SingleTxt"/>
        <w:numPr>
          <w:ilvl w:val="0"/>
          <w:numId w:val="35"/>
        </w:numPr>
        <w:spacing w:line="240" w:lineRule="exact"/>
      </w:pPr>
      <w:r w:rsidRPr="0046567B">
        <w:rPr>
          <w:lang w:val="fr-FR" w:bidi="fr-FR"/>
        </w:rPr>
        <w:t>L</w:t>
      </w:r>
      <w:r w:rsidR="00FB11B3" w:rsidRPr="0046567B">
        <w:rPr>
          <w:lang w:val="fr-FR" w:bidi="fr-FR"/>
        </w:rPr>
        <w:t>’</w:t>
      </w:r>
      <w:r w:rsidRPr="0046567B">
        <w:rPr>
          <w:lang w:val="fr-FR" w:bidi="fr-FR"/>
        </w:rPr>
        <w:t>ordonnance sur l</w:t>
      </w:r>
      <w:r w:rsidR="00FB11B3" w:rsidRPr="0046567B">
        <w:rPr>
          <w:lang w:val="fr-FR" w:bidi="fr-FR"/>
        </w:rPr>
        <w:t>’</w:t>
      </w:r>
      <w:r w:rsidRPr="0046567B">
        <w:rPr>
          <w:lang w:val="fr-FR" w:bidi="fr-FR"/>
        </w:rPr>
        <w:t>enlèvement et la garde d</w:t>
      </w:r>
      <w:r w:rsidR="00FB11B3" w:rsidRPr="0046567B">
        <w:rPr>
          <w:lang w:val="fr-FR" w:bidi="fr-FR"/>
        </w:rPr>
        <w:t>’</w:t>
      </w:r>
      <w:r w:rsidRPr="0046567B">
        <w:rPr>
          <w:lang w:val="fr-FR" w:bidi="fr-FR"/>
        </w:rPr>
        <w:t>enfants (chap. 512) donne effet à la Convention de La Haye sur les aspects civils de l</w:t>
      </w:r>
      <w:r w:rsidR="00FB11B3" w:rsidRPr="0046567B">
        <w:rPr>
          <w:lang w:val="fr-FR" w:bidi="fr-FR"/>
        </w:rPr>
        <w:t>’</w:t>
      </w:r>
      <w:r w:rsidRPr="0046567B">
        <w:rPr>
          <w:lang w:val="fr-FR" w:bidi="fr-FR"/>
        </w:rPr>
        <w:t>enlèvement international d</w:t>
      </w:r>
      <w:r w:rsidR="00FB11B3" w:rsidRPr="0046567B">
        <w:rPr>
          <w:lang w:val="fr-FR" w:bidi="fr-FR"/>
        </w:rPr>
        <w:t>’</w:t>
      </w:r>
      <w:r w:rsidRPr="0046567B">
        <w:rPr>
          <w:lang w:val="fr-FR" w:bidi="fr-FR"/>
        </w:rPr>
        <w:t xml:space="preserve">enfants au sein de la </w:t>
      </w:r>
      <w:r w:rsidRPr="0046567B">
        <w:rPr>
          <w:szCs w:val="20"/>
          <w:lang w:val="fr-FR" w:bidi="fr-FR"/>
        </w:rPr>
        <w:t>Région</w:t>
      </w:r>
      <w:r w:rsidRPr="0046567B">
        <w:rPr>
          <w:lang w:val="fr-FR" w:bidi="fr-FR"/>
        </w:rPr>
        <w:t xml:space="preserve"> administrative spéciale de Hong Kong. En</w:t>
      </w:r>
      <w:r w:rsidR="002A20B0" w:rsidRPr="0046567B">
        <w:rPr>
          <w:lang w:val="fr-FR" w:bidi="fr-FR"/>
        </w:rPr>
        <w:t xml:space="preserve"> </w:t>
      </w:r>
      <w:r w:rsidRPr="0046567B">
        <w:rPr>
          <w:lang w:val="fr-FR" w:bidi="fr-FR"/>
        </w:rPr>
        <w:t>2002, la Commission de la réforme législative a publié le Rapport sur l</w:t>
      </w:r>
      <w:r w:rsidR="00FB11B3" w:rsidRPr="0046567B">
        <w:rPr>
          <w:lang w:val="fr-FR" w:bidi="fr-FR"/>
        </w:rPr>
        <w:t>’</w:t>
      </w:r>
      <w:r w:rsidRPr="0046567B">
        <w:rPr>
          <w:lang w:val="fr-FR" w:bidi="fr-FR"/>
        </w:rPr>
        <w:t>enlèvement international d</w:t>
      </w:r>
      <w:r w:rsidR="00FB11B3" w:rsidRPr="0046567B">
        <w:rPr>
          <w:lang w:val="fr-FR" w:bidi="fr-FR"/>
        </w:rPr>
        <w:t>’</w:t>
      </w:r>
      <w:r w:rsidRPr="0046567B">
        <w:rPr>
          <w:lang w:val="fr-FR" w:bidi="fr-FR"/>
        </w:rPr>
        <w:t>enfants par le père ou la mère, qui contient des recommandations relatives à l</w:t>
      </w:r>
      <w:r w:rsidR="00FB11B3" w:rsidRPr="0046567B">
        <w:rPr>
          <w:lang w:val="fr-FR" w:bidi="fr-FR"/>
        </w:rPr>
        <w:t>’</w:t>
      </w:r>
      <w:r w:rsidRPr="0046567B">
        <w:rPr>
          <w:lang w:val="fr-FR" w:bidi="fr-FR"/>
        </w:rPr>
        <w:t>enlèvement d</w:t>
      </w:r>
      <w:r w:rsidR="00FB11B3" w:rsidRPr="0046567B">
        <w:rPr>
          <w:lang w:val="fr-FR" w:bidi="fr-FR"/>
        </w:rPr>
        <w:t>’</w:t>
      </w:r>
      <w:r w:rsidRPr="0046567B">
        <w:rPr>
          <w:lang w:val="fr-FR" w:bidi="fr-FR"/>
        </w:rPr>
        <w:t>enfants par le père ou la mère à travers les frontières internationales en cas de conflit concernant leur garde. Toutes ces recommandations ont été mises en œuvre par l</w:t>
      </w:r>
      <w:r w:rsidR="00FB11B3" w:rsidRPr="0046567B">
        <w:rPr>
          <w:lang w:val="fr-FR" w:bidi="fr-FR"/>
        </w:rPr>
        <w:t>’</w:t>
      </w:r>
      <w:r w:rsidRPr="0046567B">
        <w:rPr>
          <w:lang w:val="fr-FR" w:bidi="fr-FR"/>
        </w:rPr>
        <w:t>ordonnance de</w:t>
      </w:r>
      <w:r w:rsidR="002A20B0" w:rsidRPr="0046567B">
        <w:rPr>
          <w:lang w:val="fr-FR" w:bidi="fr-FR"/>
        </w:rPr>
        <w:t xml:space="preserve"> </w:t>
      </w:r>
      <w:r w:rsidRPr="0046567B">
        <w:rPr>
          <w:lang w:val="fr-FR" w:bidi="fr-FR"/>
        </w:rPr>
        <w:t>2014 sur la législation relative à l</w:t>
      </w:r>
      <w:r w:rsidR="00FB11B3" w:rsidRPr="0046567B">
        <w:rPr>
          <w:lang w:val="fr-FR" w:bidi="fr-FR"/>
        </w:rPr>
        <w:t>’</w:t>
      </w:r>
      <w:r w:rsidRPr="0046567B">
        <w:rPr>
          <w:lang w:val="fr-FR" w:bidi="fr-FR"/>
        </w:rPr>
        <w:t>enlèvement d</w:t>
      </w:r>
      <w:r w:rsidR="00FB11B3" w:rsidRPr="0046567B">
        <w:rPr>
          <w:lang w:val="fr-FR" w:bidi="fr-FR"/>
        </w:rPr>
        <w:t>’</w:t>
      </w:r>
      <w:r w:rsidRPr="0046567B">
        <w:rPr>
          <w:lang w:val="fr-FR" w:bidi="fr-FR"/>
        </w:rPr>
        <w:t>enfants (amendements divers), qui habilite les forces de l</w:t>
      </w:r>
      <w:r w:rsidR="00FB11B3" w:rsidRPr="0046567B">
        <w:rPr>
          <w:lang w:val="fr-FR" w:bidi="fr-FR"/>
        </w:rPr>
        <w:t>’</w:t>
      </w:r>
      <w:r w:rsidRPr="0046567B">
        <w:rPr>
          <w:lang w:val="fr-FR" w:bidi="fr-FR"/>
        </w:rPr>
        <w:t>ordre à retenir un enfant soupçonné d</w:t>
      </w:r>
      <w:r w:rsidR="00FB11B3" w:rsidRPr="0046567B">
        <w:rPr>
          <w:lang w:val="fr-FR" w:bidi="fr-FR"/>
        </w:rPr>
        <w:t>’</w:t>
      </w:r>
      <w:r w:rsidRPr="0046567B">
        <w:rPr>
          <w:lang w:val="fr-FR" w:bidi="fr-FR"/>
        </w:rPr>
        <w:t>avoir été enlevé à tout point de contrôle frontalier où une ordonnance du tribunal interdit à l</w:t>
      </w:r>
      <w:r w:rsidR="00FB11B3" w:rsidRPr="0046567B">
        <w:rPr>
          <w:lang w:val="fr-FR" w:bidi="fr-FR"/>
        </w:rPr>
        <w:t>’</w:t>
      </w:r>
      <w:r w:rsidRPr="0046567B">
        <w:rPr>
          <w:lang w:val="fr-FR" w:bidi="fr-FR"/>
        </w:rPr>
        <w:t>enfant de quitter Hong Kong (ou lorsqu</w:t>
      </w:r>
      <w:r w:rsidR="00FB11B3" w:rsidRPr="0046567B">
        <w:rPr>
          <w:lang w:val="fr-FR" w:bidi="fr-FR"/>
        </w:rPr>
        <w:t>’</w:t>
      </w:r>
      <w:r w:rsidRPr="0046567B">
        <w:rPr>
          <w:lang w:val="fr-FR" w:bidi="fr-FR"/>
        </w:rPr>
        <w:t>une demande en vue d</w:t>
      </w:r>
      <w:r w:rsidR="00FB11B3" w:rsidRPr="0046567B">
        <w:rPr>
          <w:lang w:val="fr-FR" w:bidi="fr-FR"/>
        </w:rPr>
        <w:t>’</w:t>
      </w:r>
      <w:r w:rsidRPr="0046567B">
        <w:rPr>
          <w:lang w:val="fr-FR" w:bidi="fr-FR"/>
        </w:rPr>
        <w:t>une ordonnance a été présentée au tribunal) afin que l</w:t>
      </w:r>
      <w:r w:rsidR="00FB11B3" w:rsidRPr="0046567B">
        <w:rPr>
          <w:lang w:val="fr-FR" w:bidi="fr-FR"/>
        </w:rPr>
        <w:t>’</w:t>
      </w:r>
      <w:r w:rsidRPr="0046567B">
        <w:rPr>
          <w:lang w:val="fr-FR" w:bidi="fr-FR"/>
        </w:rPr>
        <w:t>enfant puisse être rendu au parent qui en a la garde ou conduit en lieu sûr.</w:t>
      </w:r>
    </w:p>
    <w:p w14:paraId="23F3B6AE" w14:textId="6993F7EA" w:rsidR="002A20B0" w:rsidRPr="002A20B0" w:rsidRDefault="002A20B0" w:rsidP="002A20B0">
      <w:pPr>
        <w:pStyle w:val="SingleTxt"/>
        <w:spacing w:after="0" w:line="240" w:lineRule="auto"/>
      </w:pPr>
      <w:r w:rsidRPr="0046567B">
        <w:rPr>
          <w:noProof/>
          <w:w w:val="100"/>
        </w:rPr>
        <mc:AlternateContent>
          <mc:Choice Requires="wps">
            <w:drawing>
              <wp:anchor distT="0" distB="0" distL="114300" distR="114300" simplePos="0" relativeHeight="251660288" behindDoc="0" locked="0" layoutInCell="1" allowOverlap="1" wp14:anchorId="6C9ACDEE" wp14:editId="0BE627E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8DE35"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A20B0" w:rsidRPr="002A20B0" w:rsidSect="002A20B0">
      <w:type w:val="continuous"/>
      <w:pgSz w:w="12240" w:h="15840"/>
      <w:pgMar w:top="1440" w:right="1195" w:bottom="1152" w:left="1195"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2-05T16:07:00Z" w:initials="Start">
    <w:p w14:paraId="7751DE39" w14:textId="77777777" w:rsidR="00AB0B0B" w:rsidRPr="00670DD4" w:rsidRDefault="00AB0B0B">
      <w:pPr>
        <w:pStyle w:val="CommentText"/>
        <w:rPr>
          <w:lang w:val="en-US"/>
        </w:rPr>
      </w:pPr>
      <w:r>
        <w:rPr>
          <w:rStyle w:val="CommentReference"/>
        </w:rPr>
        <w:annotationRef/>
      </w:r>
      <w:r w:rsidRPr="00670DD4">
        <w:rPr>
          <w:lang w:val="en-US"/>
        </w:rPr>
        <w:t>&lt;&lt;ODS JOB NO&gt;&gt;N2036797F&lt;&lt;ODS JOB NO&gt;&gt;</w:t>
      </w:r>
    </w:p>
    <w:p w14:paraId="673EC5DE" w14:textId="77777777" w:rsidR="00AB0B0B" w:rsidRDefault="00AB0B0B">
      <w:pPr>
        <w:pStyle w:val="CommentText"/>
      </w:pPr>
      <w:r>
        <w:t>&lt;&lt;ODS DOC SYMBOL1&gt;&gt;CEDAW/C/CHN-HKG/9&lt;&lt;ODS DOC SYMBOL1&gt;&gt;</w:t>
      </w:r>
    </w:p>
    <w:p w14:paraId="42025291" w14:textId="6E39D0FA" w:rsidR="00AB0B0B" w:rsidRDefault="00AB0B0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0252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EBCC" w16cex:dateUtc="2021-02-05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025291" w16cid:durableId="23C7EB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CFF34" w14:textId="77777777" w:rsidR="00AB0B0B" w:rsidRDefault="00AB0B0B" w:rsidP="00101B18">
      <w:pPr>
        <w:spacing w:line="240" w:lineRule="auto"/>
      </w:pPr>
      <w:r>
        <w:separator/>
      </w:r>
    </w:p>
  </w:endnote>
  <w:endnote w:type="continuationSeparator" w:id="0">
    <w:p w14:paraId="764AFA9A" w14:textId="77777777" w:rsidR="00AB0B0B" w:rsidRDefault="00AB0B0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B0B0B" w14:paraId="3232F2BE" w14:textId="77777777" w:rsidTr="00DE4254">
      <w:tc>
        <w:tcPr>
          <w:tcW w:w="4920" w:type="dxa"/>
          <w:shd w:val="clear" w:color="auto" w:fill="auto"/>
        </w:tcPr>
        <w:p w14:paraId="516795D6" w14:textId="5AE412AA" w:rsidR="00AB0B0B" w:rsidRPr="00DE4254" w:rsidRDefault="00AB0B0B" w:rsidP="00DE425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7E17">
            <w:rPr>
              <w:b w:val="0"/>
              <w:w w:val="103"/>
              <w:sz w:val="14"/>
            </w:rPr>
            <w:t>20-17217</w:t>
          </w:r>
          <w:r>
            <w:rPr>
              <w:b w:val="0"/>
              <w:w w:val="103"/>
              <w:sz w:val="14"/>
            </w:rPr>
            <w:fldChar w:fldCharType="end"/>
          </w:r>
        </w:p>
      </w:tc>
      <w:tc>
        <w:tcPr>
          <w:tcW w:w="4920" w:type="dxa"/>
          <w:shd w:val="clear" w:color="auto" w:fill="auto"/>
        </w:tcPr>
        <w:p w14:paraId="0DEC02C5" w14:textId="1DFEC2E5" w:rsidR="00AB0B0B" w:rsidRPr="00DE4254" w:rsidRDefault="00AB0B0B" w:rsidP="00DE425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4FFD184" w14:textId="77777777" w:rsidR="00AB0B0B" w:rsidRPr="00DE4254" w:rsidRDefault="00AB0B0B" w:rsidP="00DE4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B0B0B" w14:paraId="01A6C6C9" w14:textId="77777777" w:rsidTr="00DE4254">
      <w:tc>
        <w:tcPr>
          <w:tcW w:w="4920" w:type="dxa"/>
          <w:shd w:val="clear" w:color="auto" w:fill="auto"/>
        </w:tcPr>
        <w:p w14:paraId="4388160C" w14:textId="3D3E9756" w:rsidR="00AB0B0B" w:rsidRPr="00DE4254" w:rsidRDefault="00AB0B0B" w:rsidP="00DE425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6C293A3" w14:textId="56C0911A" w:rsidR="00AB0B0B" w:rsidRPr="00DE4254" w:rsidRDefault="00AB0B0B" w:rsidP="00DE425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7E17">
            <w:rPr>
              <w:b w:val="0"/>
              <w:w w:val="103"/>
              <w:sz w:val="14"/>
            </w:rPr>
            <w:t>20-17217</w:t>
          </w:r>
          <w:r>
            <w:rPr>
              <w:b w:val="0"/>
              <w:w w:val="103"/>
              <w:sz w:val="14"/>
            </w:rPr>
            <w:fldChar w:fldCharType="end"/>
          </w:r>
        </w:p>
      </w:tc>
    </w:tr>
  </w:tbl>
  <w:p w14:paraId="478C8DFC" w14:textId="77777777" w:rsidR="00AB0B0B" w:rsidRPr="00DE4254" w:rsidRDefault="00AB0B0B" w:rsidP="00DE4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C195" w14:textId="26842645" w:rsidR="00AB0B0B" w:rsidRDefault="00AB0B0B">
    <w:pPr>
      <w:pStyle w:val="Footer"/>
    </w:pPr>
    <w:r>
      <w:rPr>
        <w:noProof/>
      </w:rPr>
      <w:drawing>
        <wp:anchor distT="0" distB="0" distL="114300" distR="114300" simplePos="0" relativeHeight="251658240" behindDoc="0" locked="0" layoutInCell="1" allowOverlap="1" wp14:anchorId="1BC4259F" wp14:editId="0C4CEBA3">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B0B0B" w14:paraId="455F557E" w14:textId="77777777" w:rsidTr="00DE4254">
      <w:tc>
        <w:tcPr>
          <w:tcW w:w="3758" w:type="dxa"/>
        </w:tcPr>
        <w:p w14:paraId="0E470C8F" w14:textId="5674707B" w:rsidR="00AB0B0B" w:rsidRDefault="00AB0B0B" w:rsidP="00DE4254">
          <w:pPr>
            <w:pStyle w:val="Footer"/>
            <w:rPr>
              <w:b w:val="0"/>
              <w:sz w:val="20"/>
            </w:rPr>
          </w:pPr>
          <w:r>
            <w:rPr>
              <w:b w:val="0"/>
              <w:sz w:val="20"/>
            </w:rPr>
            <w:t>20-17217X (F)</w:t>
          </w:r>
        </w:p>
        <w:p w14:paraId="08A3CEB4" w14:textId="68270BC1" w:rsidR="00AB0B0B" w:rsidRPr="00DE4254" w:rsidRDefault="00AB0B0B" w:rsidP="00DE425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57E17">
            <w:rPr>
              <w:rFonts w:ascii="Barcode 3 of 9 by request" w:hAnsi="Barcode 3 of 9 by request"/>
              <w:spacing w:val="0"/>
              <w:w w:val="100"/>
              <w:sz w:val="24"/>
            </w:rPr>
            <w:t>*2017217*</w:t>
          </w:r>
          <w:r>
            <w:rPr>
              <w:rFonts w:ascii="Barcode 3 of 9 by request" w:hAnsi="Barcode 3 of 9 by request"/>
              <w:spacing w:val="0"/>
              <w:w w:val="100"/>
              <w:sz w:val="24"/>
            </w:rPr>
            <w:fldChar w:fldCharType="end"/>
          </w:r>
        </w:p>
      </w:tc>
      <w:tc>
        <w:tcPr>
          <w:tcW w:w="4920" w:type="dxa"/>
        </w:tcPr>
        <w:p w14:paraId="0F3D7FDF" w14:textId="6070ACE1" w:rsidR="00AB0B0B" w:rsidRDefault="00AB0B0B" w:rsidP="00DE4254">
          <w:pPr>
            <w:pStyle w:val="Footer"/>
            <w:spacing w:line="240" w:lineRule="atLeast"/>
            <w:jc w:val="right"/>
            <w:rPr>
              <w:b w:val="0"/>
              <w:sz w:val="20"/>
            </w:rPr>
          </w:pPr>
          <w:r>
            <w:rPr>
              <w:b w:val="0"/>
              <w:noProof/>
              <w:sz w:val="20"/>
            </w:rPr>
            <w:drawing>
              <wp:inline distT="0" distB="0" distL="0" distR="0" wp14:anchorId="5DA512AC" wp14:editId="07929AA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496F1E8" w14:textId="77777777" w:rsidR="00AB0B0B" w:rsidRPr="00DE4254" w:rsidRDefault="00AB0B0B" w:rsidP="00DE425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812E" w14:textId="37B1AA0F" w:rsidR="00AB0B0B" w:rsidRPr="00F2347E" w:rsidRDefault="00AB0B0B" w:rsidP="00F2347E">
      <w:pPr>
        <w:pStyle w:val="Footer"/>
        <w:spacing w:after="80"/>
        <w:ind w:left="792"/>
        <w:rPr>
          <w:sz w:val="16"/>
        </w:rPr>
      </w:pPr>
      <w:r w:rsidRPr="00F2347E">
        <w:rPr>
          <w:sz w:val="16"/>
        </w:rPr>
        <w:t>__________________</w:t>
      </w:r>
    </w:p>
  </w:footnote>
  <w:footnote w:type="continuationSeparator" w:id="0">
    <w:p w14:paraId="01CD3685" w14:textId="669B4AF4" w:rsidR="00AB0B0B" w:rsidRPr="00F2347E" w:rsidRDefault="00AB0B0B" w:rsidP="00F2347E">
      <w:pPr>
        <w:pStyle w:val="Footer"/>
        <w:spacing w:after="80"/>
        <w:ind w:left="792"/>
        <w:rPr>
          <w:sz w:val="16"/>
        </w:rPr>
      </w:pPr>
      <w:r w:rsidRPr="00F2347E">
        <w:rPr>
          <w:sz w:val="16"/>
        </w:rPr>
        <w:t>__________________</w:t>
      </w:r>
    </w:p>
  </w:footnote>
  <w:footnote w:id="1">
    <w:p w14:paraId="2A0379E4" w14:textId="545CBE2C" w:rsidR="00AB0B0B" w:rsidRPr="00F2347E" w:rsidRDefault="00AB0B0B" w:rsidP="00C31384">
      <w:pPr>
        <w:pStyle w:val="FootnoteText"/>
        <w:widowControl w:val="0"/>
        <w:tabs>
          <w:tab w:val="right" w:pos="1195"/>
          <w:tab w:val="left" w:pos="1267"/>
          <w:tab w:val="left" w:pos="1742"/>
          <w:tab w:val="left" w:pos="2218"/>
          <w:tab w:val="left" w:pos="2693"/>
        </w:tabs>
        <w:suppressAutoHyphens/>
        <w:ind w:left="1267" w:right="1267" w:hanging="576"/>
        <w:rPr>
          <w:lang w:val="fr-FR"/>
        </w:rPr>
      </w:pPr>
      <w:r>
        <w:rPr>
          <w:lang w:val="fr-FR" w:bidi="fr-FR"/>
        </w:rPr>
        <w:tab/>
      </w:r>
      <w:r w:rsidRPr="00F2347E">
        <w:rPr>
          <w:rStyle w:val="FootnoteReference"/>
          <w:spacing w:val="4"/>
          <w:lang w:val="fr-FR" w:bidi="fr-FR"/>
        </w:rPr>
        <w:footnoteRef/>
      </w:r>
      <w:r w:rsidRPr="00F2347E">
        <w:rPr>
          <w:lang w:val="fr-FR" w:bidi="fr-FR"/>
        </w:rPr>
        <w:tab/>
      </w:r>
      <w:hyperlink r:id="rId1" w:history="1">
        <w:r w:rsidRPr="00F2347E">
          <w:rPr>
            <w:rStyle w:val="Hyperlink"/>
            <w:lang w:val="fr-FR" w:bidi="fr-FR"/>
          </w:rPr>
          <w:t>https://www.censtatd.gov.hk/hkstat/sub/so180.jsp</w:t>
        </w:r>
      </w:hyperlink>
      <w:r w:rsidRPr="00F2347E">
        <w:rPr>
          <w:lang w:val="fr-FR" w:bidi="fr-FR"/>
        </w:rPr>
        <w:t>.</w:t>
      </w:r>
    </w:p>
  </w:footnote>
  <w:footnote w:id="2">
    <w:p w14:paraId="6267E5A9" w14:textId="77777777" w:rsidR="00AB0B0B" w:rsidRPr="00F2347E" w:rsidRDefault="00AB0B0B" w:rsidP="00C31384">
      <w:pPr>
        <w:pStyle w:val="FootnoteText"/>
        <w:widowControl w:val="0"/>
        <w:tabs>
          <w:tab w:val="right" w:pos="1195"/>
          <w:tab w:val="left" w:pos="1267"/>
          <w:tab w:val="left" w:pos="1742"/>
          <w:tab w:val="left" w:pos="2218"/>
          <w:tab w:val="left" w:pos="2693"/>
        </w:tabs>
        <w:suppressAutoHyphens/>
        <w:ind w:left="1267" w:right="1267" w:hanging="576"/>
        <w:rPr>
          <w:lang w:val="fr-FR"/>
        </w:rPr>
      </w:pPr>
      <w:r>
        <w:rPr>
          <w:lang w:val="fr-FR" w:bidi="fr-FR"/>
        </w:rPr>
        <w:tab/>
      </w:r>
      <w:r w:rsidRPr="00F2347E">
        <w:rPr>
          <w:rStyle w:val="FootnoteReference"/>
          <w:spacing w:val="4"/>
          <w:lang w:val="fr-FR" w:bidi="fr-FR"/>
        </w:rPr>
        <w:footnoteRef/>
      </w:r>
      <w:r w:rsidRPr="00F2347E">
        <w:rPr>
          <w:szCs w:val="18"/>
          <w:lang w:val="fr-FR" w:bidi="fr-FR"/>
        </w:rPr>
        <w:tab/>
        <w:t>Le Conseil consultatif du travail est un organe consultatif tripartite représentatif qui conseille le Gouvernement sur les questions relatives au travail.</w:t>
      </w:r>
    </w:p>
  </w:footnote>
  <w:footnote w:id="3">
    <w:p w14:paraId="46E26953" w14:textId="1C127B0F" w:rsidR="00AB0B0B" w:rsidRPr="00F2347E" w:rsidRDefault="00AB0B0B" w:rsidP="00C31384">
      <w:pPr>
        <w:pStyle w:val="FootnoteText"/>
        <w:widowControl w:val="0"/>
        <w:tabs>
          <w:tab w:val="right" w:pos="1195"/>
          <w:tab w:val="left" w:pos="1267"/>
          <w:tab w:val="left" w:pos="1742"/>
          <w:tab w:val="left" w:pos="2218"/>
          <w:tab w:val="left" w:pos="2693"/>
        </w:tabs>
        <w:suppressAutoHyphens/>
        <w:ind w:left="1267" w:right="1267" w:hanging="576"/>
        <w:rPr>
          <w:lang w:val="fr-FR"/>
        </w:rPr>
      </w:pPr>
      <w:r>
        <w:rPr>
          <w:lang w:val="fr-FR" w:bidi="fr-FR"/>
        </w:rPr>
        <w:tab/>
      </w:r>
      <w:r w:rsidRPr="00F2347E">
        <w:rPr>
          <w:rStyle w:val="FootnoteReference"/>
          <w:spacing w:val="4"/>
          <w:lang w:val="fr-FR" w:bidi="fr-FR"/>
        </w:rPr>
        <w:footnoteRef/>
      </w:r>
      <w:r w:rsidRPr="00F2347E">
        <w:rPr>
          <w:szCs w:val="18"/>
          <w:lang w:val="fr-FR" w:bidi="fr-FR"/>
        </w:rPr>
        <w:tab/>
        <w:t>On entend par employé sous contrat continu toute personne employée sous contrat de travail par le même employeur pendant 4 semaines ou plus et qui a travaillé pendant 18 heures ou plus par semaine</w:t>
      </w:r>
      <w:r w:rsidRPr="00F2347E">
        <w:rPr>
          <w:rFonts w:hint="eastAsia"/>
          <w:szCs w:val="18"/>
          <w:lang w:val="fr-FR" w:bidi="fr-FR"/>
        </w:rPr>
        <w:t xml:space="preserve"> (ou </w:t>
      </w:r>
      <w:r w:rsidRPr="00F2347E">
        <w:rPr>
          <w:szCs w:val="18"/>
          <w:lang w:val="fr-FR" w:bidi="fr-FR"/>
        </w:rPr>
        <w:t>« </w:t>
      </w:r>
      <w:r w:rsidRPr="00F2347E">
        <w:rPr>
          <w:rFonts w:hint="eastAsia"/>
          <w:szCs w:val="18"/>
          <w:lang w:val="fr-FR" w:bidi="fr-FR"/>
        </w:rPr>
        <w:t>condition</w:t>
      </w:r>
      <w:r w:rsidRPr="00F2347E">
        <w:rPr>
          <w:szCs w:val="18"/>
          <w:lang w:val="fr-FR" w:bidi="fr-FR"/>
        </w:rPr>
        <w:t xml:space="preserve"> </w:t>
      </w:r>
      <w:r w:rsidRPr="00F2347E">
        <w:rPr>
          <w:rFonts w:hint="eastAsia"/>
          <w:szCs w:val="18"/>
          <w:lang w:val="fr-FR" w:bidi="fr-FR"/>
        </w:rPr>
        <w:t>4-18</w:t>
      </w:r>
      <w:r w:rsidRPr="00F2347E">
        <w:rPr>
          <w:szCs w:val="18"/>
          <w:lang w:val="fr-FR" w:bidi="fr-FR"/>
        </w:rPr>
        <w:t> »</w:t>
      </w:r>
      <w:r w:rsidRPr="00F2347E">
        <w:rPr>
          <w:rFonts w:hint="eastAsia"/>
          <w:szCs w:val="18"/>
          <w:lang w:val="fr-FR" w:bidi="fr-FR"/>
        </w:rPr>
        <w:t>)</w:t>
      </w:r>
      <w:r w:rsidRPr="00F2347E">
        <w:rPr>
          <w:szCs w:val="18"/>
          <w:lang w:val="fr-FR" w:bidi="fr-FR"/>
        </w:rPr>
        <w:t>.</w:t>
      </w:r>
    </w:p>
  </w:footnote>
  <w:footnote w:id="4">
    <w:p w14:paraId="76EF6253" w14:textId="03DAA6BF" w:rsidR="00AB0B0B" w:rsidRPr="00F2347E" w:rsidRDefault="00AB0B0B" w:rsidP="00C31384">
      <w:pPr>
        <w:pStyle w:val="FootnoteText"/>
        <w:widowControl w:val="0"/>
        <w:tabs>
          <w:tab w:val="right" w:pos="1195"/>
          <w:tab w:val="left" w:pos="1267"/>
          <w:tab w:val="left" w:pos="1742"/>
          <w:tab w:val="left" w:pos="2218"/>
          <w:tab w:val="left" w:pos="2693"/>
        </w:tabs>
        <w:suppressAutoHyphens/>
        <w:ind w:left="1267" w:right="1267" w:hanging="576"/>
        <w:rPr>
          <w:lang w:val="fr-FR"/>
        </w:rPr>
      </w:pPr>
      <w:r>
        <w:rPr>
          <w:lang w:val="fr-FR" w:bidi="fr-FR"/>
        </w:rPr>
        <w:tab/>
      </w:r>
      <w:r w:rsidRPr="00F2347E">
        <w:rPr>
          <w:rStyle w:val="FootnoteReference"/>
          <w:spacing w:val="4"/>
          <w:lang w:val="fr-FR" w:bidi="fr-FR"/>
        </w:rPr>
        <w:footnoteRef/>
      </w:r>
      <w:r w:rsidRPr="00F2347E">
        <w:rPr>
          <w:szCs w:val="18"/>
          <w:lang w:val="fr-FR" w:bidi="fr-FR"/>
        </w:rPr>
        <w:tab/>
        <w:t>À l</w:t>
      </w:r>
      <w:r>
        <w:rPr>
          <w:szCs w:val="18"/>
          <w:lang w:val="fr-FR" w:bidi="fr-FR"/>
        </w:rPr>
        <w:t>’</w:t>
      </w:r>
      <w:r w:rsidRPr="00F2347E">
        <w:rPr>
          <w:szCs w:val="18"/>
          <w:lang w:val="fr-FR" w:bidi="fr-FR"/>
        </w:rPr>
        <w:t>exclusion des fonctionnaires et des employés de maison vivant à domicile auxquels le salaire minimum légal ne s</w:t>
      </w:r>
      <w:r>
        <w:rPr>
          <w:szCs w:val="18"/>
          <w:lang w:val="fr-FR" w:bidi="fr-FR"/>
        </w:rPr>
        <w:t>’</w:t>
      </w:r>
      <w:r w:rsidRPr="00F2347E">
        <w:rPr>
          <w:szCs w:val="18"/>
          <w:lang w:val="fr-FR" w:bidi="fr-FR"/>
        </w:rPr>
        <w:t>applique pas.</w:t>
      </w:r>
    </w:p>
  </w:footnote>
  <w:footnote w:id="5">
    <w:p w14:paraId="589C0DCD" w14:textId="786BC469" w:rsidR="00AB0B0B" w:rsidRPr="00F2347E" w:rsidRDefault="00AB0B0B" w:rsidP="00C31384">
      <w:pPr>
        <w:pStyle w:val="FootnoteText"/>
        <w:widowControl w:val="0"/>
        <w:tabs>
          <w:tab w:val="right" w:pos="1195"/>
          <w:tab w:val="left" w:pos="1267"/>
          <w:tab w:val="left" w:pos="1742"/>
          <w:tab w:val="left" w:pos="2218"/>
          <w:tab w:val="left" w:pos="2693"/>
        </w:tabs>
        <w:suppressAutoHyphens/>
        <w:ind w:left="1267" w:right="1267" w:hanging="576"/>
        <w:rPr>
          <w:lang w:val="fr-FR"/>
        </w:rPr>
      </w:pPr>
      <w:r>
        <w:rPr>
          <w:lang w:val="fr-FR" w:bidi="fr-FR"/>
        </w:rPr>
        <w:tab/>
      </w:r>
      <w:r w:rsidRPr="00F2347E">
        <w:rPr>
          <w:rStyle w:val="FootnoteReference"/>
          <w:spacing w:val="4"/>
          <w:lang w:val="fr-FR" w:bidi="fr-FR"/>
        </w:rPr>
        <w:footnoteRef/>
      </w:r>
      <w:r w:rsidRPr="00F2347E">
        <w:rPr>
          <w:rFonts w:eastAsia="SimSun" w:hint="eastAsia"/>
          <w:snapToGrid w:val="0"/>
          <w:lang w:val="fr-FR" w:bidi="fr-FR"/>
        </w:rPr>
        <w:tab/>
        <w:t>Le modèle préconisé par la Banque mondiale ne requiert pas la présence des cinq socles. Il souligne plutôt qu</w:t>
      </w:r>
      <w:r>
        <w:rPr>
          <w:rFonts w:eastAsia="SimSun"/>
          <w:snapToGrid w:val="0"/>
          <w:lang w:val="fr-FR" w:bidi="fr-FR"/>
        </w:rPr>
        <w:t>’</w:t>
      </w:r>
      <w:r w:rsidRPr="00F2347E">
        <w:rPr>
          <w:rFonts w:eastAsia="SimSun" w:hint="eastAsia"/>
          <w:snapToGrid w:val="0"/>
          <w:lang w:val="fr-FR" w:bidi="fr-FR"/>
        </w:rPr>
        <w:t>il n</w:t>
      </w:r>
      <w:r>
        <w:rPr>
          <w:rFonts w:eastAsia="SimSun"/>
          <w:snapToGrid w:val="0"/>
          <w:lang w:val="fr-FR" w:bidi="fr-FR"/>
        </w:rPr>
        <w:t>’</w:t>
      </w:r>
      <w:r w:rsidRPr="00F2347E">
        <w:rPr>
          <w:rFonts w:eastAsia="SimSun" w:hint="eastAsia"/>
          <w:snapToGrid w:val="0"/>
          <w:lang w:val="fr-FR" w:bidi="fr-FR"/>
        </w:rPr>
        <w:t>existe pas de système unique de protection des retraites.</w:t>
      </w:r>
    </w:p>
  </w:footnote>
  <w:footnote w:id="6">
    <w:p w14:paraId="75CA50DA" w14:textId="1510B379" w:rsidR="00AB0B0B" w:rsidRPr="00F2347E" w:rsidRDefault="00AB0B0B" w:rsidP="00C31384">
      <w:pPr>
        <w:pStyle w:val="FootnoteText"/>
        <w:widowControl w:val="0"/>
        <w:tabs>
          <w:tab w:val="right" w:pos="1195"/>
          <w:tab w:val="left" w:pos="1267"/>
          <w:tab w:val="left" w:pos="1742"/>
          <w:tab w:val="left" w:pos="2218"/>
          <w:tab w:val="left" w:pos="2693"/>
        </w:tabs>
        <w:suppressAutoHyphens/>
        <w:ind w:left="1267" w:right="1267" w:hanging="576"/>
        <w:rPr>
          <w:lang w:val="fr-FR"/>
        </w:rPr>
      </w:pPr>
      <w:r>
        <w:rPr>
          <w:lang w:val="fr-FR" w:bidi="fr-FR"/>
        </w:rPr>
        <w:tab/>
      </w:r>
      <w:r w:rsidRPr="00F2347E">
        <w:rPr>
          <w:rStyle w:val="FootnoteReference"/>
          <w:spacing w:val="4"/>
          <w:lang w:val="fr-FR" w:bidi="fr-FR"/>
        </w:rPr>
        <w:footnoteRef/>
      </w:r>
      <w:r w:rsidRPr="00F2347E">
        <w:rPr>
          <w:lang w:val="fr-FR" w:bidi="fr-FR"/>
        </w:rPr>
        <w:tab/>
        <w:t>Y compris les épisodes dépressifs, les troubles d</w:t>
      </w:r>
      <w:r>
        <w:rPr>
          <w:lang w:val="fr-FR" w:bidi="fr-FR"/>
        </w:rPr>
        <w:t>’</w:t>
      </w:r>
      <w:r w:rsidRPr="00F2347E">
        <w:rPr>
          <w:lang w:val="fr-FR" w:bidi="fr-FR"/>
        </w:rPr>
        <w:t>anxiété générale, les troubles d</w:t>
      </w:r>
      <w:r>
        <w:rPr>
          <w:lang w:val="fr-FR" w:bidi="fr-FR"/>
        </w:rPr>
        <w:t>’</w:t>
      </w:r>
      <w:r w:rsidRPr="00F2347E">
        <w:rPr>
          <w:lang w:val="fr-FR" w:bidi="fr-FR"/>
        </w:rPr>
        <w:t>anxiété et de dépression, les phobies, les troubles obsessionnels compulsifs et les troubles panique.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B0B0B" w14:paraId="568875F2" w14:textId="77777777" w:rsidTr="00DE4254">
      <w:trPr>
        <w:trHeight w:hRule="exact" w:val="864"/>
      </w:trPr>
      <w:tc>
        <w:tcPr>
          <w:tcW w:w="4920" w:type="dxa"/>
          <w:shd w:val="clear" w:color="auto" w:fill="auto"/>
          <w:vAlign w:val="bottom"/>
        </w:tcPr>
        <w:p w14:paraId="2CC68CAA" w14:textId="25D156A7" w:rsidR="00AB0B0B" w:rsidRPr="00DE4254" w:rsidRDefault="00AB0B0B" w:rsidP="00DE425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7E17">
            <w:rPr>
              <w:b/>
              <w:color w:val="000000"/>
            </w:rPr>
            <w:t>CEDAW/C/CHN-HKG/9</w:t>
          </w:r>
          <w:r>
            <w:rPr>
              <w:b/>
              <w:color w:val="000000"/>
            </w:rPr>
            <w:fldChar w:fldCharType="end"/>
          </w:r>
        </w:p>
      </w:tc>
      <w:tc>
        <w:tcPr>
          <w:tcW w:w="4920" w:type="dxa"/>
          <w:shd w:val="clear" w:color="auto" w:fill="auto"/>
          <w:vAlign w:val="bottom"/>
        </w:tcPr>
        <w:p w14:paraId="580F1AEA" w14:textId="77777777" w:rsidR="00AB0B0B" w:rsidRDefault="00AB0B0B" w:rsidP="00DE4254">
          <w:pPr>
            <w:pStyle w:val="Header"/>
          </w:pPr>
        </w:p>
      </w:tc>
    </w:tr>
  </w:tbl>
  <w:p w14:paraId="27D70894" w14:textId="77777777" w:rsidR="00AB0B0B" w:rsidRPr="00DE4254" w:rsidRDefault="00AB0B0B" w:rsidP="00DE425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B0B0B" w14:paraId="487A9FAD" w14:textId="77777777" w:rsidTr="00DE4254">
      <w:trPr>
        <w:trHeight w:hRule="exact" w:val="864"/>
      </w:trPr>
      <w:tc>
        <w:tcPr>
          <w:tcW w:w="4920" w:type="dxa"/>
          <w:shd w:val="clear" w:color="auto" w:fill="auto"/>
          <w:vAlign w:val="bottom"/>
        </w:tcPr>
        <w:p w14:paraId="13B41B96" w14:textId="77777777" w:rsidR="00AB0B0B" w:rsidRDefault="00AB0B0B" w:rsidP="00DE4254">
          <w:pPr>
            <w:pStyle w:val="Header"/>
          </w:pPr>
        </w:p>
      </w:tc>
      <w:tc>
        <w:tcPr>
          <w:tcW w:w="4920" w:type="dxa"/>
          <w:shd w:val="clear" w:color="auto" w:fill="auto"/>
          <w:vAlign w:val="bottom"/>
        </w:tcPr>
        <w:p w14:paraId="7F931431" w14:textId="7EE913CD" w:rsidR="00AB0B0B" w:rsidRPr="00DE4254" w:rsidRDefault="00AB0B0B" w:rsidP="00DE425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7E17">
            <w:rPr>
              <w:b/>
              <w:color w:val="000000"/>
            </w:rPr>
            <w:t>CEDAW/C/CHN-HKG/9</w:t>
          </w:r>
          <w:r>
            <w:rPr>
              <w:b/>
              <w:color w:val="000000"/>
            </w:rPr>
            <w:fldChar w:fldCharType="end"/>
          </w:r>
        </w:p>
      </w:tc>
    </w:tr>
  </w:tbl>
  <w:p w14:paraId="27FE7D81" w14:textId="77777777" w:rsidR="00AB0B0B" w:rsidRPr="00DE4254" w:rsidRDefault="00AB0B0B" w:rsidP="00DE425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B0B0B" w:rsidRPr="00282A1A" w14:paraId="5F650F69" w14:textId="77777777" w:rsidTr="00DE4254">
      <w:trPr>
        <w:trHeight w:hRule="exact" w:val="864"/>
      </w:trPr>
      <w:tc>
        <w:tcPr>
          <w:tcW w:w="1267" w:type="dxa"/>
          <w:tcBorders>
            <w:bottom w:val="single" w:sz="4" w:space="0" w:color="auto"/>
          </w:tcBorders>
          <w:shd w:val="clear" w:color="auto" w:fill="auto"/>
          <w:vAlign w:val="bottom"/>
        </w:tcPr>
        <w:p w14:paraId="62D52B61" w14:textId="77777777" w:rsidR="00AB0B0B" w:rsidRPr="00282A1A" w:rsidRDefault="00AB0B0B" w:rsidP="00DE4254">
          <w:pPr>
            <w:pStyle w:val="Header"/>
            <w:spacing w:after="120"/>
            <w:rPr>
              <w:lang w:val="fr-FR"/>
            </w:rPr>
          </w:pPr>
        </w:p>
      </w:tc>
      <w:tc>
        <w:tcPr>
          <w:tcW w:w="2059" w:type="dxa"/>
          <w:tcBorders>
            <w:bottom w:val="single" w:sz="4" w:space="0" w:color="auto"/>
          </w:tcBorders>
          <w:shd w:val="clear" w:color="auto" w:fill="auto"/>
          <w:vAlign w:val="bottom"/>
        </w:tcPr>
        <w:p w14:paraId="26EE231F" w14:textId="61107619" w:rsidR="00AB0B0B" w:rsidRPr="00282A1A" w:rsidRDefault="00AB0B0B" w:rsidP="00DE4254">
          <w:pPr>
            <w:pStyle w:val="HCH"/>
            <w:spacing w:after="80"/>
            <w:rPr>
              <w:b w:val="0"/>
              <w:color w:val="010000"/>
              <w:spacing w:val="2"/>
              <w:w w:val="96"/>
              <w:lang w:val="fr-FR"/>
            </w:rPr>
          </w:pPr>
          <w:r w:rsidRPr="00282A1A">
            <w:rPr>
              <w:b w:val="0"/>
              <w:color w:val="010000"/>
              <w:spacing w:val="2"/>
              <w:w w:val="96"/>
              <w:lang w:val="fr-FR"/>
            </w:rPr>
            <w:t>Nations Unies</w:t>
          </w:r>
        </w:p>
      </w:tc>
      <w:tc>
        <w:tcPr>
          <w:tcW w:w="58" w:type="dxa"/>
          <w:tcBorders>
            <w:bottom w:val="single" w:sz="4" w:space="0" w:color="auto"/>
          </w:tcBorders>
          <w:shd w:val="clear" w:color="auto" w:fill="auto"/>
          <w:vAlign w:val="bottom"/>
        </w:tcPr>
        <w:p w14:paraId="18C631E8" w14:textId="77777777" w:rsidR="00AB0B0B" w:rsidRPr="00282A1A" w:rsidRDefault="00AB0B0B" w:rsidP="00DE4254">
          <w:pPr>
            <w:pStyle w:val="Header"/>
            <w:spacing w:after="120"/>
            <w:rPr>
              <w:lang w:val="fr-FR"/>
            </w:rPr>
          </w:pPr>
        </w:p>
      </w:tc>
      <w:tc>
        <w:tcPr>
          <w:tcW w:w="6466" w:type="dxa"/>
          <w:gridSpan w:val="3"/>
          <w:tcBorders>
            <w:bottom w:val="single" w:sz="4" w:space="0" w:color="auto"/>
          </w:tcBorders>
          <w:shd w:val="clear" w:color="auto" w:fill="auto"/>
          <w:vAlign w:val="bottom"/>
        </w:tcPr>
        <w:p w14:paraId="06755C5D" w14:textId="4D7EB128" w:rsidR="00AB0B0B" w:rsidRPr="00282A1A" w:rsidRDefault="00AB0B0B" w:rsidP="00DE4254">
          <w:pPr>
            <w:spacing w:after="80" w:line="240" w:lineRule="auto"/>
            <w:jc w:val="right"/>
            <w:rPr>
              <w:position w:val="-4"/>
              <w:lang w:val="fr-FR"/>
            </w:rPr>
          </w:pPr>
          <w:r w:rsidRPr="00282A1A">
            <w:rPr>
              <w:position w:val="-4"/>
              <w:sz w:val="40"/>
              <w:lang w:val="fr-FR"/>
            </w:rPr>
            <w:t>CEDAW</w:t>
          </w:r>
          <w:r w:rsidRPr="00282A1A">
            <w:rPr>
              <w:position w:val="-4"/>
              <w:lang w:val="fr-FR"/>
            </w:rPr>
            <w:t>/C/CHN-HKG/9</w:t>
          </w:r>
        </w:p>
      </w:tc>
    </w:tr>
    <w:tr w:rsidR="00AB0B0B" w:rsidRPr="00282A1A" w14:paraId="5876CFD8" w14:textId="77777777" w:rsidTr="00DE4254">
      <w:trPr>
        <w:trHeight w:hRule="exact" w:val="2880"/>
      </w:trPr>
      <w:tc>
        <w:tcPr>
          <w:tcW w:w="1267" w:type="dxa"/>
          <w:tcBorders>
            <w:top w:val="single" w:sz="4" w:space="0" w:color="auto"/>
            <w:bottom w:val="single" w:sz="12" w:space="0" w:color="auto"/>
          </w:tcBorders>
          <w:shd w:val="clear" w:color="auto" w:fill="auto"/>
        </w:tcPr>
        <w:p w14:paraId="430D0EC1" w14:textId="6D54C933" w:rsidR="00AB0B0B" w:rsidRPr="00282A1A" w:rsidRDefault="00AB0B0B" w:rsidP="00DE4254">
          <w:pPr>
            <w:pStyle w:val="Header"/>
            <w:spacing w:before="120" w:line="240" w:lineRule="auto"/>
            <w:ind w:left="-72"/>
            <w:jc w:val="center"/>
            <w:rPr>
              <w:lang w:val="fr-FR"/>
            </w:rPr>
          </w:pPr>
          <w:r w:rsidRPr="00282A1A">
            <w:rPr>
              <w:lang w:val="fr-FR"/>
            </w:rPr>
            <w:t xml:space="preserve">  </w:t>
          </w:r>
          <w:r w:rsidRPr="00282A1A">
            <w:rPr>
              <w:noProof/>
              <w:lang w:val="fr-FR"/>
            </w:rPr>
            <w:drawing>
              <wp:inline distT="0" distB="0" distL="0" distR="0" wp14:anchorId="68B7A0D0" wp14:editId="13926D4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FBD342" w14:textId="73770B04" w:rsidR="00AB0B0B" w:rsidRPr="00282A1A" w:rsidRDefault="00AB0B0B" w:rsidP="00DE4254">
          <w:pPr>
            <w:pStyle w:val="XLarge"/>
            <w:spacing w:before="120" w:line="360" w:lineRule="exact"/>
            <w:rPr>
              <w:sz w:val="36"/>
              <w:lang w:val="fr-FR"/>
            </w:rPr>
          </w:pPr>
          <w:r w:rsidRPr="00282A1A">
            <w:rPr>
              <w:sz w:val="36"/>
              <w:lang w:val="fr-FR"/>
            </w:rPr>
            <w:t>Convention sur l’élimination</w:t>
          </w:r>
          <w:r w:rsidRPr="00282A1A">
            <w:rPr>
              <w:sz w:val="36"/>
              <w:lang w:val="fr-FR"/>
            </w:rPr>
            <w:br/>
            <w:t>de toutes les formes</w:t>
          </w:r>
          <w:r w:rsidRPr="00282A1A">
            <w:rPr>
              <w:sz w:val="36"/>
              <w:lang w:val="fr-FR"/>
            </w:rPr>
            <w:br/>
            <w:t>de discrimination à l’égard</w:t>
          </w:r>
          <w:r w:rsidRPr="00282A1A">
            <w:rPr>
              <w:sz w:val="36"/>
              <w:lang w:val="fr-FR"/>
            </w:rPr>
            <w:br/>
            <w:t xml:space="preserve">des femmes </w:t>
          </w:r>
        </w:p>
      </w:tc>
      <w:tc>
        <w:tcPr>
          <w:tcW w:w="245" w:type="dxa"/>
          <w:tcBorders>
            <w:top w:val="single" w:sz="4" w:space="0" w:color="auto"/>
            <w:bottom w:val="single" w:sz="12" w:space="0" w:color="auto"/>
          </w:tcBorders>
          <w:shd w:val="clear" w:color="auto" w:fill="auto"/>
        </w:tcPr>
        <w:p w14:paraId="65E48050" w14:textId="77777777" w:rsidR="00AB0B0B" w:rsidRPr="00282A1A" w:rsidRDefault="00AB0B0B" w:rsidP="00DE4254">
          <w:pPr>
            <w:pStyle w:val="Header"/>
            <w:spacing w:before="109"/>
            <w:rPr>
              <w:lang w:val="fr-FR"/>
            </w:rPr>
          </w:pPr>
        </w:p>
      </w:tc>
      <w:tc>
        <w:tcPr>
          <w:tcW w:w="3110" w:type="dxa"/>
          <w:tcBorders>
            <w:top w:val="single" w:sz="4" w:space="0" w:color="auto"/>
            <w:bottom w:val="single" w:sz="12" w:space="0" w:color="auto"/>
          </w:tcBorders>
          <w:shd w:val="clear" w:color="auto" w:fill="auto"/>
        </w:tcPr>
        <w:p w14:paraId="0ECCFAA8" w14:textId="77777777" w:rsidR="00AB0B0B" w:rsidRPr="00282A1A" w:rsidRDefault="00AB0B0B" w:rsidP="00DE4254">
          <w:pPr>
            <w:pStyle w:val="Distribution"/>
            <w:rPr>
              <w:color w:val="000000"/>
              <w:lang w:val="fr-FR"/>
            </w:rPr>
          </w:pPr>
          <w:r w:rsidRPr="00282A1A">
            <w:rPr>
              <w:color w:val="000000"/>
              <w:lang w:val="fr-FR"/>
            </w:rPr>
            <w:t>Distr. générale</w:t>
          </w:r>
        </w:p>
        <w:p w14:paraId="2B999686" w14:textId="77777777" w:rsidR="00AB0B0B" w:rsidRPr="00282A1A" w:rsidRDefault="00AB0B0B" w:rsidP="00DE4254">
          <w:pPr>
            <w:pStyle w:val="Publication"/>
            <w:rPr>
              <w:color w:val="000000"/>
              <w:lang w:val="fr-FR"/>
            </w:rPr>
          </w:pPr>
          <w:r w:rsidRPr="00282A1A">
            <w:rPr>
              <w:color w:val="000000"/>
              <w:lang w:val="fr-FR"/>
            </w:rPr>
            <w:t>16 décembre 2020</w:t>
          </w:r>
        </w:p>
        <w:p w14:paraId="5D6D5B20" w14:textId="77777777" w:rsidR="00AB0B0B" w:rsidRPr="00282A1A" w:rsidRDefault="00AB0B0B" w:rsidP="00DE4254">
          <w:pPr>
            <w:rPr>
              <w:lang w:val="fr-FR"/>
            </w:rPr>
          </w:pPr>
          <w:r w:rsidRPr="00282A1A">
            <w:rPr>
              <w:lang w:val="fr-FR"/>
            </w:rPr>
            <w:t>Français</w:t>
          </w:r>
        </w:p>
        <w:p w14:paraId="0B755549" w14:textId="08F0180F" w:rsidR="00AB0B0B" w:rsidRPr="00282A1A" w:rsidRDefault="00AB0B0B" w:rsidP="00DE4254">
          <w:pPr>
            <w:pStyle w:val="Original"/>
            <w:rPr>
              <w:color w:val="000000"/>
              <w:lang w:val="fr-FR" w:bidi="fr-FR"/>
            </w:rPr>
          </w:pPr>
          <w:r w:rsidRPr="00282A1A">
            <w:rPr>
              <w:color w:val="000000"/>
              <w:lang w:val="fr-FR"/>
            </w:rPr>
            <w:t xml:space="preserve">Original : </w:t>
          </w:r>
          <w:r w:rsidRPr="00282A1A">
            <w:rPr>
              <w:color w:val="000000"/>
              <w:lang w:val="fr-FR" w:bidi="fr-FR"/>
            </w:rPr>
            <w:t>chinois,</w:t>
          </w:r>
          <w:r>
            <w:rPr>
              <w:color w:val="000000"/>
              <w:lang w:val="fr-FR" w:bidi="fr-FR"/>
            </w:rPr>
            <w:t xml:space="preserve"> </w:t>
          </w:r>
          <w:r w:rsidRPr="00282A1A">
            <w:rPr>
              <w:color w:val="000000"/>
              <w:lang w:val="fr-FR" w:bidi="fr-FR"/>
            </w:rPr>
            <w:t>anglais</w:t>
          </w:r>
        </w:p>
        <w:p w14:paraId="0A1B6823" w14:textId="2D3D6282" w:rsidR="00AB0B0B" w:rsidRPr="00282A1A" w:rsidRDefault="00AB0B0B" w:rsidP="00297A31">
          <w:pPr>
            <w:rPr>
              <w:lang w:val="fr-FR" w:bidi="fr-FR"/>
            </w:rPr>
          </w:pPr>
          <w:r w:rsidRPr="00282A1A">
            <w:rPr>
              <w:lang w:val="fr-FR" w:bidi="fr-FR"/>
            </w:rPr>
            <w:t>anglais, arabe, espagnol et français seulement</w:t>
          </w:r>
        </w:p>
      </w:tc>
    </w:tr>
  </w:tbl>
  <w:p w14:paraId="55723F09" w14:textId="77777777" w:rsidR="00AB0B0B" w:rsidRPr="00282A1A" w:rsidRDefault="00AB0B0B" w:rsidP="00DE425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91747CB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546"/>
    <w:multiLevelType w:val="multilevel"/>
    <w:tmpl w:val="0622881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DA74843"/>
    <w:multiLevelType w:val="singleLevel"/>
    <w:tmpl w:val="9F84099E"/>
    <w:lvl w:ilvl="0">
      <w:start w:val="167"/>
      <w:numFmt w:val="decimal"/>
      <w:lvlRestart w:val="0"/>
      <w:lvlText w:val="%1."/>
      <w:lvlJc w:val="left"/>
      <w:pPr>
        <w:tabs>
          <w:tab w:val="num" w:pos="1742"/>
        </w:tabs>
        <w:ind w:left="1267" w:firstLine="0"/>
      </w:pPr>
      <w:rPr>
        <w:w w:val="100"/>
      </w:rPr>
    </w:lvl>
  </w:abstractNum>
  <w:abstractNum w:abstractNumId="5" w15:restartNumberingAfterBreak="0">
    <w:nsid w:val="2FB7486F"/>
    <w:multiLevelType w:val="singleLevel"/>
    <w:tmpl w:val="0409000F"/>
    <w:lvl w:ilvl="0">
      <w:start w:val="1"/>
      <w:numFmt w:val="decimal"/>
      <w:lvlText w:val="%1."/>
      <w:lvlJc w:val="left"/>
      <w:pPr>
        <w:ind w:left="720" w:hanging="360"/>
      </w:pPr>
    </w:lvl>
  </w:abstractNum>
  <w:abstractNum w:abstractNumId="6" w15:restartNumberingAfterBreak="0">
    <w:nsid w:val="3220444D"/>
    <w:multiLevelType w:val="singleLevel"/>
    <w:tmpl w:val="3516D9C2"/>
    <w:lvl w:ilvl="0">
      <w:start w:val="1"/>
      <w:numFmt w:val="decimal"/>
      <w:lvlText w:val="%1."/>
      <w:lvlJc w:val="left"/>
      <w:pPr>
        <w:ind w:left="720" w:hanging="360"/>
      </w:pPr>
      <w:rPr>
        <w:rFonts w:ascii="Times New Roman" w:hAnsi="Times New Roman" w:cs="Times New Roman"/>
        <w:sz w:val="20"/>
      </w:rPr>
    </w:lvl>
  </w:abstractNum>
  <w:abstractNum w:abstractNumId="7"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2"/>
  </w:num>
  <w:num w:numId="6">
    <w:abstractNumId w:val="8"/>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8"/>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6"/>
  </w:num>
  <w:num w:numId="31">
    <w:abstractNumId w:val="6"/>
    <w:lvlOverride w:ilvl="0">
      <w:lvl w:ilvl="0">
        <w:start w:val="1"/>
        <w:numFmt w:val="decimal"/>
        <w:lvlText w:val="%1."/>
        <w:lvlJc w:val="left"/>
        <w:pPr>
          <w:ind w:left="720" w:hanging="360"/>
        </w:pPr>
      </w:lvl>
    </w:lvlOverride>
  </w:num>
  <w:num w:numId="32">
    <w:abstractNumId w:val="6"/>
    <w:lvlOverride w:ilvl="0">
      <w:lvl w:ilvl="0">
        <w:start w:val="1"/>
        <w:numFmt w:val="decimal"/>
        <w:lvlText w:val="%1."/>
        <w:lvlJc w:val="left"/>
        <w:pPr>
          <w:ind w:left="720" w:hanging="360"/>
        </w:pPr>
      </w:lvl>
    </w:lvlOverride>
  </w:num>
  <w:num w:numId="33">
    <w:abstractNumId w:val="6"/>
  </w:num>
  <w:num w:numId="34">
    <w:abstractNumId w:val="5"/>
  </w:num>
  <w:num w:numId="35">
    <w:abstractNumId w:val="4"/>
  </w:num>
  <w:num w:numId="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7217*"/>
    <w:docVar w:name="CreationDt" w:val="05/02/2021 16:07:38"/>
    <w:docVar w:name="DocCategory" w:val="Doc"/>
    <w:docVar w:name="DocType" w:val="Final"/>
    <w:docVar w:name="DutyStation" w:val="New York"/>
    <w:docVar w:name="FooterJN" w:val="20-17217"/>
    <w:docVar w:name="jobn" w:val="20-17217 (F)"/>
    <w:docVar w:name="jobnDT" w:val="20-17217 (F)   050221"/>
    <w:docVar w:name="jobnDTDT" w:val="20-17217 (F)   050221   050221"/>
    <w:docVar w:name="JobNo" w:val="2017217F"/>
    <w:docVar w:name="JobNo2" w:val="2036797F"/>
    <w:docVar w:name="LocalDrive" w:val="-1"/>
    <w:docVar w:name="OandT" w:val="Moïse"/>
    <w:docVar w:name="sss1" w:val="CEDAW/C/CHN-HKG/9"/>
    <w:docVar w:name="sss2" w:val="-"/>
    <w:docVar w:name="Symbol1" w:val="CEDAW/C/CHN-HKG/9"/>
    <w:docVar w:name="Symbol2" w:val="-"/>
  </w:docVars>
  <w:rsids>
    <w:rsidRoot w:val="003C5009"/>
    <w:rsid w:val="00002584"/>
    <w:rsid w:val="00022192"/>
    <w:rsid w:val="000232F7"/>
    <w:rsid w:val="00044C77"/>
    <w:rsid w:val="0006491F"/>
    <w:rsid w:val="00071D43"/>
    <w:rsid w:val="00082144"/>
    <w:rsid w:val="00095806"/>
    <w:rsid w:val="00101B18"/>
    <w:rsid w:val="0012086A"/>
    <w:rsid w:val="00122A56"/>
    <w:rsid w:val="00134FEE"/>
    <w:rsid w:val="00146C6A"/>
    <w:rsid w:val="001571F8"/>
    <w:rsid w:val="00166A0D"/>
    <w:rsid w:val="001C159C"/>
    <w:rsid w:val="001E2379"/>
    <w:rsid w:val="001E4B50"/>
    <w:rsid w:val="00243CD6"/>
    <w:rsid w:val="00245107"/>
    <w:rsid w:val="00245FDC"/>
    <w:rsid w:val="002478A0"/>
    <w:rsid w:val="00282A1A"/>
    <w:rsid w:val="00297A31"/>
    <w:rsid w:val="002A20B0"/>
    <w:rsid w:val="002A5E20"/>
    <w:rsid w:val="002B087C"/>
    <w:rsid w:val="002E6E9F"/>
    <w:rsid w:val="0030765E"/>
    <w:rsid w:val="00325AFA"/>
    <w:rsid w:val="003544C4"/>
    <w:rsid w:val="0036389D"/>
    <w:rsid w:val="00366D21"/>
    <w:rsid w:val="003905FA"/>
    <w:rsid w:val="003A675A"/>
    <w:rsid w:val="003C5009"/>
    <w:rsid w:val="003F61E1"/>
    <w:rsid w:val="00410BE8"/>
    <w:rsid w:val="00440C93"/>
    <w:rsid w:val="004444C3"/>
    <w:rsid w:val="0046567B"/>
    <w:rsid w:val="00472B7F"/>
    <w:rsid w:val="00480B84"/>
    <w:rsid w:val="004B64F9"/>
    <w:rsid w:val="004C1A25"/>
    <w:rsid w:val="005020C9"/>
    <w:rsid w:val="00503CDF"/>
    <w:rsid w:val="00515991"/>
    <w:rsid w:val="005225EC"/>
    <w:rsid w:val="00525097"/>
    <w:rsid w:val="00546E67"/>
    <w:rsid w:val="005509B6"/>
    <w:rsid w:val="00571235"/>
    <w:rsid w:val="00577A36"/>
    <w:rsid w:val="00580CF2"/>
    <w:rsid w:val="005B072D"/>
    <w:rsid w:val="005B398E"/>
    <w:rsid w:val="005C03A7"/>
    <w:rsid w:val="005C5330"/>
    <w:rsid w:val="005E7956"/>
    <w:rsid w:val="005F1F5F"/>
    <w:rsid w:val="00617041"/>
    <w:rsid w:val="006205CD"/>
    <w:rsid w:val="00620F6A"/>
    <w:rsid w:val="00632BF5"/>
    <w:rsid w:val="00632C10"/>
    <w:rsid w:val="00657E17"/>
    <w:rsid w:val="00670DD4"/>
    <w:rsid w:val="00690698"/>
    <w:rsid w:val="00697696"/>
    <w:rsid w:val="006A72AB"/>
    <w:rsid w:val="006C6F3D"/>
    <w:rsid w:val="006E4A4B"/>
    <w:rsid w:val="006E5107"/>
    <w:rsid w:val="006E6EC6"/>
    <w:rsid w:val="006F22A8"/>
    <w:rsid w:val="006F2D78"/>
    <w:rsid w:val="00703106"/>
    <w:rsid w:val="00735A06"/>
    <w:rsid w:val="007459AE"/>
    <w:rsid w:val="007531A5"/>
    <w:rsid w:val="007709E1"/>
    <w:rsid w:val="00771C9E"/>
    <w:rsid w:val="00797231"/>
    <w:rsid w:val="007A76F7"/>
    <w:rsid w:val="007E1619"/>
    <w:rsid w:val="0082045E"/>
    <w:rsid w:val="008222A3"/>
    <w:rsid w:val="00824B40"/>
    <w:rsid w:val="0083733A"/>
    <w:rsid w:val="008373EE"/>
    <w:rsid w:val="008454D2"/>
    <w:rsid w:val="00883D3C"/>
    <w:rsid w:val="00886CF2"/>
    <w:rsid w:val="008A6715"/>
    <w:rsid w:val="008C69F2"/>
    <w:rsid w:val="008F3462"/>
    <w:rsid w:val="0090104D"/>
    <w:rsid w:val="009237A6"/>
    <w:rsid w:val="00935932"/>
    <w:rsid w:val="00945691"/>
    <w:rsid w:val="009547DC"/>
    <w:rsid w:val="00963F7C"/>
    <w:rsid w:val="00993CB7"/>
    <w:rsid w:val="00994877"/>
    <w:rsid w:val="009C3BFE"/>
    <w:rsid w:val="009D0EE3"/>
    <w:rsid w:val="009E2F8B"/>
    <w:rsid w:val="009E3220"/>
    <w:rsid w:val="009F40B9"/>
    <w:rsid w:val="00A2494D"/>
    <w:rsid w:val="00A33CA1"/>
    <w:rsid w:val="00A34D2F"/>
    <w:rsid w:val="00A536A1"/>
    <w:rsid w:val="00A55DB4"/>
    <w:rsid w:val="00A724AC"/>
    <w:rsid w:val="00A87393"/>
    <w:rsid w:val="00AB0B0B"/>
    <w:rsid w:val="00AB0B7D"/>
    <w:rsid w:val="00AB542A"/>
    <w:rsid w:val="00AD5F2F"/>
    <w:rsid w:val="00B408C7"/>
    <w:rsid w:val="00B858D5"/>
    <w:rsid w:val="00C11E9B"/>
    <w:rsid w:val="00C138C6"/>
    <w:rsid w:val="00C143AA"/>
    <w:rsid w:val="00C31384"/>
    <w:rsid w:val="00C32F8A"/>
    <w:rsid w:val="00C35E62"/>
    <w:rsid w:val="00C64F39"/>
    <w:rsid w:val="00CB06FB"/>
    <w:rsid w:val="00CB63C5"/>
    <w:rsid w:val="00CD3742"/>
    <w:rsid w:val="00D30EED"/>
    <w:rsid w:val="00D61FC8"/>
    <w:rsid w:val="00DC7881"/>
    <w:rsid w:val="00DE115B"/>
    <w:rsid w:val="00DE4254"/>
    <w:rsid w:val="00E03F73"/>
    <w:rsid w:val="00E126C3"/>
    <w:rsid w:val="00E343A6"/>
    <w:rsid w:val="00E443AC"/>
    <w:rsid w:val="00E47A1E"/>
    <w:rsid w:val="00E7105F"/>
    <w:rsid w:val="00E7792F"/>
    <w:rsid w:val="00EA0F9C"/>
    <w:rsid w:val="00ED473A"/>
    <w:rsid w:val="00EE339E"/>
    <w:rsid w:val="00EE37EC"/>
    <w:rsid w:val="00EE549A"/>
    <w:rsid w:val="00EF2DFA"/>
    <w:rsid w:val="00F02E0E"/>
    <w:rsid w:val="00F176EA"/>
    <w:rsid w:val="00F2347E"/>
    <w:rsid w:val="00F313F6"/>
    <w:rsid w:val="00F5012D"/>
    <w:rsid w:val="00F67A3E"/>
    <w:rsid w:val="00F70249"/>
    <w:rsid w:val="00F73093"/>
    <w:rsid w:val="00F8634F"/>
    <w:rsid w:val="00FA3D05"/>
    <w:rsid w:val="00FA5CC9"/>
    <w:rsid w:val="00FB056D"/>
    <w:rsid w:val="00FB0A2C"/>
    <w:rsid w:val="00FB11B3"/>
    <w:rsid w:val="00FB222C"/>
    <w:rsid w:val="00FB5046"/>
    <w:rsid w:val="00FC0E02"/>
    <w:rsid w:val="00FC36AA"/>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F5AD92"/>
  <w15:chartTrackingRefBased/>
  <w15:docId w15:val="{3EC320B7-C971-4259-998B-2DD45F8F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8A"/>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32F8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32F8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32F8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32F8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32F8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32F8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32F8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32F8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32F8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32F8A"/>
    <w:pPr>
      <w:keepNext/>
      <w:keepLines/>
      <w:suppressAutoHyphens/>
      <w:spacing w:line="270" w:lineRule="exact"/>
      <w:outlineLvl w:val="0"/>
    </w:pPr>
    <w:rPr>
      <w:b/>
      <w:sz w:val="24"/>
    </w:rPr>
  </w:style>
  <w:style w:type="paragraph" w:customStyle="1" w:styleId="HCH">
    <w:name w:val="_ H _CH"/>
    <w:basedOn w:val="H1"/>
    <w:next w:val="SingleTxt"/>
    <w:qFormat/>
    <w:rsid w:val="00C32F8A"/>
    <w:pPr>
      <w:spacing w:line="300" w:lineRule="exact"/>
    </w:pPr>
    <w:rPr>
      <w:spacing w:val="-2"/>
      <w:sz w:val="28"/>
    </w:rPr>
  </w:style>
  <w:style w:type="paragraph" w:customStyle="1" w:styleId="HM">
    <w:name w:val="_ H __M"/>
    <w:basedOn w:val="HCH"/>
    <w:next w:val="Normal"/>
    <w:qFormat/>
    <w:rsid w:val="00C32F8A"/>
    <w:pPr>
      <w:spacing w:line="360" w:lineRule="exact"/>
    </w:pPr>
    <w:rPr>
      <w:spacing w:val="-3"/>
      <w:w w:val="99"/>
      <w:sz w:val="34"/>
    </w:rPr>
  </w:style>
  <w:style w:type="paragraph" w:customStyle="1" w:styleId="H23">
    <w:name w:val="_ H_2/3"/>
    <w:basedOn w:val="H1"/>
    <w:next w:val="SingleTxt"/>
    <w:qFormat/>
    <w:rsid w:val="00C32F8A"/>
    <w:pPr>
      <w:spacing w:line="240" w:lineRule="exact"/>
      <w:outlineLvl w:val="1"/>
    </w:pPr>
    <w:rPr>
      <w:spacing w:val="2"/>
      <w:sz w:val="20"/>
    </w:rPr>
  </w:style>
  <w:style w:type="paragraph" w:customStyle="1" w:styleId="H4">
    <w:name w:val="_ H_4"/>
    <w:basedOn w:val="Normal"/>
    <w:next w:val="SingleTxt"/>
    <w:qFormat/>
    <w:rsid w:val="00C32F8A"/>
    <w:pPr>
      <w:keepNext/>
      <w:keepLines/>
      <w:tabs>
        <w:tab w:val="right" w:pos="360"/>
      </w:tabs>
      <w:suppressAutoHyphens/>
      <w:outlineLvl w:val="3"/>
    </w:pPr>
    <w:rPr>
      <w:i/>
      <w:spacing w:val="3"/>
    </w:rPr>
  </w:style>
  <w:style w:type="paragraph" w:customStyle="1" w:styleId="H56">
    <w:name w:val="_ H_5/6"/>
    <w:basedOn w:val="Normal"/>
    <w:next w:val="Normal"/>
    <w:qFormat/>
    <w:rsid w:val="00C32F8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32F8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32F8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32F8A"/>
    <w:pPr>
      <w:spacing w:line="540" w:lineRule="exact"/>
    </w:pPr>
    <w:rPr>
      <w:spacing w:val="-8"/>
      <w:w w:val="96"/>
      <w:sz w:val="57"/>
    </w:rPr>
  </w:style>
  <w:style w:type="paragraph" w:customStyle="1" w:styleId="SS">
    <w:name w:val="__S_S"/>
    <w:basedOn w:val="HCH"/>
    <w:next w:val="Normal"/>
    <w:qFormat/>
    <w:rsid w:val="00C32F8A"/>
    <w:pPr>
      <w:ind w:left="1267" w:right="1267"/>
    </w:pPr>
  </w:style>
  <w:style w:type="paragraph" w:customStyle="1" w:styleId="SingleTxt">
    <w:name w:val="__Single Txt"/>
    <w:basedOn w:val="Normal"/>
    <w:qFormat/>
    <w:rsid w:val="00C32F8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32F8A"/>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C32F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32F8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32F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32F8A"/>
    <w:rPr>
      <w:rFonts w:ascii="Tahoma" w:hAnsi="Tahoma" w:cs="Tahoma"/>
      <w:spacing w:val="4"/>
      <w:w w:val="103"/>
      <w:kern w:val="14"/>
      <w:sz w:val="16"/>
      <w:szCs w:val="16"/>
      <w:lang w:val="fr-CA" w:eastAsia="en-US"/>
    </w:rPr>
  </w:style>
  <w:style w:type="paragraph" w:customStyle="1" w:styleId="Bullet1">
    <w:name w:val="Bullet 1"/>
    <w:basedOn w:val="Normal"/>
    <w:qFormat/>
    <w:rsid w:val="00C32F8A"/>
    <w:pPr>
      <w:numPr>
        <w:numId w:val="17"/>
      </w:numPr>
      <w:spacing w:after="120"/>
      <w:ind w:right="1267"/>
      <w:jc w:val="both"/>
    </w:pPr>
  </w:style>
  <w:style w:type="paragraph" w:customStyle="1" w:styleId="Bullet2">
    <w:name w:val="Bullet 2"/>
    <w:basedOn w:val="Normal"/>
    <w:qFormat/>
    <w:rsid w:val="00C32F8A"/>
    <w:pPr>
      <w:numPr>
        <w:numId w:val="18"/>
      </w:numPr>
      <w:spacing w:after="120"/>
      <w:ind w:right="1264"/>
      <w:jc w:val="both"/>
    </w:pPr>
  </w:style>
  <w:style w:type="paragraph" w:customStyle="1" w:styleId="Bullet3">
    <w:name w:val="Bullet 3"/>
    <w:basedOn w:val="SingleTxt"/>
    <w:qFormat/>
    <w:rsid w:val="00C32F8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32F8A"/>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32F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32F8A"/>
    <w:pPr>
      <w:spacing w:line="210" w:lineRule="exact"/>
    </w:pPr>
    <w:rPr>
      <w:sz w:val="17"/>
      <w:szCs w:val="20"/>
    </w:rPr>
  </w:style>
  <w:style w:type="character" w:customStyle="1" w:styleId="EndnoteTextChar">
    <w:name w:val="Endnote Text Char"/>
    <w:link w:val="EndnoteText"/>
    <w:uiPriority w:val="99"/>
    <w:semiHidden/>
    <w:rsid w:val="00C32F8A"/>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C32F8A"/>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C32F8A"/>
    <w:rPr>
      <w:rFonts w:ascii="Times New Roman" w:hAnsi="Times New Roman" w:cs="Times New Roman"/>
      <w:b/>
      <w:spacing w:val="3"/>
      <w:w w:val="105"/>
      <w:sz w:val="17"/>
      <w:lang w:val="en-US" w:eastAsia="en-US"/>
    </w:rPr>
  </w:style>
  <w:style w:type="character" w:styleId="FootnoteReference">
    <w:name w:val="footnote reference"/>
    <w:aliases w:val="4_G"/>
    <w:qFormat/>
    <w:rsid w:val="00C32F8A"/>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C32F8A"/>
    <w:pPr>
      <w:spacing w:line="210" w:lineRule="exact"/>
    </w:pPr>
    <w:rPr>
      <w:sz w:val="17"/>
      <w:szCs w:val="20"/>
    </w:rPr>
  </w:style>
  <w:style w:type="character" w:customStyle="1" w:styleId="FootnoteTextChar">
    <w:name w:val="Footnote Text Char"/>
    <w:aliases w:val="5_G Char"/>
    <w:link w:val="FootnoteText"/>
    <w:uiPriority w:val="99"/>
    <w:rsid w:val="00C32F8A"/>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C32F8A"/>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C32F8A"/>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C32F8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32F8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32F8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32F8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32F8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32F8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32F8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32F8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32F8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32F8A"/>
    <w:rPr>
      <w:sz w:val="14"/>
    </w:rPr>
  </w:style>
  <w:style w:type="paragraph" w:styleId="ListParagraph">
    <w:name w:val="List Paragraph"/>
    <w:basedOn w:val="Normal"/>
    <w:uiPriority w:val="34"/>
    <w:rsid w:val="00C32F8A"/>
    <w:pPr>
      <w:ind w:left="720"/>
      <w:contextualSpacing/>
    </w:pPr>
  </w:style>
  <w:style w:type="paragraph" w:styleId="NoSpacing">
    <w:name w:val="No Spacing"/>
    <w:uiPriority w:val="1"/>
    <w:rsid w:val="00C32F8A"/>
    <w:pPr>
      <w:spacing w:after="0" w:line="240" w:lineRule="auto"/>
    </w:pPr>
    <w:rPr>
      <w:rFonts w:ascii="Calibri" w:hAnsi="Calibri" w:cs="Times New Roman"/>
      <w:lang w:val="en-US" w:eastAsia="en-US"/>
    </w:rPr>
  </w:style>
  <w:style w:type="paragraph" w:customStyle="1" w:styleId="Original">
    <w:name w:val="Original"/>
    <w:next w:val="Normal"/>
    <w:autoRedefine/>
    <w:qFormat/>
    <w:rsid w:val="00C32F8A"/>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C32F8A"/>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C32F8A"/>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32F8A"/>
    <w:pPr>
      <w:tabs>
        <w:tab w:val="right" w:pos="9965"/>
      </w:tabs>
      <w:spacing w:line="210" w:lineRule="exact"/>
    </w:pPr>
    <w:rPr>
      <w:spacing w:val="5"/>
      <w:w w:val="104"/>
      <w:sz w:val="17"/>
    </w:rPr>
  </w:style>
  <w:style w:type="paragraph" w:customStyle="1" w:styleId="SmallX">
    <w:name w:val="SmallX"/>
    <w:basedOn w:val="Small"/>
    <w:next w:val="Normal"/>
    <w:qFormat/>
    <w:rsid w:val="00C32F8A"/>
    <w:pPr>
      <w:spacing w:line="180" w:lineRule="exact"/>
      <w:jc w:val="right"/>
    </w:pPr>
    <w:rPr>
      <w:spacing w:val="6"/>
      <w:w w:val="106"/>
      <w:sz w:val="14"/>
    </w:rPr>
  </w:style>
  <w:style w:type="character" w:styleId="Strong">
    <w:name w:val="Strong"/>
    <w:uiPriority w:val="22"/>
    <w:rsid w:val="00C32F8A"/>
    <w:rPr>
      <w:b/>
      <w:bCs/>
    </w:rPr>
  </w:style>
  <w:style w:type="paragraph" w:customStyle="1" w:styleId="Style1">
    <w:name w:val="Style1"/>
    <w:basedOn w:val="Normal"/>
    <w:qFormat/>
    <w:rsid w:val="00C32F8A"/>
  </w:style>
  <w:style w:type="paragraph" w:customStyle="1" w:styleId="Style2">
    <w:name w:val="Style2"/>
    <w:basedOn w:val="Normal"/>
    <w:autoRedefine/>
    <w:qFormat/>
    <w:rsid w:val="00C32F8A"/>
  </w:style>
  <w:style w:type="paragraph" w:customStyle="1" w:styleId="TitleHCH">
    <w:name w:val="Title_H_CH"/>
    <w:basedOn w:val="H1"/>
    <w:next w:val="SingleTxt"/>
    <w:qFormat/>
    <w:rsid w:val="00C32F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32F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32F8A"/>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DE4254"/>
    <w:rPr>
      <w:sz w:val="16"/>
      <w:szCs w:val="16"/>
    </w:rPr>
  </w:style>
  <w:style w:type="paragraph" w:styleId="CommentText">
    <w:name w:val="annotation text"/>
    <w:basedOn w:val="Normal"/>
    <w:link w:val="CommentTextChar"/>
    <w:uiPriority w:val="99"/>
    <w:semiHidden/>
    <w:unhideWhenUsed/>
    <w:rsid w:val="00DE4254"/>
    <w:pPr>
      <w:spacing w:line="240" w:lineRule="auto"/>
    </w:pPr>
    <w:rPr>
      <w:szCs w:val="20"/>
    </w:rPr>
  </w:style>
  <w:style w:type="character" w:customStyle="1" w:styleId="CommentTextChar">
    <w:name w:val="Comment Text Char"/>
    <w:basedOn w:val="DefaultParagraphFont"/>
    <w:link w:val="CommentText"/>
    <w:uiPriority w:val="99"/>
    <w:semiHidden/>
    <w:rsid w:val="00DE4254"/>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E4254"/>
    <w:rPr>
      <w:b/>
      <w:bCs/>
    </w:rPr>
  </w:style>
  <w:style w:type="character" w:customStyle="1" w:styleId="CommentSubjectChar">
    <w:name w:val="Comment Subject Char"/>
    <w:basedOn w:val="CommentTextChar"/>
    <w:link w:val="CommentSubject"/>
    <w:uiPriority w:val="99"/>
    <w:semiHidden/>
    <w:rsid w:val="00DE4254"/>
    <w:rPr>
      <w:rFonts w:ascii="Times New Roman"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620F6A"/>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en-GB"/>
    </w:rPr>
  </w:style>
  <w:style w:type="paragraph" w:customStyle="1" w:styleId="SingleTxtG">
    <w:name w:val="_ Single Txt_G"/>
    <w:basedOn w:val="Normal"/>
    <w:link w:val="SingleTxtGChar"/>
    <w:qFormat/>
    <w:rsid w:val="00620F6A"/>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620F6A"/>
    <w:rPr>
      <w:rFonts w:ascii="Times New Roman" w:hAnsi="Times New Roman" w:cs="Times New Roman"/>
      <w:sz w:val="20"/>
      <w:szCs w:val="20"/>
      <w:lang w:eastAsia="en-US"/>
    </w:rPr>
  </w:style>
  <w:style w:type="table" w:styleId="TableGrid">
    <w:name w:val="Table Grid"/>
    <w:basedOn w:val="TableNormal"/>
    <w:uiPriority w:val="59"/>
    <w:rsid w:val="00FC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qFormat/>
    <w:rsid w:val="00FC36A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qFormat/>
    <w:rsid w:val="00FC36A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en-GB"/>
    </w:rPr>
  </w:style>
  <w:style w:type="paragraph" w:customStyle="1" w:styleId="H23G">
    <w:name w:val="_ H_2/3_G"/>
    <w:basedOn w:val="Normal"/>
    <w:next w:val="Normal"/>
    <w:qFormat/>
    <w:rsid w:val="00FC36AA"/>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en-GB"/>
    </w:rPr>
  </w:style>
  <w:style w:type="paragraph" w:customStyle="1" w:styleId="H4G">
    <w:name w:val="_ H_4_G"/>
    <w:basedOn w:val="Normal"/>
    <w:next w:val="Normal"/>
    <w:qFormat/>
    <w:rsid w:val="00FC36AA"/>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en-GB"/>
    </w:rPr>
  </w:style>
  <w:style w:type="character" w:styleId="Hyperlink">
    <w:name w:val="Hyperlink"/>
    <w:basedOn w:val="DefaultParagraphFont"/>
    <w:uiPriority w:val="99"/>
    <w:unhideWhenUsed/>
    <w:rsid w:val="002A20B0"/>
    <w:rPr>
      <w:color w:val="0000FF"/>
      <w:u w:val="none"/>
    </w:rPr>
  </w:style>
  <w:style w:type="character" w:styleId="UnresolvedMention">
    <w:name w:val="Unresolved Mention"/>
    <w:basedOn w:val="DefaultParagraphFont"/>
    <w:uiPriority w:val="99"/>
    <w:semiHidden/>
    <w:unhideWhenUsed/>
    <w:rsid w:val="002A20B0"/>
    <w:rPr>
      <w:color w:val="605E5C"/>
      <w:shd w:val="clear" w:color="auto" w:fill="E1DFDD"/>
    </w:rPr>
  </w:style>
  <w:style w:type="character" w:styleId="FollowedHyperlink">
    <w:name w:val="FollowedHyperlink"/>
    <w:basedOn w:val="DefaultParagraphFont"/>
    <w:uiPriority w:val="99"/>
    <w:semiHidden/>
    <w:unhideWhenUsed/>
    <w:rsid w:val="002A20B0"/>
    <w:rPr>
      <w:color w:val="0000FF"/>
      <w:u w:val="none"/>
    </w:rPr>
  </w:style>
  <w:style w:type="paragraph" w:styleId="Revision">
    <w:name w:val="Revision"/>
    <w:hidden/>
    <w:uiPriority w:val="99"/>
    <w:semiHidden/>
    <w:rsid w:val="00DE115B"/>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CHN-HKG/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CHN/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CEDAW/C/CHN-MAC/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censtatd.gov.hk/hkstat/sub/so180.j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17332</Words>
  <Characters>98799</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ok</dc:creator>
  <cp:keywords/>
  <dc:description/>
  <cp:lastModifiedBy>Jean Michel Savre</cp:lastModifiedBy>
  <cp:revision>3</cp:revision>
  <cp:lastPrinted>2021-02-12T21:27:00Z</cp:lastPrinted>
  <dcterms:created xsi:type="dcterms:W3CDTF">2021-02-12T21:27:00Z</dcterms:created>
  <dcterms:modified xsi:type="dcterms:W3CDTF">2021-02-12T21:27:00Z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2017217F</vt:lpwstr>
  </property>
  <property fmtid="{D5CDD505-2E9C-101B-9397-08002B2CF9AE}" pid="3" name="ODSRefJobNo">
    <vt:lpwstr>2036797F</vt:lpwstr>
  </property>
  <property fmtid="{D5CDD505-2E9C-101B-9397-08002B2CF9AE}" pid="4" name="Symbol1">
    <vt:lpwstr>CEDAW/C/CHN-HKG/9</vt:lpwstr>
  </property>
  <property fmtid="{D5CDD505-2E9C-101B-9397-08002B2CF9AE}" pid="5" name="Symbol2">
    <vt:lpwstr/>
  </property>
  <property fmtid="{D5CDD505-2E9C-101B-9397-08002B2CF9AE}" pid="6" name="Translator">
    <vt:lpwstr/>
  </property>
  <property fmtid="{D5CDD505-2E9C-101B-9397-08002B2CF9AE}" pid="7" name="Operator">
    <vt:lpwstr>Moïse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Neuvième rapport périodique soumis par Hong Kong en application de l’article 18 de la Convention, attendu en 2018*, **, ***_x000d_</vt:lpwstr>
  </property>
</Properties>
</file>