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5F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5F3A" w:rsidP="00535F3A">
            <w:pPr>
              <w:jc w:val="right"/>
            </w:pPr>
            <w:r w:rsidRPr="00535F3A">
              <w:rPr>
                <w:sz w:val="40"/>
              </w:rPr>
              <w:t>CRPD</w:t>
            </w:r>
            <w:r>
              <w:t>/C/18/D/30/2015</w:t>
            </w:r>
          </w:p>
        </w:tc>
      </w:tr>
      <w:tr w:rsidR="002D5AAC" w:rsidRPr="005E0D2C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5F3A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5F3A" w:rsidRPr="005E0D2C" w:rsidRDefault="00535F3A" w:rsidP="00535F3A">
            <w:pPr>
              <w:spacing w:line="240" w:lineRule="exact"/>
            </w:pPr>
            <w:r>
              <w:rPr>
                <w:lang w:val="en-US"/>
              </w:rPr>
              <w:t>5 October 201</w:t>
            </w:r>
            <w:r w:rsidR="005E0D2C">
              <w:rPr>
                <w:lang w:val="en-US"/>
              </w:rPr>
              <w:t>7</w:t>
            </w:r>
          </w:p>
          <w:p w:rsidR="00535F3A" w:rsidRDefault="00535F3A" w:rsidP="00535F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5F3A" w:rsidRPr="008934D2" w:rsidRDefault="00535F3A" w:rsidP="00535F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35F3A" w:rsidRPr="00535F3A" w:rsidRDefault="00535F3A" w:rsidP="00535F3A">
      <w:pPr>
        <w:spacing w:before="120"/>
        <w:rPr>
          <w:b/>
          <w:bCs/>
          <w:sz w:val="24"/>
          <w:szCs w:val="24"/>
        </w:rPr>
      </w:pPr>
      <w:r w:rsidRPr="00535F3A">
        <w:rPr>
          <w:b/>
          <w:bCs/>
          <w:sz w:val="24"/>
          <w:szCs w:val="24"/>
        </w:rPr>
        <w:t>Комитет по правам инвалидов</w:t>
      </w:r>
    </w:p>
    <w:p w:rsidR="00535F3A" w:rsidRPr="00535F3A" w:rsidRDefault="00535F3A" w:rsidP="00535F3A">
      <w:pPr>
        <w:pStyle w:val="HChGR"/>
      </w:pPr>
      <w:r w:rsidRPr="00535F3A">
        <w:tab/>
      </w:r>
      <w:r w:rsidRPr="00535F3A">
        <w:tab/>
        <w:t>Соображения, принятые Комитетом в соответствии со</w:t>
      </w:r>
      <w:r>
        <w:rPr>
          <w:lang w:val="en-US"/>
        </w:rPr>
        <w:t> </w:t>
      </w:r>
      <w:r w:rsidRPr="00535F3A">
        <w:t>статьей 2 Факультативного протокола относительно сообщения № 30/2015</w:t>
      </w:r>
      <w:r w:rsidRPr="00535F3A">
        <w:rPr>
          <w:b w:val="0"/>
          <w:bCs/>
          <w:sz w:val="20"/>
        </w:rPr>
        <w:footnoteReference w:customMarkFollows="1" w:id="1"/>
        <w:t>*</w:t>
      </w:r>
      <w:r w:rsidRPr="00535F3A">
        <w:rPr>
          <w:b w:val="0"/>
          <w:bCs/>
          <w:sz w:val="20"/>
          <w:vertAlign w:val="superscript"/>
        </w:rPr>
        <w:t>,</w:t>
      </w:r>
      <w:r w:rsidRPr="00535F3A">
        <w:rPr>
          <w:b w:val="0"/>
          <w:bCs/>
          <w:sz w:val="20"/>
        </w:rPr>
        <w:t xml:space="preserve"> </w:t>
      </w:r>
      <w:r w:rsidRPr="00535F3A">
        <w:rPr>
          <w:b w:val="0"/>
          <w:bCs/>
          <w:sz w:val="20"/>
        </w:rPr>
        <w:footnoteReference w:customMarkFollows="1" w:id="2"/>
        <w:t>**</w:t>
      </w:r>
      <w:r w:rsidRPr="00535F3A">
        <w:rPr>
          <w:sz w:val="20"/>
        </w:rP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 w:rsidP="00266EEC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Борис Макаров от имени своей умершей жены Глафиры Макаровой (адвокатом не представлен)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автор и его умершая жена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Литва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2 марта 2015 года (первоначальное представление)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решение, принятое в соответствии с правилом 70 правил процедуры Комитета, препровожденное государству-участнику 25 июня 2015 года (в виде документа не издавалось)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proofErr w:type="spellStart"/>
            <w:proofErr w:type="gramStart"/>
            <w:r w:rsidRPr="0064331C">
              <w:rPr>
                <w:i/>
              </w:rPr>
              <w:t>C</w:t>
            </w:r>
            <w:proofErr w:type="gramEnd"/>
            <w:r w:rsidRPr="0064331C">
              <w:rPr>
                <w:i/>
              </w:rPr>
              <w:t>оображений</w:t>
            </w:r>
            <w:proofErr w:type="spellEnd"/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18 августа 2017 года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право обладать правоспособностью наравне с другими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отсутствуют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доступ к суду, осуществление дееспособности, разумное приспособление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 w:rsidP="00266EEC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 xml:space="preserve">Статьи </w:t>
            </w:r>
            <w:r>
              <w:rPr>
                <w:i/>
                <w:iCs/>
              </w:rPr>
              <w:t>Конвенции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266EEC" w:rsidRPr="0064331C" w:rsidRDefault="00266EEC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12, 13, 22</w:t>
            </w:r>
          </w:p>
        </w:tc>
      </w:tr>
      <w:tr w:rsidR="00266EEC" w:rsidRPr="0064331C" w:rsidTr="00266EEC">
        <w:tc>
          <w:tcPr>
            <w:tcW w:w="2936" w:type="dxa"/>
            <w:hideMark/>
          </w:tcPr>
          <w:p w:rsidR="00266EEC" w:rsidRPr="0064331C" w:rsidRDefault="00266EEC" w:rsidP="005E0D2C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5E0D2C">
              <w:rPr>
                <w:i/>
                <w:iCs/>
              </w:rPr>
              <w:t>я</w:t>
            </w:r>
            <w:bookmarkStart w:id="0" w:name="_GoBack"/>
            <w:bookmarkEnd w:id="0"/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:rsidR="00266EEC" w:rsidRPr="0064331C" w:rsidRDefault="00A91FF3">
            <w:pPr>
              <w:suppressAutoHyphens/>
              <w:spacing w:after="120"/>
            </w:pPr>
            <w:r w:rsidRPr="00535F3A">
              <w:rPr>
                <w:rFonts w:eastAsia="Times New Roman" w:cs="Times New Roman"/>
                <w:szCs w:val="20"/>
              </w:rPr>
              <w:t>2</w:t>
            </w:r>
          </w:p>
        </w:tc>
      </w:tr>
    </w:tbl>
    <w:p w:rsidR="00266EEC" w:rsidRDefault="00266EEC" w:rsidP="00535F3A">
      <w:pPr>
        <w:pStyle w:val="SingleTxtGR"/>
      </w:pPr>
    </w:p>
    <w:p w:rsidR="00535F3A" w:rsidRPr="00535F3A" w:rsidRDefault="00535F3A" w:rsidP="0063208F">
      <w:pPr>
        <w:pStyle w:val="SingleTxtGR"/>
      </w:pPr>
      <w:r w:rsidRPr="00535F3A">
        <w:lastRenderedPageBreak/>
        <w:t>1.</w:t>
      </w:r>
      <w:r w:rsidRPr="00535F3A">
        <w:tab/>
        <w:t>Автором сообщения является</w:t>
      </w:r>
      <w:r w:rsidR="00A91FF3">
        <w:t xml:space="preserve"> </w:t>
      </w:r>
      <w:r w:rsidRPr="00535F3A">
        <w:t>Борис Макаров, гражданин Литвы, пода</w:t>
      </w:r>
      <w:r w:rsidRPr="00535F3A">
        <w:t>ю</w:t>
      </w:r>
      <w:r w:rsidRPr="00535F3A">
        <w:t>щий свою жалобу от имени своей умершей жены Глафиры Макаровой, также гражданки Литвы. Автор утверждает, что Литвой были нарушены права его ж</w:t>
      </w:r>
      <w:r w:rsidRPr="00535F3A">
        <w:t>е</w:t>
      </w:r>
      <w:r w:rsidRPr="00535F3A">
        <w:t>ны в соответствии со статьями 12, 13 и 22 Конвенции. Факультативный прот</w:t>
      </w:r>
      <w:r w:rsidRPr="00535F3A">
        <w:t>о</w:t>
      </w:r>
      <w:r w:rsidRPr="00535F3A">
        <w:t>кол вступил в силу для Литвы 18 сентября 2010 года. Адвокатом автор не пре</w:t>
      </w:r>
      <w:r w:rsidRPr="00535F3A">
        <w:t>д</w:t>
      </w:r>
      <w:r w:rsidRPr="00535F3A">
        <w:t>ставлен.</w:t>
      </w:r>
    </w:p>
    <w:p w:rsidR="00535F3A" w:rsidRPr="00535F3A" w:rsidRDefault="00A91FF3" w:rsidP="00A91FF3">
      <w:pPr>
        <w:pStyle w:val="H1GR"/>
      </w:pPr>
      <w:r>
        <w:tab/>
      </w:r>
      <w:r w:rsidR="00535F3A" w:rsidRPr="00535F3A">
        <w:t>A.</w:t>
      </w:r>
      <w:r w:rsidR="00535F3A" w:rsidRPr="00535F3A">
        <w:tab/>
        <w:t>Резюме информации и аргументов, представленных сторонами</w:t>
      </w:r>
    </w:p>
    <w:p w:rsidR="00535F3A" w:rsidRPr="00535F3A" w:rsidRDefault="00535F3A" w:rsidP="00A91FF3">
      <w:pPr>
        <w:pStyle w:val="H23GR"/>
      </w:pPr>
      <w:r w:rsidRPr="00535F3A">
        <w:tab/>
      </w:r>
      <w:r w:rsidRPr="00535F3A">
        <w:tab/>
        <w:t>Факты в изложении автора</w:t>
      </w:r>
    </w:p>
    <w:p w:rsidR="00535F3A" w:rsidRPr="00535F3A" w:rsidRDefault="00535F3A" w:rsidP="0063208F">
      <w:pPr>
        <w:pStyle w:val="SingleTxtGR"/>
      </w:pPr>
      <w:r w:rsidRPr="00535F3A">
        <w:t>2.1</w:t>
      </w:r>
      <w:r w:rsidRPr="00535F3A">
        <w:tab/>
        <w:t>Автор утверждает, что 12 июня 2005 года его жена стала жертвой доро</w:t>
      </w:r>
      <w:r w:rsidRPr="00535F3A">
        <w:t>ж</w:t>
      </w:r>
      <w:r w:rsidRPr="00535F3A">
        <w:t xml:space="preserve">но-транспортного </w:t>
      </w:r>
      <w:proofErr w:type="gramStart"/>
      <w:r w:rsidRPr="00535F3A">
        <w:t>происшествия, вызванного В.М. В результате жена автора Глафира Макарова получила</w:t>
      </w:r>
      <w:proofErr w:type="gramEnd"/>
      <w:r w:rsidRPr="00535F3A">
        <w:t xml:space="preserve"> множественные телесные повреждения, включая травму головы</w:t>
      </w:r>
      <w:r w:rsidR="007C3DD6" w:rsidRPr="00BE4043">
        <w:rPr>
          <w:sz w:val="18"/>
          <w:szCs w:val="18"/>
          <w:vertAlign w:val="superscript"/>
        </w:rPr>
        <w:footnoteReference w:id="3"/>
      </w:r>
      <w:r w:rsidR="007C3DD6" w:rsidRPr="00535F3A">
        <w:t>.</w:t>
      </w:r>
      <w:r w:rsidRPr="00535F3A">
        <w:t xml:space="preserve"> 9 января 2006 года государственная медицинская комиссия установила 60-процентный коэффициент медицинской инвалидности в отнош</w:t>
      </w:r>
      <w:r w:rsidRPr="00535F3A">
        <w:t>е</w:t>
      </w:r>
      <w:r w:rsidRPr="00535F3A">
        <w:t>нии г-жи Макаровой. Впоследствии она страдала от головных болей. Согласно сообщению автора, ее инвалидность, головные боли, потеря памяти и труд</w:t>
      </w:r>
      <w:r w:rsidRPr="00535F3A">
        <w:t>о</w:t>
      </w:r>
      <w:r w:rsidRPr="00535F3A">
        <w:t>способности были прямым следствием травмы головы, полученной ею в д</w:t>
      </w:r>
      <w:r w:rsidRPr="00535F3A">
        <w:t>о</w:t>
      </w:r>
      <w:r w:rsidRPr="00535F3A">
        <w:t xml:space="preserve">рожно-транспортном происшествии. </w:t>
      </w:r>
    </w:p>
    <w:p w:rsidR="00535F3A" w:rsidRPr="00535F3A" w:rsidRDefault="00535F3A" w:rsidP="00535F3A">
      <w:pPr>
        <w:pStyle w:val="SingleTxtGR"/>
      </w:pPr>
      <w:r w:rsidRPr="00535F3A">
        <w:t>2.2</w:t>
      </w:r>
      <w:r w:rsidRPr="00535F3A">
        <w:tab/>
        <w:t>Автор утверждает, что к 19 января 2007 года последствия травмы головы усугубились до такой степени, что у его жены был диагностирован коэффиц</w:t>
      </w:r>
      <w:r w:rsidRPr="00535F3A">
        <w:t>и</w:t>
      </w:r>
      <w:r w:rsidRPr="00535F3A">
        <w:t>ент инвалидности 80%. По словам автора, состояние г-жи Макаровой продо</w:t>
      </w:r>
      <w:r w:rsidRPr="00535F3A">
        <w:t>л</w:t>
      </w:r>
      <w:r w:rsidRPr="00535F3A">
        <w:t xml:space="preserve">жало ухудшаться вплоть до ее смерти 24 ноября 2011 года, когда она умерла из-за последствий травматической мозговой травмы. </w:t>
      </w:r>
    </w:p>
    <w:p w:rsidR="00535F3A" w:rsidRPr="00535F3A" w:rsidRDefault="00535F3A" w:rsidP="007C3DD6">
      <w:pPr>
        <w:pStyle w:val="SingleTxtGR"/>
      </w:pPr>
      <w:r w:rsidRPr="00535F3A">
        <w:t>2.3</w:t>
      </w:r>
      <w:r w:rsidRPr="00535F3A">
        <w:tab/>
        <w:t>Автор далее утверждает, что ввиду своего состояния здоровья г-жа Мак</w:t>
      </w:r>
      <w:r w:rsidRPr="00535F3A">
        <w:t>а</w:t>
      </w:r>
      <w:r w:rsidRPr="00535F3A">
        <w:t>рова не смогла лично явиться в полицейский участок. Поэтому в письмах от 25</w:t>
      </w:r>
      <w:r w:rsidR="007C3DD6">
        <w:rPr>
          <w:lang w:val="en-US"/>
        </w:rPr>
        <w:t> </w:t>
      </w:r>
      <w:r w:rsidRPr="00535F3A">
        <w:t>января 2006 года и 15 апреля 2006 года она обратилась с просьбой сообщить ей об уголовном расследовании, возбужденном в отношении В.М. Автор утве</w:t>
      </w:r>
      <w:r w:rsidRPr="00535F3A">
        <w:t>р</w:t>
      </w:r>
      <w:r w:rsidRPr="00535F3A">
        <w:t>ждает, что запросы были властями проигнорированы. Автор утверждает, что действия прокуратуры были незаконными, поскольку прокурор не сообщил жене автора об обвинительном заключении в отношении В.М.</w:t>
      </w:r>
      <w:r w:rsidR="0063208F" w:rsidRPr="0063208F">
        <w:t xml:space="preserve"> </w:t>
      </w:r>
      <w:r w:rsidRPr="00535F3A">
        <w:t>от 2 мая 2006 г</w:t>
      </w:r>
      <w:r w:rsidRPr="00535F3A">
        <w:t>о</w:t>
      </w:r>
      <w:r w:rsidRPr="00535F3A">
        <w:t xml:space="preserve">да, и что, как следствие, она была незаконно лишена своего права оспаривать решения и выводы прокурора. </w:t>
      </w:r>
    </w:p>
    <w:p w:rsidR="00535F3A" w:rsidRPr="00535F3A" w:rsidRDefault="00535F3A" w:rsidP="00535F3A">
      <w:pPr>
        <w:pStyle w:val="SingleTxtGR"/>
      </w:pPr>
      <w:r w:rsidRPr="00535F3A">
        <w:t>2.4</w:t>
      </w:r>
      <w:r w:rsidRPr="00535F3A">
        <w:tab/>
        <w:t>Аналогичным образом вследствие ухудшения своего состояния г-жа</w:t>
      </w:r>
      <w:r w:rsidR="00A91FF3">
        <w:t xml:space="preserve"> </w:t>
      </w:r>
      <w:r w:rsidRPr="00535F3A">
        <w:t>М</w:t>
      </w:r>
      <w:r w:rsidRPr="00535F3A">
        <w:t>а</w:t>
      </w:r>
      <w:r w:rsidRPr="00535F3A">
        <w:t>карова не могла участвовать в слушаниях суда. Письмом от 30 июня 2006 года судья П. первого</w:t>
      </w:r>
      <w:r w:rsidR="00A91FF3">
        <w:t xml:space="preserve"> </w:t>
      </w:r>
      <w:r w:rsidRPr="00535F3A">
        <w:t>районного суда Вильнюса был информирован о том, что жена автора не сможет присутствовать при разбирательстве, а также об отсутствии у нее</w:t>
      </w:r>
      <w:r w:rsidR="00A91FF3">
        <w:t xml:space="preserve"> </w:t>
      </w:r>
      <w:r w:rsidRPr="00535F3A">
        <w:t>возможностей нанять адвоката по финансовым причинам. Автор утвержд</w:t>
      </w:r>
      <w:r w:rsidRPr="00535F3A">
        <w:t>а</w:t>
      </w:r>
      <w:r w:rsidRPr="00535F3A">
        <w:t>ет, что статья 118 Конституции Литвы налагает на прокурора обязанность з</w:t>
      </w:r>
      <w:r w:rsidRPr="00535F3A">
        <w:t>а</w:t>
      </w:r>
      <w:r w:rsidRPr="00535F3A">
        <w:t>щищать позицию потерпевшего в случае, если он или она не может позволить себе адвоката, и налагает на суд обязанность обеспечить пользование поте</w:t>
      </w:r>
      <w:r w:rsidRPr="00535F3A">
        <w:t>р</w:t>
      </w:r>
      <w:r w:rsidRPr="00535F3A">
        <w:t xml:space="preserve">певшим этим правом. </w:t>
      </w:r>
    </w:p>
    <w:p w:rsidR="00535F3A" w:rsidRPr="00535F3A" w:rsidRDefault="00535F3A" w:rsidP="00535F3A">
      <w:pPr>
        <w:pStyle w:val="SingleTxtGR"/>
      </w:pPr>
      <w:r w:rsidRPr="00535F3A">
        <w:t>2.5</w:t>
      </w:r>
      <w:r w:rsidRPr="00535F3A">
        <w:tab/>
        <w:t>Автор утверждает, однако, что эти требования были проигнорированы и судья П. официально отказался предоставить его жене юридическую помощь</w:t>
      </w:r>
      <w:r w:rsidR="007C3DD6" w:rsidRPr="00BE4043">
        <w:rPr>
          <w:sz w:val="18"/>
          <w:szCs w:val="18"/>
          <w:vertAlign w:val="superscript"/>
        </w:rPr>
        <w:footnoteReference w:id="4"/>
      </w:r>
      <w:r w:rsidR="007C3DD6" w:rsidRPr="00535F3A">
        <w:t>.</w:t>
      </w:r>
      <w:r w:rsidRPr="00535F3A">
        <w:t xml:space="preserve"> В результате автор утверждает, что его жена была незаконно лишена доступа к правосудию и осталась без юридической помощи, что лишило ее права на ра</w:t>
      </w:r>
      <w:r w:rsidRPr="00535F3A">
        <w:t>в</w:t>
      </w:r>
      <w:r w:rsidRPr="00535F3A">
        <w:lastRenderedPageBreak/>
        <w:t xml:space="preserve">ную защиту по закону. Автор, таким образом, считает, что государство-участник нарушило права его жены по статьям 12 и 13 Конвенции. </w:t>
      </w:r>
    </w:p>
    <w:p w:rsidR="00535F3A" w:rsidRPr="00535F3A" w:rsidRDefault="00535F3A" w:rsidP="00535F3A">
      <w:pPr>
        <w:pStyle w:val="SingleTxtGR"/>
      </w:pPr>
      <w:r w:rsidRPr="00535F3A">
        <w:t>2.6</w:t>
      </w:r>
      <w:proofErr w:type="gramStart"/>
      <w:r w:rsidRPr="00535F3A">
        <w:tab/>
        <w:t>К</w:t>
      </w:r>
      <w:proofErr w:type="gramEnd"/>
      <w:r w:rsidRPr="00535F3A">
        <w:t>роме того, автор утверждает, что в ходе публичных слушаний в первом районном суде города Вильнюса судья П. раскрывал конфиденциальную и</w:t>
      </w:r>
      <w:r w:rsidRPr="00535F3A">
        <w:t>н</w:t>
      </w:r>
      <w:r w:rsidRPr="00535F3A">
        <w:t>формацию о состоянии здоровья г-жи</w:t>
      </w:r>
      <w:r w:rsidR="00A91FF3">
        <w:t xml:space="preserve"> </w:t>
      </w:r>
      <w:r w:rsidRPr="00535F3A">
        <w:t>Макаровой, в том числе обвиняемой ст</w:t>
      </w:r>
      <w:r w:rsidRPr="00535F3A">
        <w:t>о</w:t>
      </w:r>
      <w:r w:rsidRPr="00535F3A">
        <w:t>роне, без ее информированного согласия. По мнению автора, действия судьи равнозначны нарушению права его жены на неприкосновенность частной жи</w:t>
      </w:r>
      <w:r w:rsidRPr="00535F3A">
        <w:t>з</w:t>
      </w:r>
      <w:r w:rsidRPr="00535F3A">
        <w:t xml:space="preserve">ни в соответствии со статьей 22 Конвенции. </w:t>
      </w:r>
    </w:p>
    <w:p w:rsidR="00535F3A" w:rsidRPr="00535F3A" w:rsidRDefault="00535F3A" w:rsidP="007C3DD6">
      <w:pPr>
        <w:pStyle w:val="SingleTxtGR"/>
      </w:pPr>
      <w:r w:rsidRPr="00535F3A">
        <w:t>2.7</w:t>
      </w:r>
      <w:r w:rsidRPr="00535F3A">
        <w:tab/>
        <w:t>Автор полагает, что судья П. и прокурор постоянно отдавали предпочт</w:t>
      </w:r>
      <w:r w:rsidRPr="00535F3A">
        <w:t>е</w:t>
      </w:r>
      <w:r w:rsidRPr="00535F3A">
        <w:t xml:space="preserve">ние обвиняемой стороне в нарушение внутреннего и международного права. </w:t>
      </w:r>
      <w:proofErr w:type="gramStart"/>
      <w:r w:rsidRPr="00535F3A">
        <w:t>В</w:t>
      </w:r>
      <w:r w:rsidR="007C3DD6">
        <w:rPr>
          <w:lang w:val="en-US"/>
        </w:rPr>
        <w:t> </w:t>
      </w:r>
      <w:r w:rsidRPr="00535F3A">
        <w:t>частности, автор утверждает, что в ходе судебного разбирательства были проигнорированы доказательства, устанавливавшие инвалидность его жены, а также прежние административные нарушения</w:t>
      </w:r>
      <w:r w:rsidR="00A91FF3">
        <w:t xml:space="preserve"> </w:t>
      </w:r>
      <w:r w:rsidRPr="00535F3A">
        <w:t>В.М., использовались сфабрик</w:t>
      </w:r>
      <w:r w:rsidRPr="00535F3A">
        <w:t>о</w:t>
      </w:r>
      <w:r w:rsidRPr="00535F3A">
        <w:t>ванные доказательства, умалявшие вину обвиняемого, и</w:t>
      </w:r>
      <w:r w:rsidR="00A91FF3">
        <w:t xml:space="preserve"> </w:t>
      </w:r>
      <w:r w:rsidRPr="00535F3A">
        <w:t>физический вред, пр</w:t>
      </w:r>
      <w:r w:rsidRPr="00535F3A">
        <w:t>и</w:t>
      </w:r>
      <w:r w:rsidRPr="00535F3A">
        <w:t>чиненный его жене, был квалифицирован как «легкий» и не связанный с ее ухудшающимся состоянием здоровья</w:t>
      </w:r>
      <w:r w:rsidR="007C3DD6" w:rsidRPr="001F1E0F">
        <w:rPr>
          <w:sz w:val="18"/>
          <w:szCs w:val="18"/>
          <w:vertAlign w:val="superscript"/>
        </w:rPr>
        <w:footnoteReference w:id="5"/>
      </w:r>
      <w:r w:rsidR="007C3DD6" w:rsidRPr="00535F3A">
        <w:t>.</w:t>
      </w:r>
      <w:r w:rsidRPr="00535F3A">
        <w:t xml:space="preserve"> После этого в своей жалобе от 26 марта 2008 года автор оспорил беспристрастность</w:t>
      </w:r>
      <w:proofErr w:type="gramEnd"/>
      <w:r w:rsidRPr="00535F3A">
        <w:t xml:space="preserve"> прокурора и судьи; его жалоба б</w:t>
      </w:r>
      <w:r w:rsidRPr="00535F3A">
        <w:t>ы</w:t>
      </w:r>
      <w:r w:rsidRPr="00535F3A">
        <w:t xml:space="preserve">ла оставлена без удовлетворения. </w:t>
      </w:r>
    </w:p>
    <w:p w:rsidR="00535F3A" w:rsidRPr="00535F3A" w:rsidRDefault="00535F3A" w:rsidP="001F1E0F">
      <w:pPr>
        <w:pStyle w:val="SingleTxtGR"/>
      </w:pPr>
      <w:r w:rsidRPr="00535F3A">
        <w:t>2.8</w:t>
      </w:r>
      <w:r w:rsidRPr="00535F3A">
        <w:tab/>
        <w:t>22 мая 2008 года судья П. постановил, что В.М. виновен в совершении нарушения правил дорожного движения, и вынес ему легкое наказание в виде штрафа, сделав вывод о том, что инвалидность г-жи Макаровой не была связана с происшествием. Автор утверждает, что, хотя его жена была пострадавшей в результате столкновения, она так и не была информирована об этом решении. В</w:t>
      </w:r>
      <w:r w:rsidR="007C3DD6">
        <w:rPr>
          <w:lang w:val="en-US"/>
        </w:rPr>
        <w:t> </w:t>
      </w:r>
      <w:proofErr w:type="gramStart"/>
      <w:r w:rsidRPr="00535F3A">
        <w:t>сущности</w:t>
      </w:r>
      <w:proofErr w:type="gramEnd"/>
      <w:r w:rsidRPr="00535F3A">
        <w:t xml:space="preserve"> автор узнал о принятии судом решения лишь тогда, когда он явился в канцеляри</w:t>
      </w:r>
      <w:r w:rsidR="001F1E0F">
        <w:t>ю</w:t>
      </w:r>
      <w:r w:rsidRPr="00535F3A">
        <w:t xml:space="preserve"> суда 7 ноября 2008 года. </w:t>
      </w:r>
    </w:p>
    <w:p w:rsidR="00535F3A" w:rsidRPr="00535F3A" w:rsidRDefault="00535F3A" w:rsidP="001F1E0F">
      <w:pPr>
        <w:pStyle w:val="SingleTxtGR"/>
      </w:pPr>
      <w:r w:rsidRPr="00535F3A">
        <w:t>2.9</w:t>
      </w:r>
      <w:r w:rsidRPr="00535F3A">
        <w:tab/>
        <w:t xml:space="preserve">Автор утверждает, что к тому времени решение районного суда уже не могло быть обжаловано. Тем не </w:t>
      </w:r>
      <w:proofErr w:type="gramStart"/>
      <w:r w:rsidRPr="00535F3A">
        <w:t>менее</w:t>
      </w:r>
      <w:proofErr w:type="gramEnd"/>
      <w:r w:rsidRPr="00535F3A">
        <w:t xml:space="preserve"> автор подал жалобу в областной суд Вильнюса. 4 декабря 2008 года его жалоба была отклонена, поскольку автор не смог доказать, что он пропустил срок для подачи жалобы из-за проблем со зд</w:t>
      </w:r>
      <w:r w:rsidRPr="00535F3A">
        <w:t>о</w:t>
      </w:r>
      <w:r w:rsidRPr="00535F3A">
        <w:t xml:space="preserve">ровьем, которые он пережил. Несмотря на то, что областной суд </w:t>
      </w:r>
      <w:proofErr w:type="gramStart"/>
      <w:r w:rsidRPr="00535F3A">
        <w:t>отклонил ж</w:t>
      </w:r>
      <w:r w:rsidRPr="00535F3A">
        <w:t>а</w:t>
      </w:r>
      <w:r w:rsidRPr="00535F3A">
        <w:t>лобу автора и что это решение не могло</w:t>
      </w:r>
      <w:proofErr w:type="gramEnd"/>
      <w:r w:rsidRPr="00535F3A">
        <w:t xml:space="preserve"> быть обжаловано, автор все же поп</w:t>
      </w:r>
      <w:r w:rsidRPr="00535F3A">
        <w:t>ы</w:t>
      </w:r>
      <w:r w:rsidRPr="00535F3A">
        <w:t>тался обратиться в Верховный суд Литвы и в другие инстанции, но безуспешно. Таким образом, автор утверждает, что все внутренние средства правовой защ</w:t>
      </w:r>
      <w:r w:rsidRPr="00535F3A">
        <w:t>и</w:t>
      </w:r>
      <w:r w:rsidRPr="00535F3A">
        <w:t xml:space="preserve">ты были исчерпаны. </w:t>
      </w:r>
    </w:p>
    <w:p w:rsidR="00535F3A" w:rsidRPr="00535F3A" w:rsidRDefault="00535F3A" w:rsidP="007C3DD6">
      <w:pPr>
        <w:pStyle w:val="H23GR"/>
      </w:pPr>
      <w:r w:rsidRPr="00535F3A">
        <w:tab/>
      </w:r>
      <w:r w:rsidRPr="00535F3A">
        <w:tab/>
        <w:t>Жалоба</w:t>
      </w:r>
    </w:p>
    <w:p w:rsidR="00535F3A" w:rsidRPr="00535F3A" w:rsidRDefault="00535F3A" w:rsidP="00535F3A">
      <w:pPr>
        <w:pStyle w:val="SingleTxtGR"/>
      </w:pPr>
      <w:r w:rsidRPr="00535F3A">
        <w:t>3.1</w:t>
      </w:r>
      <w:r w:rsidRPr="00535F3A">
        <w:tab/>
        <w:t xml:space="preserve">Автор утверждает, что государство-участник нарушило права его супруги по статье 12, статье 13 и статье 22 Конвенции. </w:t>
      </w:r>
    </w:p>
    <w:p w:rsidR="00535F3A" w:rsidRPr="00535F3A" w:rsidRDefault="00535F3A" w:rsidP="00535F3A">
      <w:pPr>
        <w:pStyle w:val="SingleTxtGR"/>
      </w:pPr>
      <w:r w:rsidRPr="00535F3A">
        <w:t>3.2</w:t>
      </w:r>
      <w:proofErr w:type="gramStart"/>
      <w:r w:rsidRPr="00535F3A">
        <w:tab/>
        <w:t>К</w:t>
      </w:r>
      <w:proofErr w:type="gramEnd"/>
      <w:r w:rsidRPr="00535F3A">
        <w:t>роме того, автор просит Комитет рекомендовать правительству Литвы провести реформу своего законодательства, чтобы обеспечить инвалидам р</w:t>
      </w:r>
      <w:r w:rsidRPr="00535F3A">
        <w:t>е</w:t>
      </w:r>
      <w:r w:rsidRPr="00535F3A">
        <w:t xml:space="preserve">альную правовую защиту, и безоговорочно соблюдать Конвенцию. </w:t>
      </w:r>
    </w:p>
    <w:p w:rsidR="00535F3A" w:rsidRPr="00535F3A" w:rsidRDefault="00535F3A" w:rsidP="001F1E0F">
      <w:pPr>
        <w:pStyle w:val="H23GR"/>
      </w:pPr>
      <w:r w:rsidRPr="00535F3A">
        <w:tab/>
      </w:r>
      <w:r w:rsidRPr="00535F3A">
        <w:tab/>
        <w:t>Замечания государства-участника в отношении приемлемости и</w:t>
      </w:r>
      <w:r w:rsidR="001F1E0F">
        <w:t> </w:t>
      </w:r>
      <w:r w:rsidRPr="00535F3A">
        <w:t>по</w:t>
      </w:r>
      <w:r w:rsidR="001F1E0F">
        <w:t> </w:t>
      </w:r>
      <w:r w:rsidRPr="00535F3A">
        <w:t xml:space="preserve">существу дела </w:t>
      </w:r>
    </w:p>
    <w:p w:rsidR="00535F3A" w:rsidRPr="00535F3A" w:rsidRDefault="00535F3A" w:rsidP="00535F3A">
      <w:pPr>
        <w:pStyle w:val="SingleTxtGR"/>
      </w:pPr>
      <w:r w:rsidRPr="00535F3A">
        <w:t>4.1</w:t>
      </w:r>
      <w:r w:rsidRPr="00535F3A">
        <w:tab/>
        <w:t>4 апреля 2014 года государство-участник представило свои замечания о</w:t>
      </w:r>
      <w:r w:rsidRPr="00535F3A">
        <w:t>т</w:t>
      </w:r>
      <w:r w:rsidRPr="00535F3A">
        <w:t>носительно приемлемости и существа сообщения. Государство-участник и</w:t>
      </w:r>
      <w:r w:rsidRPr="00535F3A">
        <w:t>н</w:t>
      </w:r>
      <w:r w:rsidRPr="00535F3A">
        <w:t>формирует Комитет, что Министерство социального обеспечения и труда назначено в качестве государственного органа, отвечающего за координацию осуществления положений Конвенции и Факультативного протокола к ней. Что касается настоящей жалобы, то информация была предоставлена Министе</w:t>
      </w:r>
      <w:r w:rsidRPr="00535F3A">
        <w:t>р</w:t>
      </w:r>
      <w:r w:rsidRPr="00535F3A">
        <w:t>ством юстиции.</w:t>
      </w:r>
    </w:p>
    <w:p w:rsidR="00535F3A" w:rsidRPr="00535F3A" w:rsidRDefault="00535F3A" w:rsidP="00535F3A">
      <w:pPr>
        <w:pStyle w:val="SingleTxtGR"/>
      </w:pPr>
      <w:r w:rsidRPr="00535F3A">
        <w:lastRenderedPageBreak/>
        <w:t>4.2</w:t>
      </w:r>
      <w:r w:rsidRPr="00535F3A">
        <w:tab/>
        <w:t>Государство-участник утверждает, что проведение экспертиз регламент</w:t>
      </w:r>
      <w:r w:rsidRPr="00535F3A">
        <w:t>и</w:t>
      </w:r>
      <w:r w:rsidRPr="00535F3A">
        <w:t>руется различными положениями Уголовно-процессуального кодекса и закона о судебной экспертизе. Уголовно-процессуальный кодекс предоставляет</w:t>
      </w:r>
      <w:r w:rsidR="00A91FF3">
        <w:t xml:space="preserve"> </w:t>
      </w:r>
      <w:r w:rsidRPr="00535F3A">
        <w:t>поте</w:t>
      </w:r>
      <w:r w:rsidRPr="00535F3A">
        <w:t>р</w:t>
      </w:r>
      <w:r w:rsidRPr="00535F3A">
        <w:t>певшему, который не согласен с результатом протокола экспертизы, право осп</w:t>
      </w:r>
      <w:r w:rsidRPr="00535F3A">
        <w:t>а</w:t>
      </w:r>
      <w:r w:rsidRPr="00535F3A">
        <w:t>ривать его законность и полноту. Затем орган следствия или суд должны р</w:t>
      </w:r>
      <w:r w:rsidRPr="00535F3A">
        <w:t>е</w:t>
      </w:r>
      <w:r w:rsidRPr="00535F3A">
        <w:t>шить, имеются ли основания для производства новой судебно-медицинской экспертизы. Право потерпевшего знакомиться с материалами, относящимися к досудебному расследованию, включая результаты судебно-медицинской экспе</w:t>
      </w:r>
      <w:r w:rsidRPr="00535F3A">
        <w:t>р</w:t>
      </w:r>
      <w:r w:rsidRPr="00535F3A">
        <w:t xml:space="preserve">тизы, регламентируется статьей 181 Уголовно-процессуального кодекса. </w:t>
      </w:r>
    </w:p>
    <w:p w:rsidR="00535F3A" w:rsidRPr="00535F3A" w:rsidRDefault="00535F3A" w:rsidP="00535F3A">
      <w:pPr>
        <w:pStyle w:val="SingleTxtGR"/>
      </w:pPr>
      <w:r w:rsidRPr="00535F3A">
        <w:t>4.3</w:t>
      </w:r>
      <w:r w:rsidRPr="00535F3A">
        <w:tab/>
        <w:t xml:space="preserve">Потерпевший или его или ее представитель может делать необходимые копии. Ходатайство о предоставлении возможности </w:t>
      </w:r>
      <w:proofErr w:type="gramStart"/>
      <w:r w:rsidRPr="00535F3A">
        <w:t>ознакомиться со следстве</w:t>
      </w:r>
      <w:r w:rsidRPr="00535F3A">
        <w:t>н</w:t>
      </w:r>
      <w:r w:rsidRPr="00535F3A">
        <w:t>ным делом должно быть</w:t>
      </w:r>
      <w:proofErr w:type="gramEnd"/>
      <w:r w:rsidRPr="00535F3A">
        <w:t xml:space="preserve"> подано прокурору. Прокурор может отклонить такое ходатайство, если он сочтет, что его удовлетворение «наносит ущерб» интер</w:t>
      </w:r>
      <w:r w:rsidRPr="00535F3A">
        <w:t>е</w:t>
      </w:r>
      <w:r w:rsidRPr="00535F3A">
        <w:t>сам следствия. Такое постановление должно быть принято в письменном виде и должно быть мотивировано. Постановление может быть обжаловано в суде в семидневный срок после принятия. Как утверждает государство-участник, «следует отметить, что потерпевшему также предоставлялся доступ к матери</w:t>
      </w:r>
      <w:r w:rsidRPr="00535F3A">
        <w:t>а</w:t>
      </w:r>
      <w:r w:rsidRPr="00535F3A">
        <w:t xml:space="preserve">лам дела в суде». </w:t>
      </w:r>
    </w:p>
    <w:p w:rsidR="00535F3A" w:rsidRPr="00535F3A" w:rsidRDefault="00535F3A" w:rsidP="007C3DD6">
      <w:pPr>
        <w:pStyle w:val="SingleTxtGR"/>
      </w:pPr>
      <w:r w:rsidRPr="00535F3A">
        <w:t>4.4</w:t>
      </w:r>
      <w:proofErr w:type="gramStart"/>
      <w:r w:rsidRPr="00535F3A">
        <w:tab/>
        <w:t>В</w:t>
      </w:r>
      <w:proofErr w:type="gramEnd"/>
      <w:r w:rsidRPr="00535F3A">
        <w:t xml:space="preserve"> соответствии со статьями 286, пункт 5, и 286, пункт 6, Уголовно-процессуального кодекса показания эксперта были оглашены во время суде</w:t>
      </w:r>
      <w:r w:rsidRPr="00535F3A">
        <w:t>б</w:t>
      </w:r>
      <w:r w:rsidRPr="00535F3A">
        <w:t>ных слушаний, а «участники слушаний» могли обратиться с устными вопрос</w:t>
      </w:r>
      <w:r w:rsidRPr="00535F3A">
        <w:t>а</w:t>
      </w:r>
      <w:r w:rsidRPr="00535F3A">
        <w:t>ми к эксперту, чтобы уточнить «или дополнить протокол». Кроме того, согласно статье 312 Уголовно-процессуального кодекса, «потерпевшие имели право о</w:t>
      </w:r>
      <w:r w:rsidRPr="00535F3A">
        <w:t>б</w:t>
      </w:r>
      <w:r w:rsidRPr="00535F3A">
        <w:t xml:space="preserve">жаловать приговор или судебное решение». </w:t>
      </w:r>
    </w:p>
    <w:p w:rsidR="00535F3A" w:rsidRPr="00535F3A" w:rsidRDefault="00535F3A" w:rsidP="00535F3A">
      <w:pPr>
        <w:pStyle w:val="SingleTxtGR"/>
      </w:pPr>
      <w:r w:rsidRPr="00535F3A">
        <w:t>4.5</w:t>
      </w:r>
      <w:proofErr w:type="gramStart"/>
      <w:r w:rsidRPr="00535F3A">
        <w:tab/>
        <w:t>В</w:t>
      </w:r>
      <w:proofErr w:type="gramEnd"/>
      <w:r w:rsidRPr="00535F3A">
        <w:t xml:space="preserve"> соответствии со статьей 55 Уголовно-процессуального кодекса поте</w:t>
      </w:r>
      <w:r w:rsidRPr="00535F3A">
        <w:t>р</w:t>
      </w:r>
      <w:r w:rsidRPr="00535F3A">
        <w:t>певший может быть представлен «адвокатом» или «помощником адвоката при даче поручения адвокатом»; при наличии разрешения от следователя, прокур</w:t>
      </w:r>
      <w:r w:rsidRPr="00535F3A">
        <w:t>о</w:t>
      </w:r>
      <w:r w:rsidRPr="00535F3A">
        <w:t>ра или судьи; потерпевший может также быть представлен лицом, «имеющим более высокую юридическую степень», которому была выдана доверенность. Потерпевший может менять своих представителей. Государство-участник с</w:t>
      </w:r>
      <w:r w:rsidRPr="00535F3A">
        <w:t>о</w:t>
      </w:r>
      <w:r w:rsidRPr="00535F3A">
        <w:t>общает, что «в случаях, предусмотренных законом, регулирующим предоста</w:t>
      </w:r>
      <w:r w:rsidRPr="00535F3A">
        <w:t>в</w:t>
      </w:r>
      <w:r w:rsidRPr="00535F3A">
        <w:t>ление гарантированной государством юридической помощи, потерпевшие и гражданские истцы имеют право на бесплатную юридическую помощь, гара</w:t>
      </w:r>
      <w:r w:rsidRPr="00535F3A">
        <w:t>н</w:t>
      </w:r>
      <w:r w:rsidRPr="00535F3A">
        <w:t>тированную государством».</w:t>
      </w:r>
    </w:p>
    <w:p w:rsidR="00535F3A" w:rsidRPr="00535F3A" w:rsidRDefault="00535F3A" w:rsidP="00535F3A">
      <w:pPr>
        <w:pStyle w:val="SingleTxtGR"/>
      </w:pPr>
      <w:r w:rsidRPr="00535F3A">
        <w:t>4.6</w:t>
      </w:r>
      <w:r w:rsidRPr="00535F3A">
        <w:tab/>
        <w:t>Закон о предоставлении гарантированной государством юридической п</w:t>
      </w:r>
      <w:r w:rsidRPr="00535F3A">
        <w:t>о</w:t>
      </w:r>
      <w:r w:rsidRPr="00535F3A">
        <w:t>мощи предусматривает право инвалида на «дополнительную юридическую п</w:t>
      </w:r>
      <w:r w:rsidRPr="00535F3A">
        <w:t>о</w:t>
      </w:r>
      <w:r w:rsidRPr="00535F3A">
        <w:t>мощь», если лицо удовлетворяет правовым критериям. Лицо, желающее пол</w:t>
      </w:r>
      <w:r w:rsidRPr="00535F3A">
        <w:t>у</w:t>
      </w:r>
      <w:r w:rsidRPr="00535F3A">
        <w:t>чить доступ к такой юридической помощи, должно обратиться в бюро, заним</w:t>
      </w:r>
      <w:r w:rsidRPr="00535F3A">
        <w:t>а</w:t>
      </w:r>
      <w:r w:rsidRPr="00535F3A">
        <w:t xml:space="preserve">ющееся вопросами гарантированной государством юридической помощи. </w:t>
      </w:r>
    </w:p>
    <w:p w:rsidR="00535F3A" w:rsidRPr="00535F3A" w:rsidRDefault="00535F3A" w:rsidP="00535F3A">
      <w:pPr>
        <w:pStyle w:val="SingleTxtGR"/>
      </w:pPr>
      <w:r w:rsidRPr="00535F3A">
        <w:t>4.7</w:t>
      </w:r>
      <w:r w:rsidRPr="00535F3A">
        <w:tab/>
        <w:t>Закон не регулирует сроки, процедуру или способы проведения конкре</w:t>
      </w:r>
      <w:r w:rsidRPr="00535F3A">
        <w:t>т</w:t>
      </w:r>
      <w:r w:rsidRPr="00535F3A">
        <w:t>ных видов судебных экспертиз. Они регламентируются «внутренними актами» организаций, которые проводят такие экспертизы. Министерство юстиции не координирует свою деятельность с Государственной службой судебной медиц</w:t>
      </w:r>
      <w:r w:rsidRPr="00535F3A">
        <w:t>и</w:t>
      </w:r>
      <w:r w:rsidRPr="00535F3A">
        <w:t xml:space="preserve">ны и поэтому не может комментировать экспертизы, которые были произведены в отношении г-жи Макаровой. </w:t>
      </w:r>
    </w:p>
    <w:p w:rsidR="00535F3A" w:rsidRPr="00535F3A" w:rsidRDefault="00535F3A" w:rsidP="00535F3A">
      <w:pPr>
        <w:pStyle w:val="SingleTxtGR"/>
      </w:pPr>
      <w:r w:rsidRPr="00535F3A">
        <w:t>4.8</w:t>
      </w:r>
      <w:proofErr w:type="gramStart"/>
      <w:r w:rsidRPr="00535F3A">
        <w:tab/>
        <w:t>Н</w:t>
      </w:r>
      <w:proofErr w:type="gramEnd"/>
      <w:r w:rsidRPr="00535F3A">
        <w:t>аконец, государство-участник отмечает, что «правовое регулирование» гарантирует лицам с инвалидностью равные процессуальные права на пре</w:t>
      </w:r>
      <w:r w:rsidRPr="00535F3A">
        <w:t>д</w:t>
      </w:r>
      <w:r w:rsidRPr="00535F3A">
        <w:t>ставление доказательств, участие в изучении доказательств, заявление ход</w:t>
      </w:r>
      <w:r w:rsidRPr="00535F3A">
        <w:t>а</w:t>
      </w:r>
      <w:r w:rsidRPr="00535F3A">
        <w:t xml:space="preserve">тайств и оспаривание доказательств, в том числе результатов экспертизы. </w:t>
      </w:r>
    </w:p>
    <w:p w:rsidR="00535F3A" w:rsidRPr="00535F3A" w:rsidRDefault="00535F3A" w:rsidP="007C3DD6">
      <w:pPr>
        <w:pStyle w:val="H23GR"/>
      </w:pPr>
      <w:r w:rsidRPr="00535F3A">
        <w:tab/>
      </w:r>
      <w:r w:rsidRPr="00535F3A">
        <w:tab/>
        <w:t>Комментарии автора по замечаниям государства-участника</w:t>
      </w:r>
    </w:p>
    <w:p w:rsidR="00535F3A" w:rsidRPr="00535F3A" w:rsidRDefault="00535F3A" w:rsidP="00535F3A">
      <w:pPr>
        <w:pStyle w:val="SingleTxtGR"/>
      </w:pPr>
      <w:r w:rsidRPr="00535F3A">
        <w:t>5.1</w:t>
      </w:r>
      <w:r w:rsidRPr="00535F3A">
        <w:tab/>
        <w:t xml:space="preserve">26 февраля 2016 года автор представил дополнительную информацию. </w:t>
      </w:r>
      <w:proofErr w:type="gramStart"/>
      <w:r w:rsidRPr="00535F3A">
        <w:t>Он считает, что власти государства-участника не рассмотрели его утверждений и не представили Комитету важные документы, такие как результаты экспертизы от 16 июня 2005 года и 6 декабря 2007 года, решение, принятое Министром ю</w:t>
      </w:r>
      <w:r w:rsidRPr="00535F3A">
        <w:t>с</w:t>
      </w:r>
      <w:r w:rsidRPr="00535F3A">
        <w:t>тиции 4 сентября 2007 года, вердикт и приговор первого районного суда Вил</w:t>
      </w:r>
      <w:r w:rsidRPr="00535F3A">
        <w:t>ь</w:t>
      </w:r>
      <w:r w:rsidRPr="00535F3A">
        <w:lastRenderedPageBreak/>
        <w:t xml:space="preserve">нюса от 22 мая 2008 года и стенограмма судебных заседаний, касающихся травм, причиненных г-же Макаровой. </w:t>
      </w:r>
      <w:proofErr w:type="gramEnd"/>
    </w:p>
    <w:p w:rsidR="00535F3A" w:rsidRPr="00535F3A" w:rsidRDefault="00535F3A" w:rsidP="00535F3A">
      <w:pPr>
        <w:pStyle w:val="SingleTxtGR"/>
      </w:pPr>
      <w:r w:rsidRPr="00535F3A">
        <w:t>5.2</w:t>
      </w:r>
      <w:r w:rsidRPr="00535F3A">
        <w:tab/>
        <w:t>25 января 2016 года автор просил председателя Вильнюсского районного суда предоставить копии вышеуказанных документов в связи со своей жалобой в Комитет. Суд отказал и предложил автору получить копии, заплатив за них. Автор утверждает, что он не может позволить себе оплатить</w:t>
      </w:r>
      <w:r w:rsidR="00A91FF3">
        <w:t xml:space="preserve"> </w:t>
      </w:r>
      <w:r w:rsidRPr="00535F3A">
        <w:t xml:space="preserve">копии. </w:t>
      </w:r>
    </w:p>
    <w:p w:rsidR="00535F3A" w:rsidRPr="00535F3A" w:rsidRDefault="00535F3A" w:rsidP="00535F3A">
      <w:pPr>
        <w:pStyle w:val="SingleTxtGR"/>
      </w:pPr>
      <w:r w:rsidRPr="00535F3A">
        <w:t>5.3</w:t>
      </w:r>
      <w:r w:rsidRPr="00535F3A">
        <w:tab/>
        <w:t>Автор утверждает, что в своих замечаниях государство-участник пре</w:t>
      </w:r>
      <w:r w:rsidRPr="00535F3A">
        <w:t>д</w:t>
      </w:r>
      <w:r w:rsidRPr="00535F3A">
        <w:t>ставляет некоторые положения законодательства, но не комментирует само д</w:t>
      </w:r>
      <w:r w:rsidRPr="00535F3A">
        <w:t>е</w:t>
      </w:r>
      <w:r w:rsidRPr="00535F3A">
        <w:t>ло. У автора сложилось впечатление, что власти государства-участника так и не ознакомились с уголовным делом, по поводу которого направлена его жалоба. Он утверждает, что протоколы судебных заседаний прямо показывают, что пр</w:t>
      </w:r>
      <w:r w:rsidRPr="00535F3A">
        <w:t>а</w:t>
      </w:r>
      <w:r w:rsidRPr="00535F3A">
        <w:t xml:space="preserve">ва г-жи Макаровой как лица с инвалидностью были нарушены. </w:t>
      </w:r>
    </w:p>
    <w:p w:rsidR="00535F3A" w:rsidRPr="00535F3A" w:rsidRDefault="00535F3A" w:rsidP="00535F3A">
      <w:pPr>
        <w:pStyle w:val="SingleTxtGR"/>
      </w:pPr>
      <w:r w:rsidRPr="00535F3A">
        <w:t>5.4</w:t>
      </w:r>
      <w:proofErr w:type="gramStart"/>
      <w:r w:rsidRPr="00535F3A">
        <w:tab/>
        <w:t>В</w:t>
      </w:r>
      <w:proofErr w:type="gramEnd"/>
      <w:r w:rsidRPr="00535F3A">
        <w:t xml:space="preserve"> соответствии с решением от 12 ноября 2007 года автору была пред</w:t>
      </w:r>
      <w:r w:rsidRPr="00535F3A">
        <w:t>о</w:t>
      </w:r>
      <w:r w:rsidRPr="00535F3A">
        <w:t xml:space="preserve">ставлена гарантированная государством юридическая помощь. Однако адвокат не явился на судебные слушания, а судья П. так и не предпринял никаких шагов для защиты прав г-жи Макаровой. В то же время правонарушитель, которого автор описывает в качестве «всесильного» В.М., получал к себе со стороны судьи самое благожелательное отношение: ему было дано разрешение не </w:t>
      </w:r>
      <w:proofErr w:type="gramStart"/>
      <w:r w:rsidRPr="00535F3A">
        <w:t>пр</w:t>
      </w:r>
      <w:r w:rsidRPr="00535F3A">
        <w:t>и</w:t>
      </w:r>
      <w:r w:rsidRPr="00535F3A">
        <w:t>сутствовать</w:t>
      </w:r>
      <w:proofErr w:type="gramEnd"/>
      <w:r w:rsidRPr="00535F3A">
        <w:t xml:space="preserve"> на судебных слушаниях, и вместо этого он ушел в отпуск. </w:t>
      </w:r>
    </w:p>
    <w:p w:rsidR="00535F3A" w:rsidRPr="00535F3A" w:rsidRDefault="00535F3A" w:rsidP="00535F3A">
      <w:pPr>
        <w:pStyle w:val="SingleTxtGR"/>
      </w:pPr>
      <w:proofErr w:type="gramStart"/>
      <w:r w:rsidRPr="00535F3A">
        <w:t>5.5</w:t>
      </w:r>
      <w:r w:rsidRPr="00535F3A">
        <w:tab/>
        <w:t>Автор повторяет содержание своей жалобы о том, что г-же Макаровой не было предоставлено копии судебного приговора; ей как потерпевшей было о</w:t>
      </w:r>
      <w:r w:rsidRPr="00535F3A">
        <w:t>т</w:t>
      </w:r>
      <w:r w:rsidRPr="00535F3A">
        <w:t>казано в праве обжалования; ей было отказано в юридической помощи; прок</w:t>
      </w:r>
      <w:r w:rsidRPr="00535F3A">
        <w:t>у</w:t>
      </w:r>
      <w:r w:rsidRPr="00535F3A">
        <w:t>рор не подал гражданский иск от ее имени; во время судебных слушаний была оглашена конфиденциальная медицинская информация; суд не включил ко</w:t>
      </w:r>
      <w:r w:rsidRPr="00535F3A">
        <w:t>м</w:t>
      </w:r>
      <w:r w:rsidRPr="00535F3A">
        <w:t>пенсацию для потерпевшей в приговор;</w:t>
      </w:r>
      <w:proofErr w:type="gramEnd"/>
      <w:r w:rsidRPr="00535F3A">
        <w:t xml:space="preserve"> в целом г-жа Макарова пережила «о</w:t>
      </w:r>
      <w:r w:rsidRPr="00535F3A">
        <w:t>т</w:t>
      </w:r>
      <w:r w:rsidRPr="00535F3A">
        <w:t xml:space="preserve">каз в правосудии» со стороны властей государства-участника. </w:t>
      </w:r>
    </w:p>
    <w:p w:rsidR="00535F3A" w:rsidRPr="00535F3A" w:rsidRDefault="00C349EE" w:rsidP="00C349EE">
      <w:pPr>
        <w:pStyle w:val="H1GR"/>
      </w:pPr>
      <w:r>
        <w:tab/>
      </w:r>
      <w:r w:rsidR="00535F3A" w:rsidRPr="00535F3A">
        <w:t>B.</w:t>
      </w:r>
      <w:r w:rsidR="00535F3A" w:rsidRPr="00535F3A">
        <w:tab/>
        <w:t>Рассмотрение Комитетом вопроса о приемлемости и существа сообщения</w:t>
      </w:r>
    </w:p>
    <w:p w:rsidR="00535F3A" w:rsidRPr="00535F3A" w:rsidRDefault="00535F3A" w:rsidP="00C349EE">
      <w:pPr>
        <w:pStyle w:val="H4GR"/>
      </w:pPr>
      <w:r w:rsidRPr="00535F3A">
        <w:tab/>
      </w:r>
      <w:r w:rsidRPr="00535F3A">
        <w:tab/>
        <w:t>Рассмотрение вопроса о приемлемости</w:t>
      </w:r>
    </w:p>
    <w:p w:rsidR="00535F3A" w:rsidRPr="00535F3A" w:rsidRDefault="00535F3A" w:rsidP="00535F3A">
      <w:pPr>
        <w:pStyle w:val="SingleTxtGR"/>
      </w:pPr>
      <w:r w:rsidRPr="00535F3A">
        <w:t>6.1</w:t>
      </w:r>
      <w:proofErr w:type="gramStart"/>
      <w:r w:rsidRPr="00535F3A">
        <w:tab/>
        <w:t>П</w:t>
      </w:r>
      <w:proofErr w:type="gramEnd"/>
      <w:r w:rsidRPr="00535F3A">
        <w:t>режде чем рассматривать любые жалобы, содержащиеся в сообщении, Комитет в соответствии со статьей 2 Факультативного протокола и правилом 65 правил процедуры Комитета должен принять решение о том,</w:t>
      </w:r>
      <w:r w:rsidR="00C349EE" w:rsidRPr="00C349EE">
        <w:t xml:space="preserve"> </w:t>
      </w:r>
      <w:r w:rsidRPr="00535F3A">
        <w:t>является ли да</w:t>
      </w:r>
      <w:r w:rsidRPr="00535F3A">
        <w:t>н</w:t>
      </w:r>
      <w:r w:rsidRPr="00535F3A">
        <w:t>ное дело приемлемым согласно Факультативному протоколу.</w:t>
      </w:r>
    </w:p>
    <w:p w:rsidR="00535F3A" w:rsidRPr="00535F3A" w:rsidRDefault="00535F3A" w:rsidP="00535F3A">
      <w:pPr>
        <w:pStyle w:val="SingleTxtGR"/>
      </w:pPr>
      <w:r w:rsidRPr="00535F3A">
        <w:t>6.2</w:t>
      </w:r>
      <w:proofErr w:type="gramStart"/>
      <w:r w:rsidRPr="00535F3A">
        <w:tab/>
        <w:t>В</w:t>
      </w:r>
      <w:proofErr w:type="gramEnd"/>
      <w:r w:rsidRPr="00535F3A">
        <w:t xml:space="preserve"> соответствии с пунктом с) статьи 2 Факультативного протокола Ком</w:t>
      </w:r>
      <w:r w:rsidRPr="00535F3A">
        <w:t>и</w:t>
      </w:r>
      <w:r w:rsidRPr="00535F3A">
        <w:t>тет удостоверился, что этот же вопрос еще не был изучен Комитетом и не ра</w:t>
      </w:r>
      <w:r w:rsidRPr="00535F3A">
        <w:t>с</w:t>
      </w:r>
      <w:r w:rsidRPr="00535F3A">
        <w:t>сматривался или не рассматривается в соответствии с другой процедурой ме</w:t>
      </w:r>
      <w:r w:rsidRPr="00535F3A">
        <w:t>ж</w:t>
      </w:r>
      <w:r w:rsidRPr="00535F3A">
        <w:t>дународного разбирательства или урегулирования.</w:t>
      </w:r>
    </w:p>
    <w:p w:rsidR="00535F3A" w:rsidRPr="00535F3A" w:rsidRDefault="00535F3A" w:rsidP="00535F3A">
      <w:pPr>
        <w:pStyle w:val="SingleTxtGR"/>
      </w:pPr>
      <w:r w:rsidRPr="00535F3A">
        <w:t>6.3</w:t>
      </w:r>
      <w:r w:rsidRPr="00535F3A">
        <w:tab/>
        <w:t xml:space="preserve"> Государство-участник не оспаривало приемлемость сообщения в связи с отсутствием исчерпания внутренних сре</w:t>
      </w:r>
      <w:proofErr w:type="gramStart"/>
      <w:r w:rsidRPr="00535F3A">
        <w:t>дств пр</w:t>
      </w:r>
      <w:proofErr w:type="gramEnd"/>
      <w:r w:rsidRPr="00535F3A">
        <w:t>авовой защиты, и предоста</w:t>
      </w:r>
      <w:r w:rsidRPr="00535F3A">
        <w:t>в</w:t>
      </w:r>
      <w:r w:rsidRPr="00535F3A">
        <w:t>ленная автором информация свидетельствует о том, что вместе со своей женой он исчерпал все доступные внутренние средства правовой защиты. Поэтому Комитет приходит к выводу, что жалобы автора являются приемлемыми в соо</w:t>
      </w:r>
      <w:r w:rsidRPr="00535F3A">
        <w:t>т</w:t>
      </w:r>
      <w:r w:rsidRPr="00535F3A">
        <w:t>ветствии с</w:t>
      </w:r>
      <w:r w:rsidR="00A91FF3">
        <w:t xml:space="preserve"> </w:t>
      </w:r>
      <w:r w:rsidRPr="00535F3A">
        <w:t>пунктом d) статьи 2 Факультативного протокола.</w:t>
      </w:r>
    </w:p>
    <w:p w:rsidR="00535F3A" w:rsidRPr="00535F3A" w:rsidRDefault="00535F3A" w:rsidP="00535F3A">
      <w:pPr>
        <w:pStyle w:val="SingleTxtGR"/>
      </w:pPr>
      <w:r w:rsidRPr="00535F3A">
        <w:t>6.4</w:t>
      </w:r>
      <w:r w:rsidRPr="00535F3A">
        <w:tab/>
        <w:t>Что касается заявлений автора в соответствии со статьей 22 Конвенции, то Комитет отмечает, что автор не представил конкретной информации. Таким образом, Комитет считает, что автор недостаточно обосновал свои утверждения согласно статье 22 для цели приемлемости, и приходит к выводу, что они н</w:t>
      </w:r>
      <w:r w:rsidRPr="00535F3A">
        <w:t>е</w:t>
      </w:r>
      <w:r w:rsidRPr="00535F3A">
        <w:t xml:space="preserve">приемлемы в соответствии с пунктом е) статьи 2 Факультативного протокола. </w:t>
      </w:r>
    </w:p>
    <w:p w:rsidR="00535F3A" w:rsidRPr="00535F3A" w:rsidRDefault="00535F3A" w:rsidP="00411034">
      <w:pPr>
        <w:pStyle w:val="SingleTxtGR"/>
      </w:pPr>
      <w:r w:rsidRPr="00535F3A">
        <w:t>6.5</w:t>
      </w:r>
      <w:r w:rsidRPr="00535F3A">
        <w:tab/>
        <w:t>Соответственно,</w:t>
      </w:r>
      <w:r w:rsidR="00C349EE" w:rsidRPr="00C349EE">
        <w:t xml:space="preserve"> </w:t>
      </w:r>
      <w:r w:rsidRPr="00535F3A">
        <w:t>при отсутствии других препятствий для признания пр</w:t>
      </w:r>
      <w:r w:rsidRPr="00535F3A">
        <w:t>и</w:t>
      </w:r>
      <w:r w:rsidRPr="00535F3A">
        <w:t>емлемости Комитет объявляет сообщение приемлемым в том,</w:t>
      </w:r>
      <w:r w:rsidR="00C349EE" w:rsidRPr="00C349EE">
        <w:t xml:space="preserve"> </w:t>
      </w:r>
      <w:r w:rsidRPr="00535F3A">
        <w:t>насколько оно к</w:t>
      </w:r>
      <w:r w:rsidRPr="00535F3A">
        <w:t>а</w:t>
      </w:r>
      <w:r w:rsidRPr="00535F3A">
        <w:t>сается жалоб автора согласно пункту 3 статьи 12 и</w:t>
      </w:r>
      <w:r w:rsidR="00A91FF3">
        <w:t xml:space="preserve"> </w:t>
      </w:r>
      <w:r w:rsidRPr="00535F3A">
        <w:t>пункту 1 статьи 13 Конве</w:t>
      </w:r>
      <w:r w:rsidRPr="00535F3A">
        <w:t>н</w:t>
      </w:r>
      <w:r w:rsidRPr="00535F3A">
        <w:lastRenderedPageBreak/>
        <w:t xml:space="preserve">ции. Исходя из этого, Комитет переходит к рассмотрению этих </w:t>
      </w:r>
      <w:r w:rsidR="00411034" w:rsidRPr="00535F3A">
        <w:t>утверждений</w:t>
      </w:r>
      <w:r w:rsidRPr="00535F3A">
        <w:t xml:space="preserve"> по существу.</w:t>
      </w:r>
    </w:p>
    <w:p w:rsidR="00535F3A" w:rsidRPr="00535F3A" w:rsidRDefault="00535F3A" w:rsidP="00C349EE">
      <w:pPr>
        <w:pStyle w:val="H4GR"/>
      </w:pPr>
      <w:r w:rsidRPr="00535F3A">
        <w:tab/>
      </w:r>
      <w:r w:rsidRPr="00535F3A">
        <w:tab/>
        <w:t>Рассмотрение по существу</w:t>
      </w:r>
    </w:p>
    <w:p w:rsidR="00535F3A" w:rsidRPr="00535F3A" w:rsidRDefault="00535F3A" w:rsidP="00411034">
      <w:pPr>
        <w:pStyle w:val="SingleTxtGR"/>
      </w:pPr>
      <w:r w:rsidRPr="00535F3A">
        <w:t>7.1</w:t>
      </w:r>
      <w:r w:rsidRPr="00535F3A">
        <w:tab/>
        <w:t>Комитет рассмотрел настоящее сообщение в свете всей полученной им информации в соответствии со статьей 5 Факультативного протокола и пун</w:t>
      </w:r>
      <w:r w:rsidRPr="00535F3A">
        <w:t>к</w:t>
      </w:r>
      <w:r w:rsidRPr="00535F3A">
        <w:t>том</w:t>
      </w:r>
      <w:r w:rsidR="00411034">
        <w:t> </w:t>
      </w:r>
      <w:r w:rsidRPr="00535F3A">
        <w:t>1 правила 73 правил процедуры Комитета.</w:t>
      </w:r>
    </w:p>
    <w:p w:rsidR="00535F3A" w:rsidRPr="00535F3A" w:rsidRDefault="00535F3A" w:rsidP="00535F3A">
      <w:pPr>
        <w:pStyle w:val="SingleTxtGR"/>
      </w:pPr>
      <w:r w:rsidRPr="00535F3A">
        <w:t>7.2</w:t>
      </w:r>
      <w:r w:rsidRPr="00535F3A">
        <w:tab/>
        <w:t>Что касается жалоб автора в соответствии с пунктом 3 статьи 12 и пун</w:t>
      </w:r>
      <w:r w:rsidRPr="00535F3A">
        <w:t>к</w:t>
      </w:r>
      <w:r w:rsidRPr="00535F3A">
        <w:t>том 1 статьи 13, то вопрос, рассматриваемый Комитетом, заключается в оценке того, нарушили ли решения государства-участника в отношении жены автора ее права на равное признание перед законом и равный доступ к правосудию. К</w:t>
      </w:r>
      <w:r w:rsidRPr="00535F3A">
        <w:t>о</w:t>
      </w:r>
      <w:r w:rsidRPr="00535F3A">
        <w:t>митет отмечает, что г-жа Макарова была прямой жертвой автомобильной ав</w:t>
      </w:r>
      <w:r w:rsidRPr="00535F3A">
        <w:t>а</w:t>
      </w:r>
      <w:r w:rsidRPr="00535F3A">
        <w:t xml:space="preserve">рии, </w:t>
      </w:r>
      <w:proofErr w:type="spellStart"/>
      <w:r w:rsidRPr="00535F3A">
        <w:t>рассматривавшейся</w:t>
      </w:r>
      <w:proofErr w:type="spellEnd"/>
      <w:r w:rsidRPr="00535F3A">
        <w:t xml:space="preserve"> в ходе судебных слушаний. Комитет далее отмечает как бесспорный факт то, что жена автора не могла участвовать в судебных сл</w:t>
      </w:r>
      <w:r w:rsidRPr="00535F3A">
        <w:t>у</w:t>
      </w:r>
      <w:r w:rsidRPr="00535F3A">
        <w:t xml:space="preserve">шаниях из-за ее инвалидности и что она не была представлена, несмотря на ее просьбу о юридическом представительстве. Если бы она </w:t>
      </w:r>
      <w:r w:rsidR="00C349EE" w:rsidRPr="00535F3A">
        <w:t>присутствовала</w:t>
      </w:r>
      <w:r w:rsidRPr="00535F3A">
        <w:t xml:space="preserve"> или была надлежащим образом представлена, г-жа Макарова могла бы допрашивать свидетелей, она могла бы оспаривать выводы протоколов об экспертизе в отн</w:t>
      </w:r>
      <w:r w:rsidRPr="00535F3A">
        <w:t>о</w:t>
      </w:r>
      <w:r w:rsidRPr="00535F3A">
        <w:t xml:space="preserve">шении ее состояния </w:t>
      </w:r>
      <w:proofErr w:type="gramStart"/>
      <w:r w:rsidRPr="00535F3A">
        <w:t>здоровья</w:t>
      </w:r>
      <w:proofErr w:type="gramEnd"/>
      <w:r w:rsidRPr="00535F3A">
        <w:t xml:space="preserve"> и она могла бы давать показания, чтобы пред</w:t>
      </w:r>
      <w:r w:rsidRPr="00535F3A">
        <w:t>о</w:t>
      </w:r>
      <w:r w:rsidRPr="00535F3A">
        <w:t xml:space="preserve">ставить информацию о происшествии из первых рук. </w:t>
      </w:r>
    </w:p>
    <w:p w:rsidR="00535F3A" w:rsidRPr="00535F3A" w:rsidRDefault="00535F3A" w:rsidP="00535F3A">
      <w:pPr>
        <w:pStyle w:val="SingleTxtGR"/>
      </w:pPr>
      <w:r w:rsidRPr="00535F3A">
        <w:t>7.3</w:t>
      </w:r>
      <w:r w:rsidRPr="00535F3A">
        <w:tab/>
        <w:t>Комитет отмечает, что автор, действуя от имени своей жены, ходата</w:t>
      </w:r>
      <w:r w:rsidRPr="00535F3A">
        <w:t>й</w:t>
      </w:r>
      <w:r w:rsidRPr="00535F3A">
        <w:t>ствовал в судах о предоставлении возможности обжалования после вступления в силу решения суда от 22 мая 2008 года. Комитет также отмечает, что 12 ноя</w:t>
      </w:r>
      <w:r w:rsidRPr="00535F3A">
        <w:t>б</w:t>
      </w:r>
      <w:r w:rsidRPr="00535F3A">
        <w:t>ря 2008 года районный суд отклонил эту просьбу и что впоследствии 4 декабря 2008 года это решение было подтверждено Вильнюсским областным судом. Кроме того, суд объявил, что его решение окончательное и не подлежит обж</w:t>
      </w:r>
      <w:r w:rsidRPr="00535F3A">
        <w:t>а</w:t>
      </w:r>
      <w:r w:rsidRPr="00535F3A">
        <w:t>лованию, что было подтверждено Верховным судом Литвы 1 марта 2012 года. Несмотря на представленные убедительные доказательства того, что автор и его жена никогда не получали копии судебного приговора, суды не нашли «удовл</w:t>
      </w:r>
      <w:r w:rsidRPr="00535F3A">
        <w:t>е</w:t>
      </w:r>
      <w:r w:rsidRPr="00535F3A">
        <w:t xml:space="preserve">творительных причин» для восстановления 20-дневного срока обжалования. </w:t>
      </w:r>
    </w:p>
    <w:p w:rsidR="00535F3A" w:rsidRPr="00535F3A" w:rsidRDefault="00535F3A" w:rsidP="00963F2B">
      <w:pPr>
        <w:pStyle w:val="SingleTxtGR"/>
      </w:pPr>
      <w:r w:rsidRPr="00535F3A">
        <w:t>7.4</w:t>
      </w:r>
      <w:proofErr w:type="gramStart"/>
      <w:r w:rsidRPr="00535F3A">
        <w:tab/>
        <w:t>К</w:t>
      </w:r>
      <w:proofErr w:type="gramEnd"/>
      <w:r w:rsidRPr="00535F3A">
        <w:t>роме того, из материалов, представленных автором, Комитету также очевидно, что г-жа Макарова просила обеспечить</w:t>
      </w:r>
      <w:r w:rsidR="00A91FF3">
        <w:t xml:space="preserve"> </w:t>
      </w:r>
      <w:r w:rsidRPr="00535F3A">
        <w:t>представительство на этих судебных слушаниях, которые непосредственно затрагивали ее права, поскол</w:t>
      </w:r>
      <w:r w:rsidRPr="00535F3A">
        <w:t>ь</w:t>
      </w:r>
      <w:r w:rsidRPr="00535F3A">
        <w:t>ку в результате своей инвалидности она не могла участвовать в них сама. Ком</w:t>
      </w:r>
      <w:r w:rsidRPr="00535F3A">
        <w:t>и</w:t>
      </w:r>
      <w:r w:rsidRPr="00535F3A">
        <w:t>тет отмечает, что в соответствии с документацией, представленной Комитету, ее просьба была официально представлена в первый районный суд письмами от 25</w:t>
      </w:r>
      <w:r w:rsidR="00963F2B">
        <w:rPr>
          <w:lang w:val="en-US"/>
        </w:rPr>
        <w:t> </w:t>
      </w:r>
      <w:r w:rsidRPr="00535F3A">
        <w:t xml:space="preserve">января 2006 года и 15 апреля 2006 года, </w:t>
      </w:r>
      <w:proofErr w:type="gramStart"/>
      <w:r w:rsidRPr="00535F3A">
        <w:t>в</w:t>
      </w:r>
      <w:proofErr w:type="gramEnd"/>
      <w:r w:rsidRPr="00535F3A">
        <w:t xml:space="preserve"> </w:t>
      </w:r>
      <w:proofErr w:type="gramStart"/>
      <w:r w:rsidRPr="00535F3A">
        <w:t>которых</w:t>
      </w:r>
      <w:proofErr w:type="gramEnd"/>
      <w:r w:rsidRPr="00535F3A">
        <w:t xml:space="preserve"> автор обратился с ход</w:t>
      </w:r>
      <w:r w:rsidRPr="00535F3A">
        <w:t>а</w:t>
      </w:r>
      <w:r w:rsidRPr="00535F3A">
        <w:t xml:space="preserve">тайством о защите законных интересов его жены в качестве потерпевшей. </w:t>
      </w:r>
    </w:p>
    <w:p w:rsidR="00535F3A" w:rsidRPr="00535F3A" w:rsidRDefault="00535F3A" w:rsidP="00535F3A">
      <w:pPr>
        <w:pStyle w:val="SingleTxtGR"/>
      </w:pPr>
      <w:r w:rsidRPr="00535F3A">
        <w:t>7.5</w:t>
      </w:r>
      <w:r w:rsidRPr="00535F3A">
        <w:tab/>
        <w:t>Комитет отмечает, что замечания государства-участника не касаются утверждений автора. В своем представлении, содержащемся в настоящем с</w:t>
      </w:r>
      <w:r w:rsidRPr="00535F3A">
        <w:t>о</w:t>
      </w:r>
      <w:r w:rsidRPr="00535F3A">
        <w:t>общении, государство-участник излагает некоторые законодательные основы оказания бесплатной юридической помощи, заявляя, что потерпевшее лицо имеет право на такую «гарантируемую государством» юридическую помощь. Из представлений автора также ясно следует, что г-же Макаровой действител</w:t>
      </w:r>
      <w:r w:rsidRPr="00535F3A">
        <w:t>ь</w:t>
      </w:r>
      <w:r w:rsidRPr="00535F3A">
        <w:t xml:space="preserve">но был назначен адвокат, но тот не явился на слушания. </w:t>
      </w:r>
    </w:p>
    <w:p w:rsidR="00535F3A" w:rsidRPr="00535F3A" w:rsidRDefault="00535F3A" w:rsidP="00F2742B">
      <w:pPr>
        <w:pStyle w:val="SingleTxtGR"/>
      </w:pPr>
      <w:r w:rsidRPr="00535F3A">
        <w:t>7.6</w:t>
      </w:r>
      <w:r w:rsidRPr="00535F3A">
        <w:tab/>
        <w:t>Комитет напоминает, что в соответствии с пунктом 3 статьи 12 Конве</w:t>
      </w:r>
      <w:r w:rsidRPr="00535F3A">
        <w:t>н</w:t>
      </w:r>
      <w:r w:rsidRPr="00535F3A">
        <w:t>ции государства-участники несут обязательство, предполагающее, что они «принимают надлежащие меры для предоставления инвалидам доступа к по</w:t>
      </w:r>
      <w:r w:rsidRPr="00535F3A">
        <w:t>д</w:t>
      </w:r>
      <w:r w:rsidRPr="00535F3A">
        <w:t>держке, которая им может потребоваться при реализации своей правоспособн</w:t>
      </w:r>
      <w:r w:rsidRPr="00535F3A">
        <w:t>о</w:t>
      </w:r>
      <w:r w:rsidRPr="00535F3A">
        <w:t xml:space="preserve">сти». </w:t>
      </w:r>
      <w:proofErr w:type="gramStart"/>
      <w:r w:rsidRPr="00535F3A">
        <w:t>Он также напоминает, что в соответствии с</w:t>
      </w:r>
      <w:r w:rsidR="00A91FF3">
        <w:t xml:space="preserve"> </w:t>
      </w:r>
      <w:r w:rsidRPr="00535F3A">
        <w:t>пунктом 1 статьи 13 «госуда</w:t>
      </w:r>
      <w:r w:rsidRPr="00535F3A">
        <w:t>р</w:t>
      </w:r>
      <w:r w:rsidRPr="00535F3A">
        <w:t>ства-участники обеспечивают инвалидам наравне с другими эффективный д</w:t>
      </w:r>
      <w:r w:rsidRPr="00535F3A">
        <w:t>о</w:t>
      </w:r>
      <w:r w:rsidRPr="00535F3A">
        <w:t>ступ к правосудию, в том числе предусматривая процессуальные и соотве</w:t>
      </w:r>
      <w:r w:rsidRPr="00535F3A">
        <w:t>т</w:t>
      </w:r>
      <w:r w:rsidRPr="00535F3A">
        <w:t>ствующие возрасту коррективы, облегчающие выполнение теми своей эффе</w:t>
      </w:r>
      <w:r w:rsidRPr="00535F3A">
        <w:t>к</w:t>
      </w:r>
      <w:r w:rsidRPr="00535F3A">
        <w:t>тивной роли прямых и косвенных участников, в том числе свидетелей, во всех стадиях юридического процесса, включая стадию расследования и другие ст</w:t>
      </w:r>
      <w:r w:rsidRPr="00535F3A">
        <w:t>а</w:t>
      </w:r>
      <w:r w:rsidRPr="00535F3A">
        <w:t>дии предварительного производства».</w:t>
      </w:r>
      <w:proofErr w:type="gramEnd"/>
      <w:r w:rsidRPr="00535F3A">
        <w:t xml:space="preserve"> Комитет считает, что, хотя государства-</w:t>
      </w:r>
      <w:r w:rsidRPr="00535F3A">
        <w:lastRenderedPageBreak/>
        <w:t>участники имеют определенную свободу усмотрения для определения проц</w:t>
      </w:r>
      <w:r w:rsidRPr="00535F3A">
        <w:t>е</w:t>
      </w:r>
      <w:r w:rsidRPr="00535F3A">
        <w:t>дурных механизмов, позволяющих инвалидам осуществлять свою правосп</w:t>
      </w:r>
      <w:r w:rsidRPr="00535F3A">
        <w:t>о</w:t>
      </w:r>
      <w:r w:rsidRPr="00535F3A">
        <w:t>собность, необходимо уважать соответствующие права данного лица</w:t>
      </w:r>
      <w:r w:rsidR="007C3DD6" w:rsidRPr="00F2742B">
        <w:rPr>
          <w:sz w:val="18"/>
          <w:szCs w:val="18"/>
          <w:vertAlign w:val="superscript"/>
        </w:rPr>
        <w:footnoteReference w:id="6"/>
      </w:r>
      <w:r w:rsidR="007C3DD6" w:rsidRPr="00535F3A">
        <w:t>.</w:t>
      </w:r>
      <w:r w:rsidRPr="00535F3A">
        <w:t xml:space="preserve"> Этого не произошло в деле г-жи Макаровой</w:t>
      </w:r>
      <w:r w:rsidR="00F2742B">
        <w:t>,</w:t>
      </w:r>
      <w:r w:rsidRPr="00535F3A">
        <w:t xml:space="preserve"> притом </w:t>
      </w:r>
      <w:proofErr w:type="gramStart"/>
      <w:r w:rsidRPr="00535F3A">
        <w:t>что</w:t>
      </w:r>
      <w:proofErr w:type="gramEnd"/>
      <w:r w:rsidRPr="00535F3A">
        <w:t xml:space="preserve"> будучи непосредственной п</w:t>
      </w:r>
      <w:r w:rsidRPr="00535F3A">
        <w:t>о</w:t>
      </w:r>
      <w:r w:rsidRPr="00535F3A">
        <w:t>терпевшей от происшествия она явно была «прямым участником» соответств</w:t>
      </w:r>
      <w:r w:rsidRPr="00535F3A">
        <w:t>у</w:t>
      </w:r>
      <w:r w:rsidRPr="00535F3A">
        <w:t>ющих судебных процессов</w:t>
      </w:r>
      <w:r w:rsidR="007C3DD6" w:rsidRPr="00F2742B">
        <w:rPr>
          <w:sz w:val="18"/>
          <w:szCs w:val="18"/>
          <w:vertAlign w:val="superscript"/>
        </w:rPr>
        <w:footnoteReference w:id="7"/>
      </w:r>
      <w:r w:rsidR="007C3DD6" w:rsidRPr="00535F3A">
        <w:t>.</w:t>
      </w:r>
      <w:r w:rsidRPr="00535F3A">
        <w:t xml:space="preserve"> Комитету также ясно, что г-жа Макарова хотела, чтобы ее позиция была услышана во время судебных слушаний, но ей не было предоставлено никакой формы приспособления, чтобы она имела такую во</w:t>
      </w:r>
      <w:r w:rsidRPr="00535F3A">
        <w:t>з</w:t>
      </w:r>
      <w:r w:rsidRPr="00535F3A">
        <w:t>можность: она не могла присутствовать на слушаниях из-за своей инвалидн</w:t>
      </w:r>
      <w:r w:rsidRPr="00535F3A">
        <w:t>о</w:t>
      </w:r>
      <w:r w:rsidRPr="00535F3A">
        <w:t>сти; она информировала государство-участник об этом и просила государство-участник обеспечить ее юридическое представительство в первой и в апелл</w:t>
      </w:r>
      <w:r w:rsidRPr="00535F3A">
        <w:t>я</w:t>
      </w:r>
      <w:r w:rsidRPr="00535F3A">
        <w:t>ционной инстанции, но ей не было оказано никакой помощи. Считая, что гос</w:t>
      </w:r>
      <w:r w:rsidRPr="00535F3A">
        <w:t>у</w:t>
      </w:r>
      <w:r w:rsidRPr="00535F3A">
        <w:t>дарство-участник не обеспечило какой-либо формы «разумного приспособл</w:t>
      </w:r>
      <w:r w:rsidRPr="00535F3A">
        <w:t>е</w:t>
      </w:r>
      <w:r w:rsidRPr="00535F3A">
        <w:t>ния» для г-жи Макаровой, чтобы та могла принять участие в судебных слуш</w:t>
      </w:r>
      <w:r w:rsidRPr="00535F3A">
        <w:t>а</w:t>
      </w:r>
      <w:r w:rsidRPr="00535F3A">
        <w:t>ниях и последующей процедуре обжалования в связи с ее делом, Комитет сч</w:t>
      </w:r>
      <w:r w:rsidRPr="00535F3A">
        <w:t>и</w:t>
      </w:r>
      <w:r w:rsidRPr="00535F3A">
        <w:t>тает, что государство-участник нарушило ее права согласно пункту 3 статьи</w:t>
      </w:r>
      <w:r w:rsidR="00963F2B">
        <w:rPr>
          <w:lang w:val="en-US"/>
        </w:rPr>
        <w:t> </w:t>
      </w:r>
      <w:r w:rsidRPr="00535F3A">
        <w:t>12 и пункту 1 статьи 13 Конвенции</w:t>
      </w:r>
      <w:r w:rsidR="007C3DD6" w:rsidRPr="00F2742B">
        <w:rPr>
          <w:sz w:val="18"/>
          <w:szCs w:val="18"/>
          <w:vertAlign w:val="superscript"/>
        </w:rPr>
        <w:footnoteReference w:id="8"/>
      </w:r>
      <w:r w:rsidR="007C3DD6" w:rsidRPr="00535F3A">
        <w:t>.</w:t>
      </w:r>
      <w:r w:rsidRPr="00535F3A">
        <w:t xml:space="preserve"> </w:t>
      </w:r>
    </w:p>
    <w:p w:rsidR="00535F3A" w:rsidRPr="00535F3A" w:rsidRDefault="00535F3A" w:rsidP="00535F3A">
      <w:pPr>
        <w:pStyle w:val="SingleTxtGR"/>
      </w:pPr>
      <w:r w:rsidRPr="00535F3A">
        <w:t>7.7</w:t>
      </w:r>
      <w:proofErr w:type="gramStart"/>
      <w:r w:rsidRPr="00535F3A">
        <w:tab/>
        <w:t>В</w:t>
      </w:r>
      <w:proofErr w:type="gramEnd"/>
      <w:r w:rsidRPr="00535F3A">
        <w:t xml:space="preserve"> свете вышесказанного Комитет приходит к выводу, что государство-участник не выполнило своих обязательств по пункту 3 статьи 12 и пункту 1 статьи 13 Конвенции.</w:t>
      </w:r>
    </w:p>
    <w:p w:rsidR="00535F3A" w:rsidRPr="00535F3A" w:rsidRDefault="00963F2B" w:rsidP="00963F2B">
      <w:pPr>
        <w:pStyle w:val="H1GR"/>
      </w:pPr>
      <w:r>
        <w:tab/>
      </w:r>
      <w:r w:rsidR="00535F3A" w:rsidRPr="00535F3A">
        <w:t>C.</w:t>
      </w:r>
      <w:r w:rsidR="00535F3A" w:rsidRPr="00535F3A">
        <w:tab/>
        <w:t>Заключение и рекомендации</w:t>
      </w:r>
    </w:p>
    <w:p w:rsidR="00535F3A" w:rsidRPr="00535F3A" w:rsidRDefault="00535F3A" w:rsidP="00535F3A">
      <w:pPr>
        <w:pStyle w:val="SingleTxtGR"/>
      </w:pPr>
      <w:r w:rsidRPr="00535F3A">
        <w:t>8.</w:t>
      </w:r>
      <w:r w:rsidRPr="00535F3A">
        <w:tab/>
        <w:t>Комитет, действуя в соответствии со статьей 5 Факультативного проток</w:t>
      </w:r>
      <w:r w:rsidRPr="00535F3A">
        <w:t>о</w:t>
      </w:r>
      <w:r w:rsidRPr="00535F3A">
        <w:t>ла, считает, что государство-участник не выполнило своих обязательств по пункту 3 статьи 12 и пункту 1 статьи 13 Конвенции. Поэтому Комитет выносит государству-участнику следующие рекомендации:</w:t>
      </w:r>
    </w:p>
    <w:p w:rsidR="00535F3A" w:rsidRPr="00535F3A" w:rsidRDefault="00535F3A" w:rsidP="00535F3A">
      <w:pPr>
        <w:pStyle w:val="SingleTxtGR"/>
      </w:pPr>
      <w:r w:rsidRPr="00535F3A">
        <w:tab/>
        <w:t>а)</w:t>
      </w:r>
      <w:r w:rsidRPr="00535F3A">
        <w:tab/>
        <w:t>в отношении автора государство-участник обязано:</w:t>
      </w:r>
    </w:p>
    <w:p w:rsidR="00535F3A" w:rsidRPr="00535F3A" w:rsidRDefault="00535F3A" w:rsidP="00963F2B">
      <w:pPr>
        <w:pStyle w:val="SingleTxtGR"/>
        <w:ind w:left="1701"/>
      </w:pPr>
      <w:r w:rsidRPr="00535F3A">
        <w:t>i)</w:t>
      </w:r>
      <w:r w:rsidRPr="00535F3A">
        <w:tab/>
        <w:t>предоставить ему эффективное средство правовой защиты, вкл</w:t>
      </w:r>
      <w:r w:rsidRPr="00535F3A">
        <w:t>ю</w:t>
      </w:r>
      <w:r w:rsidRPr="00535F3A">
        <w:t xml:space="preserve">чая возмещение любых судебных издержек, понесенных им и его женой на протяжении всего судопроизводства на национальном уровне, наряду с компенсацией; </w:t>
      </w:r>
    </w:p>
    <w:p w:rsidR="00535F3A" w:rsidRPr="00535F3A" w:rsidRDefault="00535F3A" w:rsidP="00963F2B">
      <w:pPr>
        <w:pStyle w:val="SingleTxtGR"/>
        <w:ind w:left="1701"/>
      </w:pPr>
      <w:proofErr w:type="spellStart"/>
      <w:proofErr w:type="gramStart"/>
      <w:r w:rsidRPr="00535F3A">
        <w:t>ii</w:t>
      </w:r>
      <w:proofErr w:type="spellEnd"/>
      <w:r w:rsidRPr="00535F3A">
        <w:t>)</w:t>
      </w:r>
      <w:r w:rsidRPr="00535F3A">
        <w:tab/>
        <w:t>предоставить ему доступ к материалам судебного и следственного дела, включая, в частности, стенограммы всех судебных заседаний и р</w:t>
      </w:r>
      <w:r w:rsidRPr="00535F3A">
        <w:t>е</w:t>
      </w:r>
      <w:r w:rsidRPr="00535F3A">
        <w:t>зультаты экспертизы, и ко всей соответствующей документации;</w:t>
      </w:r>
      <w:proofErr w:type="gramEnd"/>
    </w:p>
    <w:p w:rsidR="00535F3A" w:rsidRPr="00535F3A" w:rsidRDefault="00535F3A" w:rsidP="00963F2B">
      <w:pPr>
        <w:pStyle w:val="SingleTxtGR"/>
        <w:ind w:left="1701"/>
      </w:pPr>
      <w:proofErr w:type="spellStart"/>
      <w:proofErr w:type="gramStart"/>
      <w:r w:rsidRPr="00535F3A">
        <w:t>iii</w:t>
      </w:r>
      <w:proofErr w:type="spellEnd"/>
      <w:r w:rsidRPr="00535F3A">
        <w:t>)</w:t>
      </w:r>
      <w:r w:rsidRPr="00535F3A">
        <w:tab/>
        <w:t>опубликовать настоящие Соображения и обеспечить их широкое распространение в доступных формах, чтобы они были доступны для всех слоев населения;</w:t>
      </w:r>
      <w:proofErr w:type="gramEnd"/>
    </w:p>
    <w:p w:rsidR="00535F3A" w:rsidRPr="00535F3A" w:rsidRDefault="00535F3A" w:rsidP="00535F3A">
      <w:pPr>
        <w:pStyle w:val="SingleTxtGR"/>
      </w:pPr>
      <w:r w:rsidRPr="00535F3A">
        <w:tab/>
        <w:t>b)</w:t>
      </w:r>
      <w:r w:rsidRPr="00535F3A">
        <w:tab/>
        <w:t>в целом государство-участник обязано принять меры для предо</w:t>
      </w:r>
      <w:r w:rsidRPr="00535F3A">
        <w:t>т</w:t>
      </w:r>
      <w:r w:rsidRPr="00535F3A">
        <w:t>вращения подобных нарушений в будущем. В этой связи Комитет также ссыл</w:t>
      </w:r>
      <w:r w:rsidRPr="00535F3A">
        <w:t>а</w:t>
      </w:r>
      <w:r w:rsidRPr="00535F3A">
        <w:t>ется на рекомендации, содержащиеся в его заключительных замечаниях (CRPD/C/LTU/CO/1), и предлагает государству-участнику:</w:t>
      </w:r>
    </w:p>
    <w:p w:rsidR="00535F3A" w:rsidRPr="00535F3A" w:rsidRDefault="00535F3A" w:rsidP="00963F2B">
      <w:pPr>
        <w:pStyle w:val="SingleTxtGR"/>
        <w:ind w:left="1701"/>
      </w:pPr>
      <w:r w:rsidRPr="00535F3A">
        <w:t>i)</w:t>
      </w:r>
      <w:r w:rsidRPr="00535F3A">
        <w:tab/>
        <w:t>принять необходимые поправки к законам, регламентирующим ок</w:t>
      </w:r>
      <w:r w:rsidRPr="00535F3A">
        <w:t>а</w:t>
      </w:r>
      <w:r w:rsidRPr="00535F3A">
        <w:t>зание юридической помощи, предусмотрев в них оказание в случае нео</w:t>
      </w:r>
      <w:r w:rsidRPr="00535F3A">
        <w:t>б</w:t>
      </w:r>
      <w:r w:rsidRPr="00535F3A">
        <w:t xml:space="preserve">ходимости бесплатной юридической помощи инвалидам; </w:t>
      </w:r>
    </w:p>
    <w:p w:rsidR="00535F3A" w:rsidRPr="00535F3A" w:rsidRDefault="00535F3A" w:rsidP="00963F2B">
      <w:pPr>
        <w:pStyle w:val="SingleTxtGR"/>
        <w:ind w:left="1701"/>
      </w:pPr>
      <w:proofErr w:type="spellStart"/>
      <w:proofErr w:type="gramStart"/>
      <w:r w:rsidRPr="00535F3A">
        <w:lastRenderedPageBreak/>
        <w:t>ii</w:t>
      </w:r>
      <w:proofErr w:type="spellEnd"/>
      <w:r w:rsidRPr="00535F3A">
        <w:t>)</w:t>
      </w:r>
      <w:r w:rsidRPr="00535F3A">
        <w:tab/>
        <w:t>принять национальный план действий по укреплению потенциала работников судов и правоохранительных органов, включая судей, прок</w:t>
      </w:r>
      <w:r w:rsidRPr="00535F3A">
        <w:t>у</w:t>
      </w:r>
      <w:r w:rsidRPr="00535F3A">
        <w:t>роров, сотрудников полиции и тюремный персонал, повышению их осв</w:t>
      </w:r>
      <w:r w:rsidRPr="00535F3A">
        <w:t>е</w:t>
      </w:r>
      <w:r w:rsidRPr="00535F3A">
        <w:t>домленности о правах инвалидов и по обеспечению участия инвалидов во всех правовых процедурах с учетом процессуальных и возрастных треб</w:t>
      </w:r>
      <w:r w:rsidRPr="00535F3A">
        <w:t>о</w:t>
      </w:r>
      <w:r w:rsidRPr="00535F3A">
        <w:t>ваний (пункт 28);</w:t>
      </w:r>
      <w:proofErr w:type="gramEnd"/>
    </w:p>
    <w:p w:rsidR="00535F3A" w:rsidRPr="00535F3A" w:rsidRDefault="00535F3A" w:rsidP="00963F2B">
      <w:pPr>
        <w:pStyle w:val="SingleTxtGR"/>
        <w:ind w:left="1701"/>
      </w:pPr>
      <w:proofErr w:type="spellStart"/>
      <w:proofErr w:type="gramStart"/>
      <w:r w:rsidRPr="00535F3A">
        <w:t>iii</w:t>
      </w:r>
      <w:proofErr w:type="spellEnd"/>
      <w:r w:rsidRPr="00535F3A">
        <w:t>)</w:t>
      </w:r>
      <w:r w:rsidRPr="00535F3A">
        <w:tab/>
        <w:t>поощрять, обеспечивать и контролировать процесс разумного пр</w:t>
      </w:r>
      <w:r w:rsidRPr="00535F3A">
        <w:t>и</w:t>
      </w:r>
      <w:r w:rsidRPr="00535F3A">
        <w:t>способления в интересах инвалидов во всех государственных и частных секторах и признавать отказ в разумном приспособлении одной из форм дискриминации по признаку инвалидности (пункт 14).</w:t>
      </w:r>
      <w:proofErr w:type="gramEnd"/>
    </w:p>
    <w:p w:rsidR="00535F3A" w:rsidRPr="00535F3A" w:rsidRDefault="00535F3A" w:rsidP="00535F3A">
      <w:pPr>
        <w:pStyle w:val="SingleTxtGR"/>
      </w:pPr>
      <w:r w:rsidRPr="00535F3A">
        <w:t>9.</w:t>
      </w:r>
      <w:r w:rsidRPr="00535F3A">
        <w:tab/>
        <w:t>В соответствии со статьей 5 Факультативного протокола и правилом 75 правил процедуры Комитета государству-участнику следует представить Ком</w:t>
      </w:r>
      <w:r w:rsidRPr="00535F3A">
        <w:t>и</w:t>
      </w:r>
      <w:r w:rsidRPr="00535F3A">
        <w:t>тету в течение шести месяцев письменный ответ, включающий информацию о любых мерах, принятых с учетом настоящих Соображений и рекомендаций К</w:t>
      </w:r>
      <w:r w:rsidRPr="00535F3A">
        <w:t>о</w:t>
      </w:r>
      <w:r w:rsidRPr="00535F3A">
        <w:t xml:space="preserve">митета. </w:t>
      </w:r>
    </w:p>
    <w:p w:rsidR="00535F3A" w:rsidRPr="00535F3A" w:rsidRDefault="00535F3A" w:rsidP="00535F3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535F3A" w:rsidRDefault="00381C24" w:rsidP="002E5067"/>
    <w:sectPr w:rsidR="00381C24" w:rsidRPr="00535F3A" w:rsidSect="00535F3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52" w:rsidRPr="00A312BC" w:rsidRDefault="00455A52" w:rsidP="00A312BC"/>
  </w:endnote>
  <w:endnote w:type="continuationSeparator" w:id="0">
    <w:p w:rsidR="00455A52" w:rsidRPr="00A312BC" w:rsidRDefault="00455A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3A" w:rsidRPr="00535F3A" w:rsidRDefault="00535F3A">
    <w:pPr>
      <w:pStyle w:val="a8"/>
    </w:pPr>
    <w:r w:rsidRPr="00535F3A">
      <w:rPr>
        <w:b/>
        <w:sz w:val="18"/>
      </w:rPr>
      <w:fldChar w:fldCharType="begin"/>
    </w:r>
    <w:r w:rsidRPr="00535F3A">
      <w:rPr>
        <w:b/>
        <w:sz w:val="18"/>
      </w:rPr>
      <w:instrText xml:space="preserve"> PAGE  \* MERGEFORMAT </w:instrText>
    </w:r>
    <w:r w:rsidRPr="00535F3A">
      <w:rPr>
        <w:b/>
        <w:sz w:val="18"/>
      </w:rPr>
      <w:fldChar w:fldCharType="separate"/>
    </w:r>
    <w:r w:rsidR="00B76B07">
      <w:rPr>
        <w:b/>
        <w:noProof/>
        <w:sz w:val="18"/>
      </w:rPr>
      <w:t>8</w:t>
    </w:r>
    <w:r w:rsidRPr="00535F3A">
      <w:rPr>
        <w:b/>
        <w:sz w:val="18"/>
      </w:rPr>
      <w:fldChar w:fldCharType="end"/>
    </w:r>
    <w:r>
      <w:rPr>
        <w:b/>
        <w:sz w:val="18"/>
      </w:rPr>
      <w:tab/>
    </w:r>
    <w:r>
      <w:t>GE.17-17438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3A" w:rsidRPr="00535F3A" w:rsidRDefault="00535F3A" w:rsidP="00535F3A">
    <w:pPr>
      <w:pStyle w:val="a8"/>
      <w:tabs>
        <w:tab w:val="clear" w:pos="9639"/>
        <w:tab w:val="right" w:pos="9638"/>
      </w:tabs>
      <w:rPr>
        <w:b/>
        <w:sz w:val="18"/>
      </w:rPr>
    </w:pPr>
    <w:r>
      <w:t>GE.17-17438</w:t>
    </w:r>
    <w:r>
      <w:tab/>
    </w:r>
    <w:r w:rsidRPr="00535F3A">
      <w:rPr>
        <w:b/>
        <w:sz w:val="18"/>
      </w:rPr>
      <w:fldChar w:fldCharType="begin"/>
    </w:r>
    <w:r w:rsidRPr="00535F3A">
      <w:rPr>
        <w:b/>
        <w:sz w:val="18"/>
      </w:rPr>
      <w:instrText xml:space="preserve"> PAGE  \* MERGEFORMAT </w:instrText>
    </w:r>
    <w:r w:rsidRPr="00535F3A">
      <w:rPr>
        <w:b/>
        <w:sz w:val="18"/>
      </w:rPr>
      <w:fldChar w:fldCharType="separate"/>
    </w:r>
    <w:r w:rsidR="00B76B07">
      <w:rPr>
        <w:b/>
        <w:noProof/>
        <w:sz w:val="18"/>
      </w:rPr>
      <w:t>7</w:t>
    </w:r>
    <w:r w:rsidRPr="00535F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35F3A" w:rsidRDefault="00535F3A" w:rsidP="00535F3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17-17438</w:t>
    </w:r>
    <w:r w:rsidR="00A91FF3">
      <w:t xml:space="preserve"> </w:t>
    </w:r>
    <w:r>
      <w:t>(R)</w:t>
    </w:r>
    <w:r w:rsidR="00A91FF3">
      <w:t xml:space="preserve">  </w:t>
    </w:r>
    <w:r w:rsidR="00A91FF3">
      <w:rPr>
        <w:lang w:val="en-US"/>
      </w:rPr>
      <w:t>131017  131017</w:t>
    </w:r>
    <w:r>
      <w:br/>
    </w:r>
    <w:r w:rsidRPr="00535F3A">
      <w:rPr>
        <w:rFonts w:ascii="C39T30Lfz" w:hAnsi="C39T30Lfz"/>
        <w:spacing w:val="0"/>
        <w:w w:val="100"/>
        <w:sz w:val="56"/>
      </w:rPr>
      <w:t></w:t>
    </w:r>
    <w:r w:rsidRPr="00535F3A">
      <w:rPr>
        <w:rFonts w:ascii="C39T30Lfz" w:hAnsi="C39T30Lfz"/>
        <w:spacing w:val="0"/>
        <w:w w:val="100"/>
        <w:sz w:val="56"/>
      </w:rPr>
      <w:t></w:t>
    </w:r>
    <w:r w:rsidRPr="00535F3A">
      <w:rPr>
        <w:rFonts w:ascii="C39T30Lfz" w:hAnsi="C39T30Lfz"/>
        <w:spacing w:val="0"/>
        <w:w w:val="100"/>
        <w:sz w:val="56"/>
      </w:rPr>
      <w:t></w:t>
    </w:r>
    <w:r w:rsidRPr="00535F3A">
      <w:rPr>
        <w:rFonts w:ascii="C39T30Lfz" w:hAnsi="C39T30Lfz"/>
        <w:spacing w:val="0"/>
        <w:w w:val="100"/>
        <w:sz w:val="56"/>
      </w:rPr>
      <w:t></w:t>
    </w:r>
    <w:r w:rsidRPr="00535F3A">
      <w:rPr>
        <w:rFonts w:ascii="C39T30Lfz" w:hAnsi="C39T30Lfz"/>
        <w:spacing w:val="0"/>
        <w:w w:val="100"/>
        <w:sz w:val="56"/>
      </w:rPr>
      <w:t></w:t>
    </w:r>
    <w:r w:rsidRPr="00535F3A">
      <w:rPr>
        <w:rFonts w:ascii="C39T30Lfz" w:hAnsi="C39T30Lfz"/>
        <w:spacing w:val="0"/>
        <w:w w:val="100"/>
        <w:sz w:val="56"/>
      </w:rPr>
      <w:t></w:t>
    </w:r>
    <w:r w:rsidRPr="00535F3A">
      <w:rPr>
        <w:rFonts w:ascii="C39T30Lfz" w:hAnsi="C39T30Lfz"/>
        <w:spacing w:val="0"/>
        <w:w w:val="100"/>
        <w:sz w:val="56"/>
      </w:rPr>
      <w:t></w:t>
    </w:r>
    <w:r w:rsidRPr="00535F3A">
      <w:rPr>
        <w:rFonts w:ascii="C39T30Lfz" w:hAnsi="C39T30Lfz"/>
        <w:spacing w:val="0"/>
        <w:w w:val="100"/>
        <w:sz w:val="56"/>
      </w:rPr>
      <w:t></w:t>
    </w:r>
    <w:r w:rsidRPr="00535F3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18/D/30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8/D/30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52" w:rsidRPr="001075E9" w:rsidRDefault="00455A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5A52" w:rsidRDefault="00455A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5F3A" w:rsidRPr="00535F3A" w:rsidRDefault="00535F3A" w:rsidP="00A91FF3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восемнадцатой сессии (14</w:t>
      </w:r>
      <w:r w:rsidR="00A91FF3" w:rsidRPr="00A91FF3">
        <w:rPr>
          <w:lang w:val="ru-RU"/>
        </w:rPr>
        <w:t>–</w:t>
      </w:r>
      <w:r>
        <w:rPr>
          <w:lang w:val="ru-RU"/>
        </w:rPr>
        <w:t>31 августа 2017 года).</w:t>
      </w:r>
    </w:p>
  </w:footnote>
  <w:footnote w:id="2">
    <w:p w:rsidR="00535F3A" w:rsidRPr="004B4965" w:rsidRDefault="00535F3A" w:rsidP="00535F3A">
      <w:pPr>
        <w:pStyle w:val="ad"/>
        <w:spacing w:after="60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рассмотрении настоящего сообщения принимали участие следующие члены Комитета: Ахмад Ас-</w:t>
      </w:r>
      <w:proofErr w:type="spellStart"/>
      <w:r>
        <w:rPr>
          <w:lang w:val="ru-RU"/>
        </w:rPr>
        <w:t>Саиф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Данлами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Умару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Башару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Монтьян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Бунтан</w:t>
      </w:r>
      <w:proofErr w:type="spellEnd"/>
      <w:r>
        <w:rPr>
          <w:lang w:val="ru-RU"/>
        </w:rPr>
        <w:t>,</w:t>
      </w:r>
      <w:r w:rsidR="00A91FF3">
        <w:rPr>
          <w:lang w:val="ru-RU"/>
        </w:rPr>
        <w:t xml:space="preserve"> </w:t>
      </w:r>
      <w:proofErr w:type="spellStart"/>
      <w:r>
        <w:rPr>
          <w:lang w:val="ru-RU"/>
        </w:rPr>
        <w:t>Имед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Эддин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Чакер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Терезия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Дегенер</w:t>
      </w:r>
      <w:proofErr w:type="spellEnd"/>
      <w:r w:rsidR="00A91FF3">
        <w:rPr>
          <w:lang w:val="ru-RU"/>
        </w:rPr>
        <w:t xml:space="preserve"> </w:t>
      </w:r>
      <w:r>
        <w:rPr>
          <w:lang w:val="ru-RU"/>
        </w:rPr>
        <w:t xml:space="preserve">Самюэль </w:t>
      </w:r>
      <w:proofErr w:type="spellStart"/>
      <w:r>
        <w:rPr>
          <w:lang w:val="ru-RU"/>
        </w:rPr>
        <w:t>Нджугуна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Кабуе</w:t>
      </w:r>
      <w:proofErr w:type="spellEnd"/>
      <w:r>
        <w:rPr>
          <w:lang w:val="ru-RU"/>
        </w:rPr>
        <w:t xml:space="preserve">, Ким </w:t>
      </w:r>
      <w:proofErr w:type="spellStart"/>
      <w:r>
        <w:rPr>
          <w:lang w:val="ru-RU"/>
        </w:rPr>
        <w:t>Хюн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Стиг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Лангвад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Ласло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Габор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Ловаси</w:t>
      </w:r>
      <w:proofErr w:type="spellEnd"/>
      <w:r>
        <w:rPr>
          <w:lang w:val="ru-RU"/>
        </w:rPr>
        <w:t>,</w:t>
      </w:r>
      <w:r w:rsidR="00A91FF3">
        <w:rPr>
          <w:lang w:val="ru-RU"/>
        </w:rPr>
        <w:t xml:space="preserve"> </w:t>
      </w:r>
      <w:r>
        <w:rPr>
          <w:lang w:val="ru-RU"/>
        </w:rPr>
        <w:t xml:space="preserve">Роберт Джордж Мартин, Мартин Бабу </w:t>
      </w:r>
      <w:proofErr w:type="spellStart"/>
      <w:r>
        <w:rPr>
          <w:lang w:val="ru-RU"/>
        </w:rPr>
        <w:t>Мвесигва</w:t>
      </w:r>
      <w:proofErr w:type="spellEnd"/>
      <w:r>
        <w:rPr>
          <w:lang w:val="ru-RU"/>
        </w:rPr>
        <w:t xml:space="preserve">, Карлос Альберто </w:t>
      </w:r>
      <w:proofErr w:type="spellStart"/>
      <w:r>
        <w:rPr>
          <w:lang w:val="ru-RU"/>
        </w:rPr>
        <w:t>Парра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Дуссан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Кумаравел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Пьянеанди</w:t>
      </w:r>
      <w:proofErr w:type="spellEnd"/>
      <w:r>
        <w:rPr>
          <w:lang w:val="ru-RU"/>
        </w:rPr>
        <w:t xml:space="preserve">, Валерий Никитич </w:t>
      </w:r>
      <w:proofErr w:type="spellStart"/>
      <w:r>
        <w:rPr>
          <w:lang w:val="ru-RU"/>
        </w:rPr>
        <w:t>Рухледев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Дамьян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Татич</w:t>
      </w:r>
      <w:proofErr w:type="spellEnd"/>
      <w:r>
        <w:rPr>
          <w:lang w:val="ru-RU"/>
        </w:rPr>
        <w:t>.</w:t>
      </w:r>
    </w:p>
    <w:p w:rsidR="00535F3A" w:rsidRPr="00535F3A" w:rsidRDefault="00535F3A" w:rsidP="00A91FF3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 соответствии с правилом 60 правил процедуры Комитета </w:t>
      </w:r>
      <w:proofErr w:type="spellStart"/>
      <w:r>
        <w:rPr>
          <w:lang w:val="ru-RU"/>
        </w:rPr>
        <w:t>Джонас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Рускус</w:t>
      </w:r>
      <w:proofErr w:type="spellEnd"/>
      <w:r>
        <w:rPr>
          <w:lang w:val="ru-RU"/>
        </w:rPr>
        <w:t xml:space="preserve"> не участвовал в рассмотрении сообщения.</w:t>
      </w:r>
    </w:p>
  </w:footnote>
  <w:footnote w:id="3">
    <w:p w:rsidR="007C3DD6" w:rsidRPr="004B4965" w:rsidRDefault="007C3DD6" w:rsidP="007C3DD6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3E5D6C">
        <w:rPr>
          <w:rStyle w:val="aa"/>
          <w:lang w:val="ru-RU"/>
        </w:rPr>
        <w:footnoteRef/>
      </w:r>
      <w:r>
        <w:rPr>
          <w:lang w:val="ru-RU"/>
        </w:rPr>
        <w:tab/>
        <w:t xml:space="preserve">Автор утверждает, что В.М. является известным предпринимателем и политическим активистом. Столкновение произошло на перекрестке в Вильнюсе, когда из-за резкого маневра В.М. автор столкнулся с автомобилем В.М., что привело к получению травмы пассажиром автора Глафирой Макаровой. </w:t>
      </w:r>
    </w:p>
  </w:footnote>
  <w:footnote w:id="4">
    <w:p w:rsidR="007C3DD6" w:rsidRPr="004B4965" w:rsidRDefault="007C3DD6" w:rsidP="00535F3A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3E5D6C">
        <w:rPr>
          <w:rStyle w:val="aa"/>
          <w:lang w:val="ru-RU"/>
        </w:rPr>
        <w:footnoteRef/>
      </w:r>
      <w:r>
        <w:rPr>
          <w:lang w:val="ru-RU"/>
        </w:rPr>
        <w:tab/>
        <w:t xml:space="preserve">Автор также утверждает, что действия судьи и прокурора представляют собой нарушение прав его жены в соответствии с Конституцией и статьей 14 Международного пакта о гражданских и политических правах. Комитет некомпетентен </w:t>
      </w:r>
      <w:proofErr w:type="spellStart"/>
      <w:r>
        <w:rPr>
          <w:lang w:val="ru-RU"/>
        </w:rPr>
        <w:t>ratione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materiae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рассматривать</w:t>
      </w:r>
      <w:proofErr w:type="gramEnd"/>
      <w:r>
        <w:rPr>
          <w:lang w:val="ru-RU"/>
        </w:rPr>
        <w:t xml:space="preserve"> эти жалобы и, следовательно, не учитывает их. </w:t>
      </w:r>
    </w:p>
  </w:footnote>
  <w:footnote w:id="5">
    <w:p w:rsidR="007C3DD6" w:rsidRPr="00535F3A" w:rsidRDefault="007C3DD6" w:rsidP="00535F3A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3E5D6C">
        <w:rPr>
          <w:rStyle w:val="aa"/>
          <w:lang w:val="ru-RU"/>
        </w:rPr>
        <w:footnoteRef/>
      </w:r>
      <w:r>
        <w:rPr>
          <w:lang w:val="ru-RU"/>
        </w:rPr>
        <w:tab/>
        <w:t>Свидетельства о состоянии здоровья г-жи Макаровой, использованные судом, являются результатом двух медицинских осмотров, которые были опротестованы автором как неправдоподобные, незаконные и противоречившие пожеланиям потерпевшей и мнению других медицинских экспертов.</w:t>
      </w:r>
    </w:p>
  </w:footnote>
  <w:footnote w:id="6">
    <w:p w:rsidR="007C3DD6" w:rsidRPr="00535F3A" w:rsidRDefault="007C3DD6" w:rsidP="008A0A58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3E5D6C">
        <w:rPr>
          <w:rStyle w:val="aa"/>
          <w:lang w:val="ru-RU"/>
        </w:rPr>
        <w:footnoteRef/>
      </w:r>
      <w:r>
        <w:rPr>
          <w:lang w:val="ru-RU"/>
        </w:rPr>
        <w:tab/>
        <w:t xml:space="preserve">См. </w:t>
      </w:r>
      <w:r w:rsidR="008A0A58">
        <w:rPr>
          <w:lang w:val="ru-RU"/>
        </w:rPr>
        <w:t>с</w:t>
      </w:r>
      <w:r>
        <w:rPr>
          <w:lang w:val="ru-RU"/>
        </w:rPr>
        <w:t xml:space="preserve">ообщение № 7/2012, </w:t>
      </w:r>
      <w:r w:rsidRPr="008A0A58">
        <w:rPr>
          <w:i/>
          <w:iCs/>
          <w:lang w:val="ru-RU"/>
        </w:rPr>
        <w:t xml:space="preserve">Марлон Джеймс </w:t>
      </w:r>
      <w:proofErr w:type="spellStart"/>
      <w:r w:rsidRPr="008A0A58">
        <w:rPr>
          <w:i/>
          <w:iCs/>
          <w:lang w:val="ru-RU"/>
        </w:rPr>
        <w:t>Нобл</w:t>
      </w:r>
      <w:proofErr w:type="spellEnd"/>
      <w:r w:rsidRPr="008A0A58">
        <w:rPr>
          <w:i/>
          <w:iCs/>
          <w:lang w:val="ru-RU"/>
        </w:rPr>
        <w:t xml:space="preserve"> против Австралии</w:t>
      </w:r>
      <w:r>
        <w:rPr>
          <w:lang w:val="ru-RU"/>
        </w:rPr>
        <w:t xml:space="preserve">, Соображения, принятые 2 сентября 2016 года, пункт 8.6. </w:t>
      </w:r>
    </w:p>
  </w:footnote>
  <w:footnote w:id="7">
    <w:p w:rsidR="007C3DD6" w:rsidRPr="00535F3A" w:rsidRDefault="007C3DD6" w:rsidP="008A0A58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3E5D6C">
        <w:rPr>
          <w:rStyle w:val="aa"/>
          <w:lang w:val="ru-RU"/>
        </w:rPr>
        <w:footnoteRef/>
      </w:r>
      <w:r>
        <w:rPr>
          <w:lang w:val="ru-RU"/>
        </w:rPr>
        <w:tab/>
        <w:t xml:space="preserve">См. </w:t>
      </w:r>
      <w:r w:rsidR="008A0A58">
        <w:rPr>
          <w:lang w:val="ru-RU"/>
        </w:rPr>
        <w:t>с</w:t>
      </w:r>
      <w:r>
        <w:rPr>
          <w:lang w:val="ru-RU"/>
        </w:rPr>
        <w:t xml:space="preserve">ообщение № 11/2013, </w:t>
      </w:r>
      <w:proofErr w:type="spellStart"/>
      <w:r w:rsidRPr="008A0A58">
        <w:rPr>
          <w:i/>
          <w:iCs/>
          <w:lang w:val="ru-RU"/>
        </w:rPr>
        <w:t>Джемма</w:t>
      </w:r>
      <w:proofErr w:type="spellEnd"/>
      <w:r w:rsidRPr="008A0A58">
        <w:rPr>
          <w:i/>
          <w:iCs/>
          <w:lang w:val="ru-RU"/>
        </w:rPr>
        <w:t xml:space="preserve"> </w:t>
      </w:r>
      <w:proofErr w:type="spellStart"/>
      <w:r w:rsidRPr="008A0A58">
        <w:rPr>
          <w:i/>
          <w:iCs/>
          <w:lang w:val="ru-RU"/>
        </w:rPr>
        <w:t>Бисли</w:t>
      </w:r>
      <w:proofErr w:type="spellEnd"/>
      <w:r w:rsidRPr="008A0A58">
        <w:rPr>
          <w:i/>
          <w:iCs/>
          <w:lang w:val="ru-RU"/>
        </w:rPr>
        <w:t xml:space="preserve"> против Австралии</w:t>
      </w:r>
      <w:r>
        <w:rPr>
          <w:lang w:val="ru-RU"/>
        </w:rPr>
        <w:t xml:space="preserve">, Соображения, принятые 1 апреля 2016 года, пункт 8.9. </w:t>
      </w:r>
    </w:p>
  </w:footnote>
  <w:footnote w:id="8">
    <w:p w:rsidR="007C3DD6" w:rsidRPr="00535F3A" w:rsidRDefault="007C3DD6" w:rsidP="00535F3A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3E5D6C">
        <w:rPr>
          <w:rStyle w:val="aa"/>
          <w:lang w:val="ru-RU"/>
        </w:rPr>
        <w:footnoteRef/>
      </w:r>
      <w:r>
        <w:rPr>
          <w:lang w:val="ru-RU"/>
        </w:rPr>
        <w:tab/>
        <w:t xml:space="preserve">В соответствии со статьей 2 Конвенции «разумное приспособление» означает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3A" w:rsidRPr="00535F3A" w:rsidRDefault="00B76B0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CRPD/C/18/D/30/2015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3A" w:rsidRPr="00535F3A" w:rsidRDefault="00B76B07" w:rsidP="00535F3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CRPD/C/18/D/30/2015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2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56DE0"/>
    <w:rsid w:val="00180183"/>
    <w:rsid w:val="0018024D"/>
    <w:rsid w:val="0018649F"/>
    <w:rsid w:val="00196389"/>
    <w:rsid w:val="001B3EF6"/>
    <w:rsid w:val="001C499F"/>
    <w:rsid w:val="001C7A89"/>
    <w:rsid w:val="001F1E0F"/>
    <w:rsid w:val="00215062"/>
    <w:rsid w:val="00266EEC"/>
    <w:rsid w:val="0027441B"/>
    <w:rsid w:val="002846B3"/>
    <w:rsid w:val="002A2EFC"/>
    <w:rsid w:val="002B74B1"/>
    <w:rsid w:val="002C0E18"/>
    <w:rsid w:val="002C115D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11034"/>
    <w:rsid w:val="00424203"/>
    <w:rsid w:val="00446606"/>
    <w:rsid w:val="00452493"/>
    <w:rsid w:val="00453318"/>
    <w:rsid w:val="00454E07"/>
    <w:rsid w:val="00455A52"/>
    <w:rsid w:val="00472C5C"/>
    <w:rsid w:val="0050108D"/>
    <w:rsid w:val="00513081"/>
    <w:rsid w:val="00517901"/>
    <w:rsid w:val="00526683"/>
    <w:rsid w:val="00535F3A"/>
    <w:rsid w:val="005709E0"/>
    <w:rsid w:val="00572E19"/>
    <w:rsid w:val="005961C8"/>
    <w:rsid w:val="005966F1"/>
    <w:rsid w:val="005D7914"/>
    <w:rsid w:val="005E0D2C"/>
    <w:rsid w:val="005E2B41"/>
    <w:rsid w:val="005F0B42"/>
    <w:rsid w:val="0063208F"/>
    <w:rsid w:val="00681A10"/>
    <w:rsid w:val="006A1ED8"/>
    <w:rsid w:val="006B5625"/>
    <w:rsid w:val="006C2031"/>
    <w:rsid w:val="006D461A"/>
    <w:rsid w:val="006F35EE"/>
    <w:rsid w:val="007021FF"/>
    <w:rsid w:val="00712895"/>
    <w:rsid w:val="00741708"/>
    <w:rsid w:val="00757357"/>
    <w:rsid w:val="007C3DD6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A0A58"/>
    <w:rsid w:val="008B6909"/>
    <w:rsid w:val="00903712"/>
    <w:rsid w:val="00906890"/>
    <w:rsid w:val="00911BE4"/>
    <w:rsid w:val="00951972"/>
    <w:rsid w:val="009608F3"/>
    <w:rsid w:val="00963F2B"/>
    <w:rsid w:val="009A24AC"/>
    <w:rsid w:val="00A14DA8"/>
    <w:rsid w:val="00A312BC"/>
    <w:rsid w:val="00A84021"/>
    <w:rsid w:val="00A84D35"/>
    <w:rsid w:val="00A917B3"/>
    <w:rsid w:val="00A91FF3"/>
    <w:rsid w:val="00AB4B51"/>
    <w:rsid w:val="00AC12E8"/>
    <w:rsid w:val="00B10CC7"/>
    <w:rsid w:val="00B36DF7"/>
    <w:rsid w:val="00B539E7"/>
    <w:rsid w:val="00B62458"/>
    <w:rsid w:val="00B76B07"/>
    <w:rsid w:val="00BC18B2"/>
    <w:rsid w:val="00BD33EE"/>
    <w:rsid w:val="00BE4043"/>
    <w:rsid w:val="00C04F89"/>
    <w:rsid w:val="00C106D6"/>
    <w:rsid w:val="00C349EE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2742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668E-71C2-4006-9C9E-CE882891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8</Pages>
  <Words>2942</Words>
  <Characters>18833</Characters>
  <Application>Microsoft Office Word</Application>
  <DocSecurity>0</DocSecurity>
  <Lines>369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CRPD/C/18/D/30/2015</vt:lpstr>
      <vt:lpstr>A/</vt:lpstr>
    </vt:vector>
  </TitlesOfParts>
  <Company>DCM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CRPD/C/18/D/30/2015</dc:title>
  <dc:subject/>
  <dc:creator>Larisa MAYKOVSKAYA</dc:creator>
  <cp:keywords/>
  <cp:lastModifiedBy>TPSRUS2</cp:lastModifiedBy>
  <cp:revision>3</cp:revision>
  <cp:lastPrinted>2017-10-13T15:41:00Z</cp:lastPrinted>
  <dcterms:created xsi:type="dcterms:W3CDTF">2017-10-13T15:41:00Z</dcterms:created>
  <dcterms:modified xsi:type="dcterms:W3CDTF">2017-10-13T15:41:00Z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