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E1C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E1C58" w:rsidP="009E1C58">
            <w:pPr>
              <w:jc w:val="right"/>
            </w:pPr>
            <w:r w:rsidRPr="009E1C58">
              <w:rPr>
                <w:sz w:val="40"/>
              </w:rPr>
              <w:t>CRPD</w:t>
            </w:r>
            <w:r>
              <w:t>/C/18/2</w:t>
            </w:r>
          </w:p>
        </w:tc>
      </w:tr>
      <w:tr w:rsidR="002D5AAC" w:rsidRPr="007C15F3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E1C58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E1C58" w:rsidRDefault="009E1C58" w:rsidP="009E1C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2017</w:t>
            </w:r>
          </w:p>
          <w:p w:rsidR="009E1C58" w:rsidRDefault="009E1C58" w:rsidP="009E1C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E1C58" w:rsidRPr="008934D2" w:rsidRDefault="009E1C58" w:rsidP="009E1C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E1C58" w:rsidRPr="009E1C58" w:rsidRDefault="009E1C58" w:rsidP="009E1C58">
      <w:pPr>
        <w:suppressAutoHyphens/>
        <w:spacing w:before="120"/>
        <w:rPr>
          <w:b/>
          <w:spacing w:val="0"/>
          <w:w w:val="100"/>
          <w:sz w:val="24"/>
          <w:szCs w:val="24"/>
        </w:rPr>
      </w:pPr>
      <w:r w:rsidRPr="009E1C58">
        <w:rPr>
          <w:b/>
          <w:spacing w:val="0"/>
          <w:w w:val="100"/>
          <w:sz w:val="24"/>
          <w:szCs w:val="24"/>
        </w:rPr>
        <w:t>Конвенция о правах инвалидов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9E1C58">
        <w:rPr>
          <w:spacing w:val="0"/>
          <w:w w:val="100"/>
        </w:rPr>
        <w:tab/>
      </w:r>
      <w:r w:rsidRPr="009E1C58">
        <w:rPr>
          <w:spacing w:val="0"/>
          <w:w w:val="100"/>
        </w:rPr>
        <w:tab/>
        <w:t>Доклад Комитета по правам инвалидов о работе его восемнадцатой сессии (</w:t>
      </w:r>
      <w:r w:rsidR="009E58AD" w:rsidRPr="009E58AD">
        <w:rPr>
          <w:spacing w:val="0"/>
          <w:w w:val="100"/>
        </w:rPr>
        <w:t>14–3</w:t>
      </w:r>
      <w:r w:rsidRPr="009E1C58">
        <w:rPr>
          <w:spacing w:val="0"/>
          <w:w w:val="100"/>
        </w:rPr>
        <w:t>1 августа 2017</w:t>
      </w:r>
      <w:r w:rsidRPr="009E1C58">
        <w:rPr>
          <w:spacing w:val="0"/>
          <w:w w:val="100"/>
          <w:lang w:val="en-US"/>
        </w:rPr>
        <w:t> </w:t>
      </w:r>
      <w:r w:rsidRPr="009E1C58">
        <w:rPr>
          <w:spacing w:val="0"/>
          <w:w w:val="100"/>
        </w:rPr>
        <w:t>года)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9E58AD">
        <w:rPr>
          <w:spacing w:val="0"/>
          <w:w w:val="100"/>
        </w:rPr>
        <w:tab/>
      </w:r>
      <w:r w:rsidRPr="009E1C58">
        <w:rPr>
          <w:spacing w:val="0"/>
          <w:w w:val="100"/>
          <w:lang w:val="en-US"/>
        </w:rPr>
        <w:t>I</w:t>
      </w:r>
      <w:r w:rsidRPr="009E1C58">
        <w:rPr>
          <w:spacing w:val="0"/>
          <w:w w:val="100"/>
        </w:rPr>
        <w:t>.</w:t>
      </w:r>
      <w:r w:rsidRPr="009E1C58">
        <w:rPr>
          <w:spacing w:val="0"/>
          <w:w w:val="100"/>
        </w:rPr>
        <w:tab/>
        <w:t>Государства – участники Конвенции и Факультативного протокола к ней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1.</w:t>
      </w:r>
      <w:r w:rsidRPr="009E1C58">
        <w:rPr>
          <w:spacing w:val="0"/>
          <w:w w:val="100"/>
        </w:rPr>
        <w:tab/>
        <w:t>По состоянию на 31 августа 2017 года, дату закрытия восемнадцатой сессии, насчитывалось 174 государства – участника Конвенции о</w:t>
      </w:r>
      <w:r>
        <w:rPr>
          <w:spacing w:val="0"/>
          <w:w w:val="100"/>
        </w:rPr>
        <w:t xml:space="preserve"> правах инвалидов и 92 </w:t>
      </w:r>
      <w:r w:rsidRPr="009E1C58">
        <w:rPr>
          <w:spacing w:val="0"/>
          <w:w w:val="100"/>
        </w:rPr>
        <w:t xml:space="preserve">государства – участника Факультативного протокола к ней. Списки государств – участников этих договоров размещены на веб-сайте Управления по правовым вопросам секретариата. 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7C15F3">
        <w:rPr>
          <w:spacing w:val="0"/>
          <w:w w:val="100"/>
        </w:rPr>
        <w:tab/>
      </w:r>
      <w:r w:rsidRPr="009E1C58">
        <w:rPr>
          <w:spacing w:val="0"/>
          <w:w w:val="100"/>
          <w:lang w:val="en-US"/>
        </w:rPr>
        <w:t>II</w:t>
      </w:r>
      <w:r w:rsidRPr="009E1C58">
        <w:rPr>
          <w:spacing w:val="0"/>
          <w:w w:val="100"/>
        </w:rPr>
        <w:t>.</w:t>
      </w:r>
      <w:r w:rsidRPr="009E1C58">
        <w:rPr>
          <w:spacing w:val="0"/>
          <w:w w:val="100"/>
        </w:rPr>
        <w:tab/>
        <w:t>Открытие восемнадцатой сессии Комитета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2.</w:t>
      </w:r>
      <w:r w:rsidRPr="009E1C58">
        <w:rPr>
          <w:spacing w:val="0"/>
          <w:w w:val="100"/>
        </w:rPr>
        <w:tab/>
        <w:t>Восемнадцатая сессия началась с выступления Председателя Комитета, который обратился с приветственным словом к участникам открытого заседания. Вступительное заявление от имени Управления Верховного комиссара Организации Объединенных Наций по правам человека сделал</w:t>
      </w:r>
      <w:r w:rsidR="009E58AD">
        <w:rPr>
          <w:spacing w:val="0"/>
          <w:w w:val="100"/>
        </w:rPr>
        <w:t>а</w:t>
      </w:r>
      <w:r w:rsidRPr="009E1C58">
        <w:rPr>
          <w:spacing w:val="0"/>
          <w:w w:val="100"/>
        </w:rPr>
        <w:t xml:space="preserve"> </w:t>
      </w:r>
      <w:r w:rsidR="009E58AD">
        <w:rPr>
          <w:spacing w:val="0"/>
          <w:w w:val="100"/>
        </w:rPr>
        <w:t>руководитель</w:t>
      </w:r>
      <w:r w:rsidRPr="009E1C58">
        <w:rPr>
          <w:spacing w:val="0"/>
          <w:w w:val="100"/>
        </w:rPr>
        <w:t xml:space="preserve"> Секции </w:t>
      </w:r>
      <w:r w:rsidR="009E58AD">
        <w:rPr>
          <w:spacing w:val="0"/>
          <w:w w:val="100"/>
        </w:rPr>
        <w:t>фокусных групп УВКПЧ,</w:t>
      </w:r>
      <w:r w:rsidRPr="009E1C58">
        <w:rPr>
          <w:spacing w:val="0"/>
          <w:w w:val="100"/>
        </w:rPr>
        <w:t xml:space="preserve"> и текст этого заявления </w:t>
      </w:r>
      <w:r w:rsidR="009E58AD">
        <w:rPr>
          <w:spacing w:val="0"/>
          <w:w w:val="100"/>
        </w:rPr>
        <w:t xml:space="preserve">был </w:t>
      </w:r>
      <w:r w:rsidRPr="009E1C58">
        <w:rPr>
          <w:spacing w:val="0"/>
          <w:w w:val="100"/>
        </w:rPr>
        <w:t>размещен на веб-сайте Комитета. Председатель также выступил с заявлением.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3.</w:t>
      </w:r>
      <w:r w:rsidRPr="009E1C58">
        <w:rPr>
          <w:spacing w:val="0"/>
          <w:w w:val="100"/>
        </w:rPr>
        <w:tab/>
        <w:t>Комитет рассмотрел и утвердил предварительную повестку дня и предварительную программу работы восемнадцатой сессии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/18/1).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7C15F3">
        <w:rPr>
          <w:spacing w:val="0"/>
          <w:w w:val="100"/>
        </w:rPr>
        <w:tab/>
      </w:r>
      <w:r w:rsidRPr="009E1C58">
        <w:rPr>
          <w:spacing w:val="0"/>
          <w:w w:val="100"/>
          <w:lang w:val="en-US"/>
        </w:rPr>
        <w:t>III</w:t>
      </w:r>
      <w:r w:rsidRPr="009E1C58">
        <w:rPr>
          <w:spacing w:val="0"/>
          <w:w w:val="100"/>
        </w:rPr>
        <w:t>.</w:t>
      </w:r>
      <w:r w:rsidRPr="009E1C58">
        <w:rPr>
          <w:spacing w:val="0"/>
          <w:w w:val="100"/>
        </w:rPr>
        <w:tab/>
        <w:t>Членский состав Комитета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4.</w:t>
      </w:r>
      <w:r w:rsidRPr="009E1C58">
        <w:rPr>
          <w:spacing w:val="0"/>
          <w:w w:val="100"/>
        </w:rPr>
        <w:tab/>
        <w:t xml:space="preserve">Список членов Комитета по состоянию на 31 августа 2017 года с указанием сроков их полномочий размещен на веб-сайте Комитета. 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7C15F3">
        <w:rPr>
          <w:spacing w:val="0"/>
          <w:w w:val="100"/>
        </w:rPr>
        <w:tab/>
      </w:r>
      <w:r w:rsidRPr="009E1C58">
        <w:rPr>
          <w:spacing w:val="0"/>
          <w:w w:val="100"/>
          <w:lang w:val="en-US"/>
        </w:rPr>
        <w:t>IV</w:t>
      </w:r>
      <w:r w:rsidRPr="009E1C58">
        <w:rPr>
          <w:spacing w:val="0"/>
          <w:w w:val="100"/>
        </w:rPr>
        <w:t>.</w:t>
      </w:r>
      <w:r w:rsidRPr="009E1C58">
        <w:rPr>
          <w:spacing w:val="0"/>
          <w:w w:val="100"/>
        </w:rPr>
        <w:tab/>
        <w:t>Методы работы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5.</w:t>
      </w:r>
      <w:r w:rsidRPr="009E1C58">
        <w:rPr>
          <w:spacing w:val="0"/>
          <w:w w:val="100"/>
        </w:rPr>
        <w:tab/>
        <w:t xml:space="preserve">Комитет обсудил различные вопросы, касающиеся методов его работы, и принял решения, изложенные в приложении </w:t>
      </w:r>
      <w:r w:rsidR="007C15F3">
        <w:rPr>
          <w:spacing w:val="0"/>
          <w:w w:val="100"/>
          <w:lang w:val="en-US"/>
        </w:rPr>
        <w:t>I</w:t>
      </w:r>
      <w:r w:rsidRPr="009E1C58">
        <w:rPr>
          <w:spacing w:val="0"/>
          <w:w w:val="100"/>
        </w:rPr>
        <w:t xml:space="preserve"> к настоящему докладу.</w:t>
      </w:r>
    </w:p>
    <w:p w:rsidR="009E1C58" w:rsidRPr="009E1C58" w:rsidRDefault="009E1C58" w:rsidP="007C15F3">
      <w:pPr>
        <w:pStyle w:val="HChGR"/>
        <w:pageBreakBefore/>
        <w:rPr>
          <w:spacing w:val="0"/>
          <w:w w:val="100"/>
        </w:rPr>
      </w:pPr>
      <w:r w:rsidRPr="007C15F3">
        <w:rPr>
          <w:spacing w:val="0"/>
          <w:w w:val="100"/>
        </w:rPr>
        <w:lastRenderedPageBreak/>
        <w:tab/>
      </w:r>
      <w:r w:rsidRPr="009E1C58">
        <w:rPr>
          <w:spacing w:val="0"/>
          <w:w w:val="100"/>
          <w:lang w:val="en-US"/>
        </w:rPr>
        <w:t>V</w:t>
      </w:r>
      <w:r w:rsidRPr="009E1C58">
        <w:rPr>
          <w:spacing w:val="0"/>
          <w:w w:val="100"/>
        </w:rPr>
        <w:t>.</w:t>
      </w:r>
      <w:r w:rsidRPr="009E1C58">
        <w:rPr>
          <w:spacing w:val="0"/>
          <w:w w:val="100"/>
        </w:rPr>
        <w:tab/>
        <w:t>Деятельность, связанная с замечаниями общего порядка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6.</w:t>
      </w:r>
      <w:r w:rsidRPr="009E1C58">
        <w:rPr>
          <w:spacing w:val="0"/>
          <w:w w:val="100"/>
        </w:rPr>
        <w:tab/>
        <w:t>Комитет рассмотрел доклад своей</w:t>
      </w:r>
      <w:r w:rsidR="009E58AD" w:rsidRPr="009E1C58">
        <w:rPr>
          <w:spacing w:val="0"/>
          <w:w w:val="100"/>
        </w:rPr>
        <w:t xml:space="preserve"> р</w:t>
      </w:r>
      <w:r w:rsidRPr="009E1C58">
        <w:rPr>
          <w:spacing w:val="0"/>
          <w:w w:val="100"/>
        </w:rPr>
        <w:t>абочей группы по вопросу о праве жить самостоятельно и быть вовлеченным в сообщество о ходе подготовки проекта замечания общего порядка по статье 19. Комитет принял на открытом заседании свое замечание общего порядка № 5 (2017) о самостоятельном образе жизни и вовлеченности в местное сообщество. Комитет провел в течение дня общую дискуссию по вопросу о праве инвалидов на равенство и недискриминацию, одобрил проект замечани</w:t>
      </w:r>
      <w:r w:rsidR="009E58AD">
        <w:rPr>
          <w:spacing w:val="0"/>
          <w:w w:val="100"/>
        </w:rPr>
        <w:t>я</w:t>
      </w:r>
      <w:r w:rsidRPr="009E1C58">
        <w:rPr>
          <w:spacing w:val="0"/>
          <w:w w:val="100"/>
        </w:rPr>
        <w:t xml:space="preserve"> общего порядка по статье 5 Конвенции и принял решение обратиться с призывом в отношении направления представлений по этому проекту.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9E58AD">
        <w:rPr>
          <w:spacing w:val="0"/>
          <w:w w:val="100"/>
        </w:rPr>
        <w:tab/>
      </w:r>
      <w:r w:rsidRPr="009E1C58">
        <w:rPr>
          <w:spacing w:val="0"/>
          <w:w w:val="100"/>
          <w:lang w:val="en-US"/>
        </w:rPr>
        <w:t>VI</w:t>
      </w:r>
      <w:r w:rsidRPr="009E1C58">
        <w:rPr>
          <w:spacing w:val="0"/>
          <w:w w:val="100"/>
        </w:rPr>
        <w:t>.</w:t>
      </w:r>
      <w:r w:rsidRPr="009E1C58">
        <w:rPr>
          <w:spacing w:val="0"/>
          <w:w w:val="100"/>
        </w:rPr>
        <w:tab/>
        <w:t>Деятельность, касающаяся Факультативного протокола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7.</w:t>
      </w:r>
      <w:r w:rsidRPr="009E1C58">
        <w:rPr>
          <w:spacing w:val="0"/>
          <w:w w:val="100"/>
        </w:rPr>
        <w:tab/>
        <w:t xml:space="preserve">18 августа Комитет рассмотрел четыре сообщения. </w:t>
      </w:r>
      <w:r w:rsidR="009E58AD">
        <w:rPr>
          <w:spacing w:val="0"/>
          <w:w w:val="100"/>
        </w:rPr>
        <w:t>Что касается сообщения № 22/2014 (</w:t>
      </w:r>
      <w:r w:rsidR="009E58AD" w:rsidRPr="009E58AD">
        <w:rPr>
          <w:i/>
          <w:spacing w:val="0"/>
          <w:w w:val="100"/>
        </w:rPr>
        <w:t>Х</w:t>
      </w:r>
      <w:r w:rsidR="007C15F3" w:rsidRPr="007C15F3">
        <w:rPr>
          <w:i/>
          <w:spacing w:val="0"/>
          <w:w w:val="100"/>
        </w:rPr>
        <w:t>.</w:t>
      </w:r>
      <w:r w:rsidR="009E58AD" w:rsidRPr="009E58AD">
        <w:rPr>
          <w:i/>
          <w:spacing w:val="0"/>
          <w:w w:val="100"/>
        </w:rPr>
        <w:t xml:space="preserve"> против Объединенной Республики Танзания</w:t>
      </w:r>
      <w:r w:rsidR="009E58AD">
        <w:rPr>
          <w:spacing w:val="0"/>
          <w:w w:val="100"/>
        </w:rPr>
        <w:t xml:space="preserve">), то Комитет пришел к выводу, что решения и действия государства-участника в отношении насильственных действий, которым подвергся автор, являющийся альбиносом, представляют собой нарушение статей 5, 15 и 17 в совокупности со статьей 4 Конвенции. </w:t>
      </w:r>
      <w:r w:rsidRPr="009E1C58">
        <w:rPr>
          <w:spacing w:val="0"/>
          <w:w w:val="100"/>
        </w:rPr>
        <w:t>Что касается сообщения № 30/2015 (</w:t>
      </w:r>
      <w:r w:rsidRPr="009E1C58">
        <w:rPr>
          <w:i/>
          <w:spacing w:val="0"/>
          <w:w w:val="100"/>
        </w:rPr>
        <w:t>Макаров против Литвы)</w:t>
      </w:r>
      <w:r w:rsidRPr="009E1C58">
        <w:rPr>
          <w:spacing w:val="0"/>
          <w:w w:val="100"/>
        </w:rPr>
        <w:t>, то Комитет пришел к выводу, что отказ</w:t>
      </w:r>
      <w:r w:rsidR="009E58AD">
        <w:rPr>
          <w:spacing w:val="0"/>
          <w:w w:val="100"/>
        </w:rPr>
        <w:t xml:space="preserve"> инвалиду</w:t>
      </w:r>
      <w:r w:rsidRPr="009E1C58">
        <w:rPr>
          <w:spacing w:val="0"/>
          <w:w w:val="100"/>
        </w:rPr>
        <w:t xml:space="preserve"> в разумном приспособлении и юридической поддержке, не позволивший ей принять участие в слушаниях</w:t>
      </w:r>
      <w:r w:rsidR="009E58AD">
        <w:rPr>
          <w:spacing w:val="0"/>
          <w:w w:val="100"/>
        </w:rPr>
        <w:t xml:space="preserve"> по</w:t>
      </w:r>
      <w:r w:rsidRPr="009E1C58">
        <w:rPr>
          <w:spacing w:val="0"/>
          <w:w w:val="100"/>
        </w:rPr>
        <w:t xml:space="preserve"> ее делу, представлял собой нарушение ее прав по статьям 12 (3), 13 (1) Конве</w:t>
      </w:r>
      <w:r w:rsidR="009E58AD">
        <w:rPr>
          <w:spacing w:val="0"/>
          <w:w w:val="100"/>
        </w:rPr>
        <w:t>нции. Комитет объявил сообщение № </w:t>
      </w:r>
      <w:r w:rsidRPr="009E1C58">
        <w:rPr>
          <w:spacing w:val="0"/>
          <w:w w:val="100"/>
        </w:rPr>
        <w:t>28/2015 (</w:t>
      </w:r>
      <w:r w:rsidRPr="009E1C58">
        <w:rPr>
          <w:i/>
          <w:spacing w:val="0"/>
          <w:w w:val="100"/>
        </w:rPr>
        <w:t>О.</w:t>
      </w:r>
      <w:r w:rsidR="009E58AD">
        <w:rPr>
          <w:i/>
          <w:spacing w:val="0"/>
          <w:w w:val="100"/>
        </w:rPr>
        <w:t>О.Дж</w:t>
      </w:r>
      <w:r w:rsidRPr="009E1C58">
        <w:rPr>
          <w:i/>
          <w:spacing w:val="0"/>
          <w:w w:val="100"/>
        </w:rPr>
        <w:t>. и др. против Швеции</w:t>
      </w:r>
      <w:r w:rsidRPr="009E1C58">
        <w:rPr>
          <w:spacing w:val="0"/>
          <w:w w:val="100"/>
        </w:rPr>
        <w:t>) неприемлемым по причине неисчерпания внутренних средств правовой защиты. Он также постановил прекратить рассмотрение сообщения № 16/2013 (</w:t>
      </w:r>
      <w:r w:rsidRPr="009E1C58">
        <w:rPr>
          <w:i/>
          <w:spacing w:val="0"/>
          <w:w w:val="100"/>
        </w:rPr>
        <w:t>Ри</w:t>
      </w:r>
      <w:r w:rsidR="009E58AD">
        <w:rPr>
          <w:i/>
          <w:spacing w:val="0"/>
          <w:w w:val="100"/>
        </w:rPr>
        <w:t>ч</w:t>
      </w:r>
      <w:r w:rsidRPr="009E1C58">
        <w:rPr>
          <w:i/>
          <w:spacing w:val="0"/>
          <w:w w:val="100"/>
        </w:rPr>
        <w:t>чи против Австралии</w:t>
      </w:r>
      <w:r w:rsidRPr="009E1C58">
        <w:rPr>
          <w:spacing w:val="0"/>
          <w:w w:val="100"/>
        </w:rPr>
        <w:t>), поскольку предмет жалобы заявителя утратил смысл после того, как автор получил социальную поддержку и жиль</w:t>
      </w:r>
      <w:r w:rsidR="009E58AD">
        <w:rPr>
          <w:spacing w:val="0"/>
          <w:w w:val="100"/>
        </w:rPr>
        <w:t>е</w:t>
      </w:r>
      <w:r w:rsidRPr="009E1C58">
        <w:rPr>
          <w:spacing w:val="0"/>
          <w:w w:val="100"/>
        </w:rPr>
        <w:t>, в которых он нуждался.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8.</w:t>
      </w:r>
      <w:r w:rsidRPr="009E1C58">
        <w:rPr>
          <w:spacing w:val="0"/>
          <w:w w:val="100"/>
        </w:rPr>
        <w:tab/>
        <w:t xml:space="preserve">31 августа Комитет утвердил доклад Специального докладчика по новым сообщениям о жалобах, полученных после семнадцатой сессии, и </w:t>
      </w:r>
      <w:r w:rsidR="009E58AD">
        <w:rPr>
          <w:spacing w:val="0"/>
          <w:w w:val="100"/>
        </w:rPr>
        <w:t>состоянии</w:t>
      </w:r>
      <w:r w:rsidRPr="009E1C58">
        <w:rPr>
          <w:spacing w:val="0"/>
          <w:w w:val="100"/>
        </w:rPr>
        <w:t xml:space="preserve"> зарегистрированных сообщений. 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9.</w:t>
      </w:r>
      <w:r w:rsidRPr="009E1C58">
        <w:rPr>
          <w:spacing w:val="0"/>
          <w:w w:val="100"/>
        </w:rPr>
        <w:tab/>
        <w:t>Комитет рассмотрел вопросы, касающиеся процесса проведения расследований в соответствии со статьями 6 и 7 Факультативного протокола.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9E58AD">
        <w:rPr>
          <w:spacing w:val="0"/>
          <w:w w:val="100"/>
        </w:rPr>
        <w:tab/>
      </w:r>
      <w:r w:rsidRPr="009E1C58">
        <w:rPr>
          <w:spacing w:val="0"/>
          <w:w w:val="100"/>
          <w:lang w:val="en-US"/>
        </w:rPr>
        <w:t>VII</w:t>
      </w:r>
      <w:r w:rsidRPr="009E1C58">
        <w:rPr>
          <w:spacing w:val="0"/>
          <w:w w:val="100"/>
        </w:rPr>
        <w:t>.</w:t>
      </w:r>
      <w:r w:rsidRPr="009E1C58">
        <w:rPr>
          <w:spacing w:val="0"/>
          <w:w w:val="100"/>
        </w:rPr>
        <w:tab/>
        <w:t>Прочие решения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10.</w:t>
      </w:r>
      <w:r w:rsidRPr="009E1C58">
        <w:rPr>
          <w:spacing w:val="0"/>
          <w:w w:val="100"/>
        </w:rPr>
        <w:tab/>
        <w:t>Комитет принял настоящий доклад о работе его восемнадцатой сессии.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11.</w:t>
      </w:r>
      <w:r w:rsidRPr="009E1C58">
        <w:rPr>
          <w:spacing w:val="0"/>
          <w:w w:val="100"/>
        </w:rPr>
        <w:tab/>
        <w:t xml:space="preserve">Полный перечень принятых Комитетом решений содержится в приложении </w:t>
      </w:r>
      <w:r w:rsidRPr="009E1C58">
        <w:rPr>
          <w:spacing w:val="0"/>
          <w:w w:val="100"/>
          <w:lang w:val="en-US"/>
        </w:rPr>
        <w:t>I</w:t>
      </w:r>
      <w:r w:rsidRPr="009E1C58">
        <w:rPr>
          <w:spacing w:val="0"/>
          <w:w w:val="100"/>
        </w:rPr>
        <w:t xml:space="preserve"> к настоящему докладу. 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7C15F3">
        <w:rPr>
          <w:spacing w:val="0"/>
          <w:w w:val="100"/>
        </w:rPr>
        <w:tab/>
      </w:r>
      <w:r w:rsidRPr="009E1C58">
        <w:rPr>
          <w:spacing w:val="0"/>
          <w:w w:val="100"/>
          <w:lang w:val="en-US"/>
        </w:rPr>
        <w:t>VIII</w:t>
      </w:r>
      <w:r w:rsidRPr="009E1C58">
        <w:rPr>
          <w:spacing w:val="0"/>
          <w:w w:val="100"/>
        </w:rPr>
        <w:t>.</w:t>
      </w:r>
      <w:r w:rsidRPr="009E1C58">
        <w:rPr>
          <w:spacing w:val="0"/>
          <w:w w:val="100"/>
        </w:rPr>
        <w:tab/>
        <w:t>Будущие сессии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12.</w:t>
      </w:r>
      <w:r w:rsidRPr="009E1C58">
        <w:rPr>
          <w:spacing w:val="0"/>
          <w:w w:val="100"/>
        </w:rPr>
        <w:tab/>
        <w:t>Девятнадцатую сессию Комитета намечено про</w:t>
      </w:r>
      <w:r w:rsidR="009E58AD">
        <w:rPr>
          <w:spacing w:val="0"/>
          <w:w w:val="100"/>
        </w:rPr>
        <w:t>вести 14 февраля – 9 марта 2018 </w:t>
      </w:r>
      <w:r w:rsidRPr="009E1C58">
        <w:rPr>
          <w:spacing w:val="0"/>
          <w:w w:val="100"/>
        </w:rPr>
        <w:t xml:space="preserve">года, после которой 12–16 марта 2018 года состоится девятое совещание </w:t>
      </w:r>
      <w:r w:rsidR="009E58AD" w:rsidRPr="009E1C58">
        <w:rPr>
          <w:spacing w:val="0"/>
          <w:w w:val="100"/>
        </w:rPr>
        <w:t>п</w:t>
      </w:r>
      <w:r w:rsidRPr="009E1C58">
        <w:rPr>
          <w:spacing w:val="0"/>
          <w:w w:val="100"/>
        </w:rPr>
        <w:t xml:space="preserve">редсессионной рабочей группы. 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9E58AD">
        <w:rPr>
          <w:spacing w:val="0"/>
          <w:w w:val="100"/>
        </w:rPr>
        <w:tab/>
      </w:r>
      <w:r w:rsidRPr="009E1C58">
        <w:rPr>
          <w:spacing w:val="0"/>
          <w:w w:val="100"/>
          <w:lang w:val="en-US"/>
        </w:rPr>
        <w:t>IX</w:t>
      </w:r>
      <w:r w:rsidRPr="009E1C58">
        <w:rPr>
          <w:spacing w:val="0"/>
          <w:w w:val="100"/>
        </w:rPr>
        <w:t>.</w:t>
      </w:r>
      <w:r w:rsidRPr="009E1C58">
        <w:rPr>
          <w:spacing w:val="0"/>
          <w:w w:val="100"/>
        </w:rPr>
        <w:tab/>
        <w:t>Доступность заседаний Комитета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13.</w:t>
      </w:r>
      <w:r w:rsidRPr="009E1C58">
        <w:rPr>
          <w:spacing w:val="0"/>
          <w:w w:val="100"/>
        </w:rPr>
        <w:tab/>
        <w:t xml:space="preserve">На всех официальных открытых заседаниях и одном закрытом заседании было обеспечено субтитрирование, чему поспособствовали организации инвалидов. </w:t>
      </w:r>
      <w:r w:rsidR="002C728A">
        <w:rPr>
          <w:spacing w:val="0"/>
          <w:w w:val="100"/>
        </w:rPr>
        <w:t>На </w:t>
      </w:r>
      <w:r w:rsidRPr="009E1C58">
        <w:rPr>
          <w:spacing w:val="0"/>
          <w:w w:val="100"/>
        </w:rPr>
        <w:t xml:space="preserve">открытых заседаниях был обеспечен сурдоперевод на международный язык глухонемых. Во время диалога с четырьмя государствами – участниками Конвенции осуществлялся перевод на национальный язык жестов. На всех открытых и закрытых заседаниях осуществлялся перевод на русский язык жестов. </w:t>
      </w:r>
      <w:r w:rsidR="009E58AD">
        <w:rPr>
          <w:spacing w:val="0"/>
          <w:w w:val="100"/>
        </w:rPr>
        <w:t xml:space="preserve">Была обеспечена </w:t>
      </w:r>
      <w:r w:rsidR="009E58AD">
        <w:rPr>
          <w:spacing w:val="0"/>
          <w:w w:val="100"/>
        </w:rPr>
        <w:lastRenderedPageBreak/>
        <w:t xml:space="preserve">трансляция выступлений на открытых заседаниях. Индукционная петля </w:t>
      </w:r>
      <w:r w:rsidRPr="009E1C58">
        <w:rPr>
          <w:spacing w:val="0"/>
          <w:w w:val="100"/>
        </w:rPr>
        <w:t>на сессии не использовалась.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9E58AD">
        <w:rPr>
          <w:spacing w:val="0"/>
          <w:w w:val="100"/>
        </w:rPr>
        <w:tab/>
      </w:r>
      <w:r w:rsidRPr="009E1C58">
        <w:rPr>
          <w:spacing w:val="0"/>
          <w:w w:val="100"/>
          <w:lang w:val="en-US"/>
        </w:rPr>
        <w:t>X</w:t>
      </w:r>
      <w:r w:rsidRPr="009E1C58">
        <w:rPr>
          <w:spacing w:val="0"/>
          <w:w w:val="100"/>
        </w:rPr>
        <w:t>.</w:t>
      </w:r>
      <w:r w:rsidRPr="009E1C58">
        <w:rPr>
          <w:spacing w:val="0"/>
          <w:w w:val="100"/>
        </w:rPr>
        <w:tab/>
        <w:t>Сотрудничество с соответствующими органами</w:t>
      </w:r>
    </w:p>
    <w:p w:rsidR="009E1C58" w:rsidRPr="009E1C58" w:rsidRDefault="009E1C58" w:rsidP="009E1C58">
      <w:pPr>
        <w:pStyle w:val="H1GR"/>
        <w:rPr>
          <w:spacing w:val="0"/>
          <w:w w:val="100"/>
        </w:rPr>
      </w:pPr>
      <w:r w:rsidRPr="009E1C58">
        <w:rPr>
          <w:spacing w:val="0"/>
          <w:w w:val="100"/>
        </w:rPr>
        <w:tab/>
        <w:t>А.</w:t>
      </w:r>
      <w:r w:rsidRPr="009E1C58">
        <w:rPr>
          <w:spacing w:val="0"/>
          <w:w w:val="100"/>
        </w:rPr>
        <w:tab/>
        <w:t>Сотрудничество с органами и специализированными учреждениями Организации Объединенных Наций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14.</w:t>
      </w:r>
      <w:r w:rsidRPr="009E1C58">
        <w:rPr>
          <w:spacing w:val="0"/>
          <w:w w:val="100"/>
        </w:rPr>
        <w:tab/>
        <w:t xml:space="preserve">На заседании, посвященном открытию сессии, </w:t>
      </w:r>
      <w:r w:rsidR="009E58AD">
        <w:rPr>
          <w:spacing w:val="0"/>
          <w:w w:val="100"/>
        </w:rPr>
        <w:t xml:space="preserve">с </w:t>
      </w:r>
      <w:r w:rsidRPr="009E1C58">
        <w:rPr>
          <w:spacing w:val="0"/>
          <w:w w:val="100"/>
        </w:rPr>
        <w:t>заявления</w:t>
      </w:r>
      <w:r w:rsidR="009E58AD">
        <w:rPr>
          <w:spacing w:val="0"/>
          <w:w w:val="100"/>
        </w:rPr>
        <w:t>ми</w:t>
      </w:r>
      <w:r w:rsidRPr="009E1C58">
        <w:rPr>
          <w:spacing w:val="0"/>
          <w:w w:val="100"/>
        </w:rPr>
        <w:t xml:space="preserve"> выступили представители следующих учреждений</w:t>
      </w:r>
      <w:r w:rsidR="009E58AD">
        <w:rPr>
          <w:spacing w:val="0"/>
          <w:w w:val="100"/>
        </w:rPr>
        <w:t>,</w:t>
      </w:r>
      <w:r w:rsidRPr="009E1C58">
        <w:rPr>
          <w:spacing w:val="0"/>
          <w:w w:val="100"/>
        </w:rPr>
        <w:t xml:space="preserve"> департаментов и программ Организации Объединенных Наций: УВКПЧ, Управления Верховного комиссара Организации Объединенных Наций по делам беженцев, Детского фонда Организации Объединенных Наций, Всемирной организации здравоохранения и Всемирной организации интеллектуальной собственности. 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15.</w:t>
      </w:r>
      <w:r w:rsidRPr="009E1C58">
        <w:rPr>
          <w:spacing w:val="0"/>
          <w:w w:val="100"/>
        </w:rPr>
        <w:tab/>
        <w:t xml:space="preserve">Президиум Комитета провел встречу со Специальным докладчиком по вопросу о правах инвалидов для обсуждения вопросов, касающихся координации мандата Специального докладчика с мандатом Комитета. </w:t>
      </w:r>
    </w:p>
    <w:p w:rsidR="009E1C58" w:rsidRPr="009E1C58" w:rsidRDefault="009E1C58" w:rsidP="009E1C58">
      <w:pPr>
        <w:pStyle w:val="H1GR"/>
        <w:rPr>
          <w:spacing w:val="0"/>
          <w:w w:val="100"/>
        </w:rPr>
      </w:pPr>
      <w:r w:rsidRPr="009E1C58">
        <w:rPr>
          <w:spacing w:val="0"/>
          <w:w w:val="100"/>
        </w:rPr>
        <w:tab/>
        <w:t>В.</w:t>
      </w:r>
      <w:r w:rsidRPr="009E1C58">
        <w:rPr>
          <w:spacing w:val="0"/>
          <w:w w:val="100"/>
        </w:rPr>
        <w:tab/>
        <w:t>Сотрудничество с неправительственными организациями и другими органами</w:t>
      </w:r>
    </w:p>
    <w:p w:rsidR="009E58AD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16.</w:t>
      </w:r>
      <w:r w:rsidRPr="009E1C58">
        <w:rPr>
          <w:spacing w:val="0"/>
          <w:w w:val="100"/>
        </w:rPr>
        <w:tab/>
        <w:t>Перед Комитетом выступили представители Глобального альянса национальных учреждени</w:t>
      </w:r>
      <w:r w:rsidR="009E58AD">
        <w:rPr>
          <w:spacing w:val="0"/>
          <w:w w:val="100"/>
        </w:rPr>
        <w:t>й</w:t>
      </w:r>
      <w:r w:rsidRPr="009E1C58">
        <w:rPr>
          <w:spacing w:val="0"/>
          <w:w w:val="100"/>
        </w:rPr>
        <w:t xml:space="preserve"> по правам человека, Международного комитета Красного Креста, Глобальной </w:t>
      </w:r>
      <w:r w:rsidR="009E58AD">
        <w:rPr>
          <w:spacing w:val="0"/>
          <w:w w:val="100"/>
        </w:rPr>
        <w:t>инициативы за инклюзивны</w:t>
      </w:r>
      <w:r w:rsidRPr="009E1C58">
        <w:rPr>
          <w:spacing w:val="0"/>
          <w:w w:val="100"/>
        </w:rPr>
        <w:t xml:space="preserve">е информационно-коммуникационные технологии, Международного союза инвалидов, Всемирного союза слепых и организаций инвалидов из разных стран, </w:t>
      </w:r>
      <w:r w:rsidR="009E58AD">
        <w:rPr>
          <w:spacing w:val="0"/>
          <w:w w:val="100"/>
        </w:rPr>
        <w:t xml:space="preserve">доклады которых были </w:t>
      </w:r>
      <w:r w:rsidRPr="009E1C58">
        <w:rPr>
          <w:spacing w:val="0"/>
          <w:w w:val="100"/>
        </w:rPr>
        <w:t xml:space="preserve">рассмотрены Комитетом в ходе сессии. </w:t>
      </w:r>
    </w:p>
    <w:p w:rsidR="009E1C58" w:rsidRPr="009E1C58" w:rsidRDefault="009E58AD" w:rsidP="009E1C58">
      <w:pPr>
        <w:pStyle w:val="SingleTxtGR"/>
        <w:suppressAutoHyphens/>
        <w:rPr>
          <w:spacing w:val="0"/>
          <w:w w:val="100"/>
        </w:rPr>
      </w:pPr>
      <w:r>
        <w:rPr>
          <w:spacing w:val="0"/>
          <w:w w:val="100"/>
        </w:rPr>
        <w:t>17.</w:t>
      </w:r>
      <w:r>
        <w:rPr>
          <w:spacing w:val="0"/>
          <w:w w:val="100"/>
        </w:rPr>
        <w:tab/>
      </w:r>
      <w:r w:rsidR="009E1C58" w:rsidRPr="009E1C58">
        <w:rPr>
          <w:spacing w:val="0"/>
          <w:w w:val="100"/>
        </w:rPr>
        <w:t xml:space="preserve">Глобальный альянс национальных учреждений по правам человека и Международный союз </w:t>
      </w:r>
      <w:r>
        <w:rPr>
          <w:spacing w:val="0"/>
          <w:w w:val="100"/>
        </w:rPr>
        <w:t xml:space="preserve">инвалидов </w:t>
      </w:r>
      <w:r w:rsidR="009E1C58" w:rsidRPr="009E1C58">
        <w:rPr>
          <w:spacing w:val="0"/>
          <w:w w:val="100"/>
        </w:rPr>
        <w:t xml:space="preserve">организовали тематическое параллельное </w:t>
      </w:r>
      <w:r>
        <w:rPr>
          <w:spacing w:val="0"/>
          <w:w w:val="100"/>
        </w:rPr>
        <w:t>мероприятие</w:t>
      </w:r>
      <w:r w:rsidR="009E1C58" w:rsidRPr="009E1C58">
        <w:rPr>
          <w:spacing w:val="0"/>
          <w:w w:val="100"/>
        </w:rPr>
        <w:t xml:space="preserve"> по вопросу о взаимосвязи между правом на </w:t>
      </w:r>
      <w:r>
        <w:rPr>
          <w:spacing w:val="0"/>
          <w:w w:val="100"/>
        </w:rPr>
        <w:t>равенство</w:t>
      </w:r>
      <w:r w:rsidR="009E1C58" w:rsidRPr="009E1C58">
        <w:rPr>
          <w:spacing w:val="0"/>
          <w:w w:val="100"/>
        </w:rPr>
        <w:t xml:space="preserve"> и недискриминацию и </w:t>
      </w:r>
      <w:r w:rsidRPr="009E1C58">
        <w:rPr>
          <w:spacing w:val="0"/>
          <w:w w:val="100"/>
        </w:rPr>
        <w:t>П</w:t>
      </w:r>
      <w:r w:rsidR="009E1C58" w:rsidRPr="009E1C58">
        <w:rPr>
          <w:spacing w:val="0"/>
          <w:w w:val="100"/>
        </w:rPr>
        <w:t>овесткой дня в области устойчивого развити</w:t>
      </w:r>
      <w:r>
        <w:rPr>
          <w:spacing w:val="0"/>
          <w:w w:val="100"/>
        </w:rPr>
        <w:t>я на период до 2030 </w:t>
      </w:r>
      <w:r w:rsidR="009E1C58" w:rsidRPr="009E1C58">
        <w:rPr>
          <w:spacing w:val="0"/>
          <w:w w:val="100"/>
        </w:rPr>
        <w:t xml:space="preserve">года и </w:t>
      </w:r>
      <w:r w:rsidRPr="009E1C58">
        <w:rPr>
          <w:spacing w:val="0"/>
          <w:w w:val="100"/>
        </w:rPr>
        <w:t>Ц</w:t>
      </w:r>
      <w:r w:rsidR="009E1C58" w:rsidRPr="009E1C58">
        <w:rPr>
          <w:spacing w:val="0"/>
          <w:w w:val="100"/>
        </w:rPr>
        <w:t xml:space="preserve">елями в области устойчивого развития. 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9E58AD">
        <w:rPr>
          <w:spacing w:val="0"/>
          <w:w w:val="100"/>
        </w:rPr>
        <w:tab/>
      </w:r>
      <w:r w:rsidRPr="009E1C58">
        <w:rPr>
          <w:spacing w:val="0"/>
          <w:w w:val="100"/>
          <w:lang w:val="en-US"/>
        </w:rPr>
        <w:t>XI</w:t>
      </w:r>
      <w:r w:rsidRPr="009E1C58">
        <w:rPr>
          <w:spacing w:val="0"/>
          <w:w w:val="100"/>
        </w:rPr>
        <w:t>.</w:t>
      </w:r>
      <w:r w:rsidRPr="009E1C58">
        <w:rPr>
          <w:spacing w:val="0"/>
          <w:w w:val="100"/>
        </w:rPr>
        <w:tab/>
        <w:t>Рассмотрение докладов, представленных в соответствии со статьей 35 Конвенции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18.</w:t>
      </w:r>
      <w:r w:rsidRPr="009E1C58">
        <w:rPr>
          <w:spacing w:val="0"/>
          <w:w w:val="100"/>
        </w:rPr>
        <w:tab/>
        <w:t>Комитет рассмотрел первоначальны</w:t>
      </w:r>
      <w:r w:rsidR="009E58AD">
        <w:rPr>
          <w:spacing w:val="0"/>
          <w:w w:val="100"/>
        </w:rPr>
        <w:t>е</w:t>
      </w:r>
      <w:r w:rsidRPr="009E1C58">
        <w:rPr>
          <w:spacing w:val="0"/>
          <w:w w:val="100"/>
        </w:rPr>
        <w:t xml:space="preserve"> доклад</w:t>
      </w:r>
      <w:r w:rsidR="009E58AD">
        <w:rPr>
          <w:spacing w:val="0"/>
          <w:w w:val="100"/>
        </w:rPr>
        <w:t>ы</w:t>
      </w:r>
      <w:r w:rsidRPr="009E1C58">
        <w:rPr>
          <w:spacing w:val="0"/>
          <w:w w:val="100"/>
        </w:rPr>
        <w:t xml:space="preserve"> Латвии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LVA</w:t>
      </w:r>
      <w:r w:rsidRPr="009E1C58">
        <w:rPr>
          <w:spacing w:val="0"/>
          <w:w w:val="100"/>
        </w:rPr>
        <w:t>/1), Люксембурга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LUX</w:t>
      </w:r>
      <w:r w:rsidRPr="009E1C58">
        <w:rPr>
          <w:spacing w:val="0"/>
          <w:w w:val="100"/>
        </w:rPr>
        <w:t>/1), Марокко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MAR</w:t>
      </w:r>
      <w:r w:rsidRPr="009E1C58">
        <w:rPr>
          <w:spacing w:val="0"/>
          <w:w w:val="100"/>
        </w:rPr>
        <w:t>/1), Панамы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PAN</w:t>
      </w:r>
      <w:r w:rsidRPr="009E1C58">
        <w:rPr>
          <w:spacing w:val="0"/>
          <w:w w:val="100"/>
        </w:rPr>
        <w:t>/1), Соединенного Королевства Великобритании и Северной Ирландии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GBR</w:t>
      </w:r>
      <w:r w:rsidRPr="009E1C58">
        <w:rPr>
          <w:spacing w:val="0"/>
          <w:w w:val="100"/>
        </w:rPr>
        <w:t>/1) и Черногории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MNE</w:t>
      </w:r>
      <w:r w:rsidRPr="009E1C58">
        <w:rPr>
          <w:spacing w:val="0"/>
          <w:w w:val="100"/>
        </w:rPr>
        <w:t>/1). Комитет принял по этим докладам заключительные замечания, которые размещены на веб-сайте Комитета.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19.</w:t>
      </w:r>
      <w:r w:rsidRPr="009E1C58">
        <w:rPr>
          <w:spacing w:val="0"/>
          <w:w w:val="100"/>
        </w:rPr>
        <w:tab/>
        <w:t>Комитет принял перечни вопросов в рамках упрощенной процедуры представления докладов в отношении Аргентины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ARG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QPR</w:t>
      </w:r>
      <w:r w:rsidRPr="009E1C58">
        <w:rPr>
          <w:spacing w:val="0"/>
          <w:w w:val="100"/>
        </w:rPr>
        <w:t>/2-3), Австралии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AUS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QPR</w:t>
      </w:r>
      <w:r w:rsidRPr="009E1C58">
        <w:rPr>
          <w:spacing w:val="0"/>
          <w:w w:val="100"/>
        </w:rPr>
        <w:t>/2-3), Туниса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TUN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QPR</w:t>
      </w:r>
      <w:r w:rsidRPr="009E1C58">
        <w:rPr>
          <w:spacing w:val="0"/>
          <w:w w:val="100"/>
        </w:rPr>
        <w:t>/2-3) и Эквадора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ECU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QPR</w:t>
      </w:r>
      <w:r w:rsidRPr="009E1C58">
        <w:rPr>
          <w:spacing w:val="0"/>
          <w:w w:val="100"/>
        </w:rPr>
        <w:t>/2-3).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7C15F3">
        <w:rPr>
          <w:spacing w:val="0"/>
          <w:w w:val="100"/>
        </w:rPr>
        <w:tab/>
      </w:r>
      <w:r w:rsidRPr="009E1C58">
        <w:rPr>
          <w:spacing w:val="0"/>
          <w:w w:val="100"/>
          <w:lang w:val="en-US"/>
        </w:rPr>
        <w:t>XII</w:t>
      </w:r>
      <w:r w:rsidRPr="009E1C58">
        <w:rPr>
          <w:spacing w:val="0"/>
          <w:w w:val="100"/>
        </w:rPr>
        <w:t>.</w:t>
      </w:r>
      <w:r w:rsidRPr="009E1C58">
        <w:rPr>
          <w:spacing w:val="0"/>
          <w:w w:val="100"/>
        </w:rPr>
        <w:tab/>
        <w:t>Конференция государств – участников Конвенции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20.</w:t>
      </w:r>
      <w:r w:rsidRPr="009E1C58">
        <w:rPr>
          <w:spacing w:val="0"/>
          <w:w w:val="100"/>
        </w:rPr>
        <w:tab/>
        <w:t>Комитет подтвердил, что на одиннадцатой сессии Конференции государств – участников Конвенции его будут представлять Председатель и один из его заместителей.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br w:type="page"/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9E1C58">
        <w:rPr>
          <w:spacing w:val="0"/>
          <w:w w:val="100"/>
        </w:rPr>
        <w:lastRenderedPageBreak/>
        <w:t xml:space="preserve">Приложение </w:t>
      </w:r>
      <w:r w:rsidRPr="009E1C58">
        <w:rPr>
          <w:spacing w:val="0"/>
          <w:w w:val="100"/>
          <w:lang w:val="en-US"/>
        </w:rPr>
        <w:t>I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9E1C58">
        <w:rPr>
          <w:spacing w:val="0"/>
          <w:w w:val="100"/>
        </w:rPr>
        <w:tab/>
      </w:r>
      <w:r w:rsidRPr="009E1C58">
        <w:rPr>
          <w:spacing w:val="0"/>
          <w:w w:val="100"/>
        </w:rPr>
        <w:tab/>
        <w:t>Решени</w:t>
      </w:r>
      <w:r w:rsidR="00A54937">
        <w:rPr>
          <w:spacing w:val="0"/>
          <w:w w:val="100"/>
        </w:rPr>
        <w:t>я</w:t>
      </w:r>
      <w:r w:rsidRPr="009E1C58">
        <w:rPr>
          <w:spacing w:val="0"/>
          <w:w w:val="100"/>
        </w:rPr>
        <w:t>, принят</w:t>
      </w:r>
      <w:r w:rsidR="00A54937">
        <w:rPr>
          <w:spacing w:val="0"/>
          <w:w w:val="100"/>
        </w:rPr>
        <w:t>ы</w:t>
      </w:r>
      <w:r w:rsidRPr="009E1C58">
        <w:rPr>
          <w:spacing w:val="0"/>
          <w:w w:val="100"/>
        </w:rPr>
        <w:t>е Комитетом на его восемнадцатой сессии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1.</w:t>
      </w:r>
      <w:r w:rsidRPr="009E1C58">
        <w:rPr>
          <w:spacing w:val="0"/>
          <w:w w:val="100"/>
        </w:rPr>
        <w:tab/>
        <w:t>Комитет принял заключительные замечания по первоначальным докладам следующих стран: Латвии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LVA</w:t>
      </w:r>
      <w:r w:rsidRPr="009E1C58">
        <w:rPr>
          <w:spacing w:val="0"/>
          <w:w w:val="100"/>
        </w:rPr>
        <w:t>/1), Люксембурга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LUX</w:t>
      </w:r>
      <w:r w:rsidRPr="009E1C58">
        <w:rPr>
          <w:spacing w:val="0"/>
          <w:w w:val="100"/>
        </w:rPr>
        <w:t>/1), Марокко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MAR</w:t>
      </w:r>
      <w:r w:rsidRPr="009E1C58">
        <w:rPr>
          <w:spacing w:val="0"/>
          <w:w w:val="100"/>
        </w:rPr>
        <w:t>/1), Панамы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PAN</w:t>
      </w:r>
      <w:r w:rsidRPr="009E1C58">
        <w:rPr>
          <w:spacing w:val="0"/>
          <w:w w:val="100"/>
        </w:rPr>
        <w:t>/1) Соединенного Королевства Великобритании и Северной Ирландии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GBR</w:t>
      </w:r>
      <w:r w:rsidRPr="009E1C58">
        <w:rPr>
          <w:spacing w:val="0"/>
          <w:w w:val="100"/>
        </w:rPr>
        <w:t>/1) и Черногории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MNE</w:t>
      </w:r>
      <w:r w:rsidRPr="009E1C58">
        <w:rPr>
          <w:spacing w:val="0"/>
          <w:w w:val="100"/>
        </w:rPr>
        <w:t xml:space="preserve">/1). 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2.</w:t>
      </w:r>
      <w:r w:rsidRPr="009E1C58">
        <w:rPr>
          <w:spacing w:val="0"/>
          <w:w w:val="100"/>
        </w:rPr>
        <w:tab/>
        <w:t>Комитет принял перечни вопросов в рамках упрощенной процедуры представления докладов в отношении следующих стран: Австралии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AUS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QPR</w:t>
      </w:r>
      <w:r w:rsidRPr="009E1C58">
        <w:rPr>
          <w:spacing w:val="0"/>
          <w:w w:val="100"/>
        </w:rPr>
        <w:t>/2-3), Аргентины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ARG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QPR</w:t>
      </w:r>
      <w:r w:rsidRPr="009E1C58">
        <w:rPr>
          <w:spacing w:val="0"/>
          <w:w w:val="100"/>
        </w:rPr>
        <w:t>/2-3), Туниса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TUN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QPR</w:t>
      </w:r>
      <w:r w:rsidRPr="009E1C58">
        <w:rPr>
          <w:spacing w:val="0"/>
          <w:w w:val="100"/>
        </w:rPr>
        <w:t>/2-3) и Эквадора (</w:t>
      </w:r>
      <w:r w:rsidRPr="009E1C58">
        <w:rPr>
          <w:spacing w:val="0"/>
          <w:w w:val="100"/>
          <w:lang w:val="en-GB"/>
        </w:rPr>
        <w:t>CRPD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C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ECU</w:t>
      </w:r>
      <w:r w:rsidRPr="009E1C58">
        <w:rPr>
          <w:spacing w:val="0"/>
          <w:w w:val="100"/>
        </w:rPr>
        <w:t>/</w:t>
      </w:r>
      <w:r w:rsidRPr="009E1C58">
        <w:rPr>
          <w:spacing w:val="0"/>
          <w:w w:val="100"/>
          <w:lang w:val="en-GB"/>
        </w:rPr>
        <w:t>QPR</w:t>
      </w:r>
      <w:r w:rsidRPr="009E1C58">
        <w:rPr>
          <w:spacing w:val="0"/>
          <w:w w:val="100"/>
        </w:rPr>
        <w:t>/2-3).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3.</w:t>
      </w:r>
      <w:r w:rsidRPr="009E1C58">
        <w:rPr>
          <w:spacing w:val="0"/>
          <w:w w:val="100"/>
        </w:rPr>
        <w:tab/>
        <w:t xml:space="preserve">Комитет рассмотрел вопросы, касающиеся его процедур представления сообщений и проведения расследований согласно статьям 6 и 7 Факультативного протокола. Комитет рассмотрел четыре сообщения. </w:t>
      </w:r>
      <w:r w:rsidR="00A54937">
        <w:rPr>
          <w:spacing w:val="0"/>
          <w:w w:val="100"/>
        </w:rPr>
        <w:t>В двух из них он усмотрел нарушения</w:t>
      </w:r>
      <w:r w:rsidRPr="009E1C58">
        <w:rPr>
          <w:spacing w:val="0"/>
          <w:w w:val="100"/>
        </w:rPr>
        <w:t xml:space="preserve">. Резюме соображений и решений Комитета содержится в приложении </w:t>
      </w:r>
      <w:r w:rsidRPr="009E1C58">
        <w:rPr>
          <w:spacing w:val="0"/>
          <w:w w:val="100"/>
          <w:lang w:val="en-US"/>
        </w:rPr>
        <w:t>II</w:t>
      </w:r>
      <w:r w:rsidRPr="009E1C58">
        <w:rPr>
          <w:spacing w:val="0"/>
          <w:w w:val="100"/>
        </w:rPr>
        <w:t xml:space="preserve"> к настоящему докладу. 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4.</w:t>
      </w:r>
      <w:r w:rsidRPr="009E1C58">
        <w:rPr>
          <w:spacing w:val="0"/>
          <w:w w:val="100"/>
        </w:rPr>
        <w:tab/>
        <w:t>Комитет принял свое замечание общего порядка № 5 (2017) о самостоятельном образе жизни и вовлеченности в местное сообщество.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5.</w:t>
      </w:r>
      <w:r w:rsidRPr="009E1C58">
        <w:rPr>
          <w:spacing w:val="0"/>
          <w:w w:val="100"/>
        </w:rPr>
        <w:tab/>
        <w:t>25 августа 2017 года Комитет организовал день общей дискуссии по статье 5 Конвенции о недискриминации. Он одобрил также проект замечани</w:t>
      </w:r>
      <w:r w:rsidR="00A54937">
        <w:rPr>
          <w:spacing w:val="0"/>
          <w:w w:val="100"/>
        </w:rPr>
        <w:t>я</w:t>
      </w:r>
      <w:r w:rsidRPr="009E1C58">
        <w:rPr>
          <w:spacing w:val="0"/>
          <w:w w:val="100"/>
        </w:rPr>
        <w:t xml:space="preserve"> общего порядка по статье 5 и решил обратиться с призывом ко всем заинтересованным сторонам о представлении материалов. Крайним сроком представления материалов было установлено 15 ноября 2017 года. 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6.</w:t>
      </w:r>
      <w:r w:rsidRPr="009E1C58">
        <w:rPr>
          <w:spacing w:val="0"/>
          <w:w w:val="100"/>
        </w:rPr>
        <w:tab/>
        <w:t>Что касается стран, доклады которых должны быть рассмотрены на девятнадцатой сессии, и докладчиков по странам, то Комитет постановил рассмотреть доклады следующих стран: Гаити (Кумаравел Пьянеанди), Непал (</w:t>
      </w:r>
      <w:r w:rsidR="00A54937" w:rsidRPr="009E1C58">
        <w:rPr>
          <w:spacing w:val="0"/>
          <w:w w:val="100"/>
        </w:rPr>
        <w:t xml:space="preserve">Ким </w:t>
      </w:r>
      <w:r w:rsidRPr="009E1C58">
        <w:rPr>
          <w:spacing w:val="0"/>
          <w:w w:val="100"/>
        </w:rPr>
        <w:t>Хюн</w:t>
      </w:r>
      <w:r w:rsidR="00A54937">
        <w:rPr>
          <w:spacing w:val="0"/>
          <w:w w:val="100"/>
        </w:rPr>
        <w:t xml:space="preserve"> </w:t>
      </w:r>
      <w:r w:rsidRPr="009E1C58">
        <w:rPr>
          <w:spacing w:val="0"/>
          <w:w w:val="100"/>
        </w:rPr>
        <w:t>Сик), Оман (Данлами Башару), Российская Федерация (Дамьян Татич/Ласло Габор Ловаси), Сейшельские Острова (Кумаравел Пьянеанди), Словения (Джонас Рускус) и Судан (Мартин Бабу). Комитет постановил также принять перечень вопросов в рамках упрощенной процедуры представления докладов, касающихся Коста-Рики, Новой Зеландии, Парагвая и Республики Корея. Комитет поручил своему секретариату проин</w:t>
      </w:r>
      <w:r w:rsidR="007C15F3">
        <w:rPr>
          <w:spacing w:val="0"/>
          <w:w w:val="100"/>
        </w:rPr>
        <w:t>формировать все заинтересованные</w:t>
      </w:r>
      <w:r w:rsidRPr="009E1C58">
        <w:rPr>
          <w:spacing w:val="0"/>
          <w:w w:val="100"/>
        </w:rPr>
        <w:t xml:space="preserve"> постоянные представительства соответствующих стран. 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7.</w:t>
      </w:r>
      <w:r w:rsidRPr="009E1C58">
        <w:rPr>
          <w:spacing w:val="0"/>
          <w:w w:val="100"/>
        </w:rPr>
        <w:tab/>
        <w:t>Комитет постановил, что его девятнадцатая сессия состо</w:t>
      </w:r>
      <w:r w:rsidR="00BE0116">
        <w:rPr>
          <w:spacing w:val="0"/>
          <w:w w:val="100"/>
        </w:rPr>
        <w:t>ится 14 февраля – 9 </w:t>
      </w:r>
      <w:r w:rsidRPr="009E1C58">
        <w:rPr>
          <w:spacing w:val="0"/>
          <w:w w:val="100"/>
        </w:rPr>
        <w:t xml:space="preserve">марта 2018 года и что после нее </w:t>
      </w:r>
      <w:r w:rsidR="00A54937" w:rsidRPr="009E1C58">
        <w:rPr>
          <w:spacing w:val="0"/>
          <w:w w:val="100"/>
        </w:rPr>
        <w:t xml:space="preserve">12–16 марта 2018 года </w:t>
      </w:r>
      <w:r w:rsidRPr="009E1C58">
        <w:rPr>
          <w:spacing w:val="0"/>
          <w:w w:val="100"/>
        </w:rPr>
        <w:t xml:space="preserve">будет проведено девятое совещание </w:t>
      </w:r>
      <w:r w:rsidR="00A54937" w:rsidRPr="009E1C58">
        <w:rPr>
          <w:spacing w:val="0"/>
          <w:w w:val="100"/>
        </w:rPr>
        <w:t>п</w:t>
      </w:r>
      <w:r w:rsidRPr="009E1C58">
        <w:rPr>
          <w:spacing w:val="0"/>
          <w:w w:val="100"/>
        </w:rPr>
        <w:t xml:space="preserve">редсессионной рабочей группы. Комитет просил свою </w:t>
      </w:r>
      <w:r w:rsidR="00A54937" w:rsidRPr="009E1C58">
        <w:rPr>
          <w:spacing w:val="0"/>
          <w:w w:val="100"/>
        </w:rPr>
        <w:t>р</w:t>
      </w:r>
      <w:r w:rsidRPr="009E1C58">
        <w:rPr>
          <w:spacing w:val="0"/>
          <w:w w:val="100"/>
        </w:rPr>
        <w:t xml:space="preserve">абочую группу принять на этом совещании перечень вопросов по Алжиру, бывшей югославской республике Македония, Кубе, Мальте, Польше, Филиппинам и Южной Африке. Комитет поручил своему секретариату проинформировать об этом заинтересованные страны. 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8.</w:t>
      </w:r>
      <w:r w:rsidRPr="009E1C58">
        <w:rPr>
          <w:spacing w:val="0"/>
          <w:w w:val="100"/>
        </w:rPr>
        <w:tab/>
        <w:t xml:space="preserve">Комитет постановил начать </w:t>
      </w:r>
      <w:r w:rsidR="00A54937" w:rsidRPr="009E1C58">
        <w:rPr>
          <w:spacing w:val="0"/>
          <w:w w:val="100"/>
        </w:rPr>
        <w:t xml:space="preserve">в ближайшем будущем </w:t>
      </w:r>
      <w:r w:rsidRPr="009E1C58">
        <w:rPr>
          <w:spacing w:val="0"/>
          <w:w w:val="100"/>
        </w:rPr>
        <w:t>процесс подготовки замечани</w:t>
      </w:r>
      <w:r w:rsidR="00A54937">
        <w:rPr>
          <w:spacing w:val="0"/>
          <w:w w:val="100"/>
        </w:rPr>
        <w:t>я</w:t>
      </w:r>
      <w:r w:rsidRPr="009E1C58">
        <w:rPr>
          <w:spacing w:val="0"/>
          <w:w w:val="100"/>
        </w:rPr>
        <w:t xml:space="preserve"> общего порядка по статьям 4 (3) и 33 (3) Конвенции. 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9.</w:t>
      </w:r>
      <w:r w:rsidRPr="009E1C58">
        <w:rPr>
          <w:spacing w:val="0"/>
          <w:w w:val="100"/>
        </w:rPr>
        <w:tab/>
        <w:t>Комитет принял доклад о работе своей восемнадцатой сессии.</w:t>
      </w:r>
    </w:p>
    <w:p w:rsidR="009E1C58" w:rsidRPr="009E1C58" w:rsidRDefault="009E1C58" w:rsidP="009E1C58">
      <w:pPr>
        <w:pStyle w:val="HChGR"/>
        <w:pageBreakBefore/>
        <w:rPr>
          <w:spacing w:val="0"/>
          <w:w w:val="100"/>
        </w:rPr>
      </w:pPr>
      <w:r w:rsidRPr="009E1C58">
        <w:rPr>
          <w:spacing w:val="0"/>
          <w:w w:val="100"/>
        </w:rPr>
        <w:lastRenderedPageBreak/>
        <w:t xml:space="preserve">Приложение </w:t>
      </w:r>
      <w:r w:rsidRPr="009E1C58">
        <w:rPr>
          <w:spacing w:val="0"/>
          <w:w w:val="100"/>
          <w:lang w:val="en-US"/>
        </w:rPr>
        <w:t>II</w:t>
      </w:r>
    </w:p>
    <w:p w:rsidR="009E1C58" w:rsidRPr="009E1C58" w:rsidRDefault="009E1C58" w:rsidP="009E1C58">
      <w:pPr>
        <w:pStyle w:val="HChGR"/>
        <w:rPr>
          <w:spacing w:val="0"/>
          <w:w w:val="100"/>
        </w:rPr>
      </w:pPr>
      <w:r w:rsidRPr="009E1C58">
        <w:rPr>
          <w:spacing w:val="0"/>
          <w:w w:val="100"/>
        </w:rPr>
        <w:tab/>
      </w:r>
      <w:r w:rsidRPr="009E1C58">
        <w:rPr>
          <w:spacing w:val="0"/>
          <w:w w:val="100"/>
        </w:rPr>
        <w:tab/>
        <w:t>Резюме мнений и решений, принятых Комитетом в отношении сообщений, представленных в соответствии с Факультативным протоколом к Конвенции о правах инвалидов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1.</w:t>
      </w:r>
      <w:r w:rsidRPr="009E1C58">
        <w:rPr>
          <w:spacing w:val="0"/>
          <w:w w:val="100"/>
        </w:rPr>
        <w:tab/>
        <w:t>Комитет рассмотрел сообщение № 30/2015 (</w:t>
      </w:r>
      <w:r w:rsidRPr="009E1C58">
        <w:rPr>
          <w:i/>
          <w:spacing w:val="0"/>
          <w:w w:val="100"/>
        </w:rPr>
        <w:t>Макаров против Литвы</w:t>
      </w:r>
      <w:r w:rsidRPr="009E1C58">
        <w:rPr>
          <w:spacing w:val="0"/>
          <w:w w:val="100"/>
        </w:rPr>
        <w:t>). Это сообщение было направлено Борисом Макаровым от имени его покойной жены Глафиры Макаровой. В 2005 году г-жа Макарова стала жертвой дорожно-транспортного происшествия, в результате которого она получила множественные телесные повреждения. Впоследствии государственная медицинская комиссия установила, что степень ее инвалидности составляет 60%. Она также страдала головными болями и потерей памяти и физического потенциала. Здоровье г</w:t>
      </w:r>
      <w:r w:rsidR="00043127">
        <w:rPr>
          <w:spacing w:val="0"/>
          <w:w w:val="100"/>
        </w:rPr>
        <w:noBreakHyphen/>
      </w:r>
      <w:r w:rsidRPr="009E1C58">
        <w:rPr>
          <w:spacing w:val="0"/>
          <w:w w:val="100"/>
        </w:rPr>
        <w:t>жи</w:t>
      </w:r>
      <w:r w:rsidR="00043127">
        <w:rPr>
          <w:spacing w:val="0"/>
          <w:w w:val="100"/>
        </w:rPr>
        <w:t> </w:t>
      </w:r>
      <w:r w:rsidRPr="009E1C58">
        <w:rPr>
          <w:spacing w:val="0"/>
          <w:w w:val="100"/>
        </w:rPr>
        <w:t>Макаровой продолжало ухудшаться до ноября 2011 года, когда она скончалась от последствий травмы мозга, которую она получила во время дорожно-транспортного происшествия. В 2006 году в</w:t>
      </w:r>
      <w:r w:rsidR="00043127">
        <w:rPr>
          <w:spacing w:val="0"/>
          <w:w w:val="100"/>
        </w:rPr>
        <w:t>о время</w:t>
      </w:r>
      <w:r w:rsidRPr="009E1C58">
        <w:rPr>
          <w:spacing w:val="0"/>
          <w:w w:val="100"/>
        </w:rPr>
        <w:t xml:space="preserve"> расследования этого дорожно-транспортного происшествия г-жа Макарова просила информировать ее о ходе расследования, но ее просьбы были проигнорированы властями. Кроме того, ввиду ее состояния здоровья и инвалидности она не имела возможности участвовать в судебных слушаниях и просила назначить ей адвоката, который представлял бы ее в ее статусе жертвы. Эти просьбы были отклонены. Более того, суд не предоставил ей копию приговора, в результате чего она не могла подать апелляцию. Автор утверждал, что решения и практика государства-участника были равносильны нарушению прав его жены, предусмотренных статьями 12, 13 и 22 Конвенции. В своем решении, устанавливающем нарушения Конвенции, Комитет отметил, что в силу инвалидности жена автора сама не могла участвовать в судебных слушаниях и, несмотря не ее просьбы, была лишена права на то, чтобы быть представленной. Комитет отметил представление государства-участника, согласно которому адвокат был назначен, но не смог явиться на слушания. Комитет напомнил о положени</w:t>
      </w:r>
      <w:r w:rsidR="00043127">
        <w:rPr>
          <w:spacing w:val="0"/>
          <w:w w:val="100"/>
        </w:rPr>
        <w:t>ях</w:t>
      </w:r>
      <w:r w:rsidRPr="009E1C58">
        <w:rPr>
          <w:spacing w:val="0"/>
          <w:w w:val="100"/>
        </w:rPr>
        <w:t xml:space="preserve"> стат</w:t>
      </w:r>
      <w:r w:rsidR="00043127">
        <w:rPr>
          <w:spacing w:val="0"/>
          <w:w w:val="100"/>
        </w:rPr>
        <w:t>ей</w:t>
      </w:r>
      <w:r w:rsidRPr="009E1C58">
        <w:rPr>
          <w:spacing w:val="0"/>
          <w:w w:val="100"/>
        </w:rPr>
        <w:t xml:space="preserve"> 12 (3) и 13 (1), согласно которым государства-участники должны принимать меры по обеспечению доступа инвалидам для </w:t>
      </w:r>
      <w:r w:rsidR="00043127">
        <w:rPr>
          <w:spacing w:val="0"/>
          <w:w w:val="100"/>
        </w:rPr>
        <w:t>реализации</w:t>
      </w:r>
      <w:r w:rsidRPr="009E1C58">
        <w:rPr>
          <w:spacing w:val="0"/>
          <w:w w:val="100"/>
        </w:rPr>
        <w:t xml:space="preserve"> своей правособственности и обеспечивать эффективный доступ инвалидов к правосудию на равной основе с другими лицами, с тем чтобы облегчить осуществление ими эффективной роли в качестве прямых и косвенных участников. Комитет пришел к выводу, что для г-жи Макаровой не были созданы условия, необходимые для ее заслушания на судебных заседаниях</w:t>
      </w:r>
      <w:r w:rsidR="00043127">
        <w:rPr>
          <w:spacing w:val="0"/>
          <w:w w:val="100"/>
        </w:rPr>
        <w:t>,</w:t>
      </w:r>
      <w:r w:rsidRPr="009E1C58">
        <w:rPr>
          <w:spacing w:val="0"/>
          <w:w w:val="100"/>
        </w:rPr>
        <w:t xml:space="preserve"> и что ей не была предоставлена юридическая помощь, с тем чтобы она могла подать на апелляцию. Соответственно, Комитет пришел к выводу, что государство-участник не выполнило своих обязательств по статьям 12 (3) и 13 (1). Комитет просил государство-участник предоставить автору эффективное средство правовой защиты и доступ к материалам судебных слушаний </w:t>
      </w:r>
      <w:r w:rsidR="00043127">
        <w:rPr>
          <w:spacing w:val="0"/>
          <w:w w:val="100"/>
        </w:rPr>
        <w:t xml:space="preserve">и </w:t>
      </w:r>
      <w:r w:rsidRPr="009E1C58">
        <w:rPr>
          <w:spacing w:val="0"/>
          <w:w w:val="100"/>
        </w:rPr>
        <w:t>расследования. Комитет просил также государство-участник принять необходимые поправки к своим законам для обеспечения того, чтобы инвалиды могли иметь доступ к бесплатной правовой помощи, когда это необходимо.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2.</w:t>
      </w:r>
      <w:r w:rsidRPr="009E1C58">
        <w:rPr>
          <w:spacing w:val="0"/>
          <w:w w:val="100"/>
        </w:rPr>
        <w:tab/>
        <w:t>Комитет рассмотрел сообщение № 28/2015 (</w:t>
      </w:r>
      <w:r w:rsidRPr="009E1C58">
        <w:rPr>
          <w:i/>
          <w:spacing w:val="0"/>
          <w:w w:val="100"/>
        </w:rPr>
        <w:t>О.О.Дж. и др. против Швеции</w:t>
      </w:r>
      <w:r w:rsidRPr="009E1C58">
        <w:rPr>
          <w:spacing w:val="0"/>
          <w:w w:val="100"/>
        </w:rPr>
        <w:t xml:space="preserve">). Автором сообщения является гражданин Нигерии О.О.Дж. Он представил сообщение от своего собственного имени и от имени своего сына Е.О.Дж., его жены Ф.И.Дж. и его дочери Е.Дж. В 2013 году его сыну был поставлен диагноз, согласно которому он страдал аутизмом </w:t>
      </w:r>
      <w:r w:rsidR="00043127">
        <w:rPr>
          <w:spacing w:val="0"/>
          <w:w w:val="100"/>
        </w:rPr>
        <w:t>и не</w:t>
      </w:r>
      <w:r w:rsidRPr="009E1C58">
        <w:rPr>
          <w:spacing w:val="0"/>
          <w:w w:val="100"/>
        </w:rPr>
        <w:t>указан</w:t>
      </w:r>
      <w:r w:rsidR="00043127">
        <w:rPr>
          <w:spacing w:val="0"/>
          <w:w w:val="100"/>
        </w:rPr>
        <w:t>ными психосоциальными</w:t>
      </w:r>
      <w:r w:rsidRPr="009E1C58">
        <w:rPr>
          <w:spacing w:val="0"/>
          <w:w w:val="100"/>
        </w:rPr>
        <w:t xml:space="preserve"> расстройств</w:t>
      </w:r>
      <w:r w:rsidR="00043127">
        <w:rPr>
          <w:spacing w:val="0"/>
          <w:w w:val="100"/>
        </w:rPr>
        <w:t>ами</w:t>
      </w:r>
      <w:r w:rsidRPr="009E1C58">
        <w:rPr>
          <w:spacing w:val="0"/>
          <w:w w:val="100"/>
        </w:rPr>
        <w:t>. Автор утверждал, что депортация его семьи из Швеции в Нигерию будет равносильн</w:t>
      </w:r>
      <w:r w:rsidR="00043127">
        <w:rPr>
          <w:spacing w:val="0"/>
          <w:w w:val="100"/>
        </w:rPr>
        <w:t>а</w:t>
      </w:r>
      <w:r w:rsidRPr="009E1C58">
        <w:rPr>
          <w:spacing w:val="0"/>
          <w:w w:val="100"/>
        </w:rPr>
        <w:t xml:space="preserve"> нарушению статей 3, 4, 5, 7, 12, 13, 15, 24, 25, 26 и 28 Конвенции. 25 января 2012 года </w:t>
      </w:r>
      <w:r w:rsidR="00043127" w:rsidRPr="009E1C58">
        <w:rPr>
          <w:spacing w:val="0"/>
          <w:w w:val="100"/>
        </w:rPr>
        <w:t>М</w:t>
      </w:r>
      <w:r w:rsidRPr="009E1C58">
        <w:rPr>
          <w:spacing w:val="0"/>
          <w:w w:val="100"/>
        </w:rPr>
        <w:t>играционное агентство Швеции отклонило ходатайство автора и его жены о выдач</w:t>
      </w:r>
      <w:r w:rsidR="00043127">
        <w:rPr>
          <w:spacing w:val="0"/>
          <w:w w:val="100"/>
        </w:rPr>
        <w:t>е</w:t>
      </w:r>
      <w:r w:rsidRPr="009E1C58">
        <w:rPr>
          <w:spacing w:val="0"/>
          <w:w w:val="100"/>
        </w:rPr>
        <w:t xml:space="preserve"> им </w:t>
      </w:r>
      <w:r w:rsidR="00043127">
        <w:rPr>
          <w:spacing w:val="0"/>
          <w:w w:val="100"/>
        </w:rPr>
        <w:t>вида на жительство</w:t>
      </w:r>
      <w:r w:rsidRPr="009E1C58">
        <w:rPr>
          <w:spacing w:val="0"/>
          <w:w w:val="100"/>
        </w:rPr>
        <w:t>, и был</w:t>
      </w:r>
      <w:r w:rsidR="00043127">
        <w:rPr>
          <w:spacing w:val="0"/>
          <w:w w:val="100"/>
        </w:rPr>
        <w:t>о вынесено постановление</w:t>
      </w:r>
      <w:r w:rsidRPr="009E1C58">
        <w:rPr>
          <w:spacing w:val="0"/>
          <w:w w:val="100"/>
        </w:rPr>
        <w:t xml:space="preserve"> об их депортации. Последующие обращения в Суд по </w:t>
      </w:r>
      <w:r w:rsidR="00043127">
        <w:rPr>
          <w:spacing w:val="0"/>
          <w:w w:val="100"/>
        </w:rPr>
        <w:t xml:space="preserve">миграционным </w:t>
      </w:r>
      <w:r w:rsidRPr="009E1C58">
        <w:rPr>
          <w:spacing w:val="0"/>
          <w:w w:val="100"/>
        </w:rPr>
        <w:t xml:space="preserve">делам и Апелляционный суд по </w:t>
      </w:r>
      <w:r w:rsidR="00043127">
        <w:rPr>
          <w:spacing w:val="0"/>
          <w:w w:val="100"/>
        </w:rPr>
        <w:t xml:space="preserve">миграционным </w:t>
      </w:r>
      <w:r w:rsidRPr="009E1C58">
        <w:rPr>
          <w:spacing w:val="0"/>
          <w:w w:val="100"/>
        </w:rPr>
        <w:t xml:space="preserve">делам были отклонены, и 13 ноября 2012 года упомянутое решение стало окончательным. Из-за отсутствия безопасности в Нигерии семья боялась возвращаться туда. В этой связи 10 ноября 2013 года они подали ходатайство о предоставлении убежища в государстве-участнике. Автор представил информацию о </w:t>
      </w:r>
      <w:r w:rsidRPr="009E1C58">
        <w:rPr>
          <w:spacing w:val="0"/>
          <w:w w:val="100"/>
        </w:rPr>
        <w:lastRenderedPageBreak/>
        <w:t xml:space="preserve">диагнозе, согласно которому его сын страдает аутизмом и другими неуказанными психосоциальными расстройствами, в Миграционное агентство в поддержку ходатайства о предоставлении убежища. 30 апреля 2014 года ходатайство семьи о предоставлении убежища было отклонено Миграционным агентством. Агентство пришло к выводу, что данная семья не смогла убедительно продемонстрировать, что ее члены лично подвергнутся опасности причинения вреда в случае депортации в Нигерию. Впоследствии это решение было подтверждено </w:t>
      </w:r>
      <w:r w:rsidR="00043127" w:rsidRPr="009E1C58">
        <w:rPr>
          <w:spacing w:val="0"/>
          <w:w w:val="100"/>
        </w:rPr>
        <w:t xml:space="preserve">Судом </w:t>
      </w:r>
      <w:r w:rsidR="002020E5">
        <w:rPr>
          <w:spacing w:val="0"/>
          <w:w w:val="100"/>
        </w:rPr>
        <w:t>по м</w:t>
      </w:r>
      <w:r w:rsidRPr="009E1C58">
        <w:rPr>
          <w:spacing w:val="0"/>
          <w:w w:val="100"/>
        </w:rPr>
        <w:t xml:space="preserve">играционным </w:t>
      </w:r>
      <w:r w:rsidR="002020E5">
        <w:rPr>
          <w:spacing w:val="0"/>
          <w:w w:val="100"/>
        </w:rPr>
        <w:t xml:space="preserve">делам </w:t>
      </w:r>
      <w:r w:rsidRPr="009E1C58">
        <w:rPr>
          <w:spacing w:val="0"/>
          <w:w w:val="100"/>
        </w:rPr>
        <w:t xml:space="preserve">и Апелляционным </w:t>
      </w:r>
      <w:r w:rsidR="002020E5" w:rsidRPr="009E1C58">
        <w:rPr>
          <w:spacing w:val="0"/>
          <w:w w:val="100"/>
        </w:rPr>
        <w:t xml:space="preserve">судом </w:t>
      </w:r>
      <w:r w:rsidR="002020E5">
        <w:rPr>
          <w:spacing w:val="0"/>
          <w:w w:val="100"/>
        </w:rPr>
        <w:t xml:space="preserve">по </w:t>
      </w:r>
      <w:r w:rsidRPr="009E1C58">
        <w:rPr>
          <w:spacing w:val="0"/>
          <w:w w:val="100"/>
        </w:rPr>
        <w:t>миграционным</w:t>
      </w:r>
      <w:r w:rsidR="002020E5">
        <w:rPr>
          <w:spacing w:val="0"/>
          <w:w w:val="100"/>
        </w:rPr>
        <w:t xml:space="preserve"> делам</w:t>
      </w:r>
      <w:r w:rsidRPr="009E1C58">
        <w:rPr>
          <w:spacing w:val="0"/>
          <w:w w:val="100"/>
        </w:rPr>
        <w:t>. В ноябре 2014 года автор и его жена ходатайствовали о неприведении в исполнение постановления о высылке ввиду наличия препятствия для процедуры его привидения в исполнение и о получении ими вида на жительства на основании инва</w:t>
      </w:r>
      <w:r w:rsidR="002020E5">
        <w:rPr>
          <w:spacing w:val="0"/>
          <w:w w:val="100"/>
        </w:rPr>
        <w:t>лидности их сына. 9 января 2015 </w:t>
      </w:r>
      <w:r w:rsidRPr="009E1C58">
        <w:rPr>
          <w:spacing w:val="0"/>
          <w:w w:val="100"/>
        </w:rPr>
        <w:t>года Миграционное агентство отклонило их ходатайство на том основании, что в Нигерии обеспечивает</w:t>
      </w:r>
      <w:r w:rsidR="002020E5">
        <w:rPr>
          <w:spacing w:val="0"/>
          <w:w w:val="100"/>
        </w:rPr>
        <w:t>ся</w:t>
      </w:r>
      <w:r w:rsidRPr="009E1C58">
        <w:rPr>
          <w:spacing w:val="0"/>
          <w:w w:val="100"/>
        </w:rPr>
        <w:t xml:space="preserve"> медицинский уход за детьми с аутизмом и имеются дошкольные учреждения для таких детей. Автор утверждал, что в результате депортации его семьи в Нигерию его сын лишится доступа к адекватному медицинскому обслуживанию и образованию, а также к необходимым для него программам абилитации и реабилитации, что будет равносильно бесчеловечному и унижающему достоинство обращению с учетом характера инвалидности его сына. Государство-участник просило Комитет постановить, что сообщение является неприемлемым по причине </w:t>
      </w:r>
      <w:r w:rsidR="001876AC">
        <w:rPr>
          <w:spacing w:val="0"/>
          <w:w w:val="100"/>
        </w:rPr>
        <w:t>не</w:t>
      </w:r>
      <w:r w:rsidRPr="009E1C58">
        <w:rPr>
          <w:spacing w:val="0"/>
          <w:w w:val="100"/>
        </w:rPr>
        <w:t>исчерпания внутренних средств защиты, отметив, что решение о высылке автора, его жены и сына</w:t>
      </w:r>
      <w:r w:rsidR="001876AC" w:rsidRPr="001876AC">
        <w:rPr>
          <w:spacing w:val="0"/>
          <w:w w:val="100"/>
        </w:rPr>
        <w:t xml:space="preserve"> </w:t>
      </w:r>
      <w:r w:rsidR="001876AC" w:rsidRPr="009E1C58">
        <w:rPr>
          <w:spacing w:val="0"/>
          <w:w w:val="100"/>
        </w:rPr>
        <w:t>с 13 ноября 2016 года</w:t>
      </w:r>
      <w:r w:rsidRPr="009E1C58">
        <w:rPr>
          <w:spacing w:val="0"/>
          <w:w w:val="100"/>
        </w:rPr>
        <w:t xml:space="preserve"> утратило свою силу и не могло быть приведено в исполнение и что, следовательно, эта семья имела возможность вновь ходатайствовать </w:t>
      </w:r>
      <w:r w:rsidR="001876AC">
        <w:rPr>
          <w:spacing w:val="0"/>
          <w:w w:val="100"/>
        </w:rPr>
        <w:t xml:space="preserve">о предоставлении </w:t>
      </w:r>
      <w:r w:rsidRPr="009E1C58">
        <w:rPr>
          <w:spacing w:val="0"/>
          <w:w w:val="100"/>
        </w:rPr>
        <w:t>вида на жительство в государстве-участнике и доби</w:t>
      </w:r>
      <w:r w:rsidR="001876AC">
        <w:rPr>
          <w:spacing w:val="0"/>
          <w:w w:val="100"/>
        </w:rPr>
        <w:t>ва</w:t>
      </w:r>
      <w:r w:rsidRPr="009E1C58">
        <w:rPr>
          <w:spacing w:val="0"/>
          <w:w w:val="100"/>
        </w:rPr>
        <w:t xml:space="preserve">ться нового всестороннего рассмотрения их дела внутренними органами. При рассмотрении этого вопроса Комитет напомнил, что в исчерпании средств правовой защиты нет необходимости, если их применение объективно не имеет никаких шансов на успех, но при этом отметил, что одних только сомнений в эффективности внутренних средств правовой защиты недостаточно для освобождения автора от обязанностей их исчерпать. Комитет счел, что он не может сделать вывод о том, что новое ходатайство автора сообщения и членов его семьи перед властями государствами-участника не могло оказать эффективную помощь. Исходя из этого, в соответствии с пунктом </w:t>
      </w:r>
      <w:r w:rsidRPr="009E1C58">
        <w:rPr>
          <w:spacing w:val="0"/>
          <w:w w:val="100"/>
          <w:lang w:val="en-US"/>
        </w:rPr>
        <w:t>d</w:t>
      </w:r>
      <w:r w:rsidRPr="009E1C58">
        <w:rPr>
          <w:spacing w:val="0"/>
          <w:w w:val="100"/>
        </w:rPr>
        <w:t>) статьи 2 Факультативного протокола Комитет объявил сообщение неприемлемым.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3.</w:t>
      </w:r>
      <w:r w:rsidRPr="009E1C58">
        <w:rPr>
          <w:spacing w:val="0"/>
          <w:w w:val="100"/>
        </w:rPr>
        <w:tab/>
        <w:t>Комитет рассмотрел сообщение 22/2014 (</w:t>
      </w:r>
      <w:r w:rsidRPr="009E1C58">
        <w:rPr>
          <w:i/>
          <w:spacing w:val="0"/>
          <w:w w:val="100"/>
        </w:rPr>
        <w:t>Х</w:t>
      </w:r>
      <w:r w:rsidR="00EF6AA4">
        <w:rPr>
          <w:i/>
          <w:spacing w:val="0"/>
          <w:w w:val="100"/>
        </w:rPr>
        <w:t>.</w:t>
      </w:r>
      <w:r w:rsidRPr="009E1C58">
        <w:rPr>
          <w:i/>
          <w:spacing w:val="0"/>
          <w:w w:val="100"/>
        </w:rPr>
        <w:t xml:space="preserve"> против Объединенной Республики Танзания</w:t>
      </w:r>
      <w:r w:rsidRPr="009E1C58">
        <w:rPr>
          <w:spacing w:val="0"/>
          <w:w w:val="100"/>
        </w:rPr>
        <w:t>). Автор, являющийся</w:t>
      </w:r>
      <w:r w:rsidR="001876AC">
        <w:rPr>
          <w:spacing w:val="0"/>
          <w:w w:val="100"/>
        </w:rPr>
        <w:t xml:space="preserve"> альбиносом, родился 12 января 1</w:t>
      </w:r>
      <w:r w:rsidRPr="009E1C58">
        <w:rPr>
          <w:spacing w:val="0"/>
          <w:w w:val="100"/>
        </w:rPr>
        <w:t>969 года. 10 апреля 2010 года он занимался заготовкой дров, когда двое мужчин попросили у него</w:t>
      </w:r>
      <w:r w:rsidR="001876AC">
        <w:rPr>
          <w:spacing w:val="0"/>
          <w:w w:val="100"/>
        </w:rPr>
        <w:t xml:space="preserve"> закурить</w:t>
      </w:r>
      <w:r w:rsidRPr="009E1C58">
        <w:rPr>
          <w:spacing w:val="0"/>
          <w:w w:val="100"/>
        </w:rPr>
        <w:t xml:space="preserve"> Когда он нагнулся, чтобы достать табак из пластикового пакета, его ударили по голове дубинкой. Автор потерял сознание, а напавшие на него мужчины отрубили ему левую руку ниже локтя и ушли. Придя в себя, автор почувствовал сильную боль и стал звать на помощь. Жители деревни доставили его в муниципальную больницу Морогоро, где ему </w:t>
      </w:r>
      <w:r w:rsidR="001876AC">
        <w:rPr>
          <w:spacing w:val="0"/>
          <w:w w:val="100"/>
        </w:rPr>
        <w:t xml:space="preserve">была </w:t>
      </w:r>
      <w:r w:rsidRPr="009E1C58">
        <w:rPr>
          <w:spacing w:val="0"/>
          <w:w w:val="100"/>
        </w:rPr>
        <w:t>оказа</w:t>
      </w:r>
      <w:r w:rsidR="001876AC">
        <w:rPr>
          <w:spacing w:val="0"/>
          <w:w w:val="100"/>
        </w:rPr>
        <w:t>на</w:t>
      </w:r>
      <w:r w:rsidRPr="009E1C58">
        <w:rPr>
          <w:spacing w:val="0"/>
          <w:w w:val="100"/>
        </w:rPr>
        <w:t xml:space="preserve"> помощь. Отрубленную руку автора так и не нашли, предположительно, мужчины забрали ее с собой. Полиции был</w:t>
      </w:r>
      <w:r w:rsidR="001876AC">
        <w:rPr>
          <w:spacing w:val="0"/>
          <w:w w:val="100"/>
        </w:rPr>
        <w:t>о</w:t>
      </w:r>
      <w:r w:rsidRPr="009E1C58">
        <w:rPr>
          <w:spacing w:val="0"/>
          <w:w w:val="100"/>
        </w:rPr>
        <w:t xml:space="preserve"> доложено об этом инциденте, но компетент</w:t>
      </w:r>
      <w:r w:rsidR="00EF6AA4">
        <w:rPr>
          <w:spacing w:val="0"/>
          <w:w w:val="100"/>
        </w:rPr>
        <w:t>ные органы государства-участника</w:t>
      </w:r>
      <w:r w:rsidRPr="009E1C58">
        <w:rPr>
          <w:spacing w:val="0"/>
          <w:w w:val="100"/>
        </w:rPr>
        <w:t xml:space="preserve"> не провели никакого расследования. Частное обвинение в Объединенной Республике Танзания невозможно. Таким образом, во внутреннем уголовном праве не имелось никаких других средств правовой защиты. Для возбуждения гражданского судопроизводства жертвы должны обращаться с ходатайством в </w:t>
      </w:r>
      <w:r w:rsidR="001876AC" w:rsidRPr="009E1C58">
        <w:rPr>
          <w:spacing w:val="0"/>
          <w:w w:val="100"/>
        </w:rPr>
        <w:t>в</w:t>
      </w:r>
      <w:r w:rsidRPr="009E1C58">
        <w:rPr>
          <w:spacing w:val="0"/>
          <w:w w:val="100"/>
        </w:rPr>
        <w:t>ысокий суд по месту проживания. Поско</w:t>
      </w:r>
      <w:bookmarkStart w:id="0" w:name="_GoBack"/>
      <w:bookmarkEnd w:id="0"/>
      <w:r w:rsidRPr="009E1C58">
        <w:rPr>
          <w:spacing w:val="0"/>
          <w:w w:val="100"/>
        </w:rPr>
        <w:t xml:space="preserve">льку никакого </w:t>
      </w:r>
      <w:r w:rsidR="001876AC" w:rsidRPr="009E1C58">
        <w:rPr>
          <w:spacing w:val="0"/>
          <w:w w:val="100"/>
        </w:rPr>
        <w:t>в</w:t>
      </w:r>
      <w:r w:rsidRPr="009E1C58">
        <w:rPr>
          <w:spacing w:val="0"/>
          <w:w w:val="100"/>
        </w:rPr>
        <w:t xml:space="preserve">ысокого суда в районе Морогоро, где </w:t>
      </w:r>
      <w:r w:rsidR="001876AC" w:rsidRPr="009E1C58">
        <w:rPr>
          <w:spacing w:val="0"/>
          <w:w w:val="100"/>
        </w:rPr>
        <w:t>проживал автор</w:t>
      </w:r>
      <w:r w:rsidRPr="009E1C58">
        <w:rPr>
          <w:spacing w:val="0"/>
          <w:w w:val="100"/>
        </w:rPr>
        <w:t xml:space="preserve">, не было, </w:t>
      </w:r>
      <w:r w:rsidR="001876AC">
        <w:rPr>
          <w:spacing w:val="0"/>
          <w:w w:val="100"/>
        </w:rPr>
        <w:t xml:space="preserve">ему </w:t>
      </w:r>
      <w:r w:rsidRPr="009E1C58">
        <w:rPr>
          <w:spacing w:val="0"/>
          <w:w w:val="100"/>
        </w:rPr>
        <w:t xml:space="preserve">для возбуждения дела пришлось бы ехать в Дар-эс-Салам. Кроме того, 20 марта 2009 года с конституционным иском против государства в </w:t>
      </w:r>
      <w:r w:rsidR="001876AC" w:rsidRPr="009E1C58">
        <w:rPr>
          <w:spacing w:val="0"/>
          <w:w w:val="100"/>
        </w:rPr>
        <w:t>в</w:t>
      </w:r>
      <w:r w:rsidRPr="009E1C58">
        <w:rPr>
          <w:spacing w:val="0"/>
          <w:w w:val="100"/>
        </w:rPr>
        <w:t>ысокий суд при поддержке специализированных неправительственных организаций обратились другие лица</w:t>
      </w:r>
      <w:r w:rsidR="001876AC">
        <w:rPr>
          <w:spacing w:val="0"/>
          <w:w w:val="100"/>
        </w:rPr>
        <w:t>-альбиносы</w:t>
      </w:r>
      <w:r w:rsidRPr="009E1C58">
        <w:rPr>
          <w:spacing w:val="0"/>
          <w:w w:val="100"/>
        </w:rPr>
        <w:t>, которые пострадали в результате аналогичных инцидентов. К дню рассмотрения жалобы автора, направленной Комитету, т.е. по прошествии более шести лет, этот вопрос так и не был рассмотрен</w:t>
      </w:r>
      <w:r w:rsidR="001876AC" w:rsidRPr="009E1C58">
        <w:rPr>
          <w:spacing w:val="0"/>
          <w:w w:val="100"/>
        </w:rPr>
        <w:t xml:space="preserve"> в</w:t>
      </w:r>
      <w:r w:rsidRPr="009E1C58">
        <w:rPr>
          <w:spacing w:val="0"/>
          <w:w w:val="100"/>
        </w:rPr>
        <w:t xml:space="preserve">ысоким судом. Комитет сделал вывод, что автор исчерпал все имевшиеся эффективные средства правовой защиты и стал жертвой прямой дискриминации по признаку его инвалидности в нарушение статьи 5 Конвенции. Он также сделал вывод, что нерасследование государством-участником данного дела и непринятие мер по преследованию подозреваемых преступников, а также неоказание им поддержки автору и непринятие никаких превентивных мер </w:t>
      </w:r>
      <w:r w:rsidRPr="009E1C58">
        <w:rPr>
          <w:spacing w:val="0"/>
          <w:w w:val="100"/>
        </w:rPr>
        <w:lastRenderedPageBreak/>
        <w:t>привело к повторной виктимизации автора, который перенес психические страдания, квалифицируемые как пытки и бесчеловечное и унижающее достоинство обращение в нарушение статьи 15</w:t>
      </w:r>
      <w:r w:rsidR="001876AC">
        <w:rPr>
          <w:spacing w:val="0"/>
          <w:w w:val="100"/>
        </w:rPr>
        <w:t>, а также</w:t>
      </w:r>
      <w:r w:rsidRPr="009E1C58">
        <w:rPr>
          <w:spacing w:val="0"/>
          <w:w w:val="100"/>
        </w:rPr>
        <w:t xml:space="preserve"> </w:t>
      </w:r>
      <w:r w:rsidR="007C15F3">
        <w:rPr>
          <w:spacing w:val="0"/>
          <w:w w:val="100"/>
        </w:rPr>
        <w:t xml:space="preserve">к </w:t>
      </w:r>
      <w:r w:rsidRPr="009E1C58">
        <w:rPr>
          <w:spacing w:val="0"/>
          <w:w w:val="100"/>
        </w:rPr>
        <w:t>нарушению его физической неприкосновенности, предусмотренной в статье 17.</w:t>
      </w:r>
    </w:p>
    <w:p w:rsidR="009E1C58" w:rsidRPr="009E1C58" w:rsidRDefault="009E1C58" w:rsidP="009E1C58">
      <w:pPr>
        <w:pStyle w:val="SingleTxtGR"/>
        <w:suppressAutoHyphens/>
        <w:rPr>
          <w:spacing w:val="0"/>
          <w:w w:val="100"/>
        </w:rPr>
      </w:pPr>
      <w:r w:rsidRPr="009E1C58">
        <w:rPr>
          <w:spacing w:val="0"/>
          <w:w w:val="100"/>
        </w:rPr>
        <w:t>4.</w:t>
      </w:r>
      <w:r w:rsidRPr="009E1C58">
        <w:rPr>
          <w:spacing w:val="0"/>
          <w:w w:val="100"/>
        </w:rPr>
        <w:tab/>
        <w:t>Комитет постановил прекратить рассмотрение сообщения № 16/2013, поскольку в декабре 2014 года государство-участник сообщило о том, что после представления жалобы автора Комитету</w:t>
      </w:r>
      <w:r w:rsidR="001876AC">
        <w:rPr>
          <w:spacing w:val="0"/>
          <w:w w:val="100"/>
        </w:rPr>
        <w:t xml:space="preserve"> ему</w:t>
      </w:r>
      <w:r w:rsidRPr="009E1C58">
        <w:rPr>
          <w:spacing w:val="0"/>
          <w:w w:val="100"/>
        </w:rPr>
        <w:t xml:space="preserve"> было предоставлено жилье в общине, </w:t>
      </w:r>
      <w:r w:rsidR="001876AC">
        <w:rPr>
          <w:spacing w:val="0"/>
          <w:w w:val="100"/>
        </w:rPr>
        <w:t xml:space="preserve">когда в общине </w:t>
      </w:r>
      <w:r w:rsidRPr="009E1C58">
        <w:rPr>
          <w:spacing w:val="0"/>
          <w:w w:val="100"/>
        </w:rPr>
        <w:t xml:space="preserve">появились адаптированное социальное жилье и финансирование вспомогательного обслуживания. Эта информация не была оспорена автором, который покинул </w:t>
      </w:r>
      <w:r w:rsidR="001876AC">
        <w:rPr>
          <w:spacing w:val="0"/>
          <w:w w:val="100"/>
        </w:rPr>
        <w:t>учреждение</w:t>
      </w:r>
      <w:r w:rsidRPr="009E1C58">
        <w:rPr>
          <w:spacing w:val="0"/>
          <w:w w:val="100"/>
        </w:rPr>
        <w:t>. Таким образом, предмет жалобы утратил свою актуальность.</w:t>
      </w:r>
    </w:p>
    <w:p w:rsidR="009E1C58" w:rsidRPr="009E1C58" w:rsidRDefault="009E1C58" w:rsidP="009E1C58">
      <w:pPr>
        <w:pStyle w:val="SingleTxtGR"/>
        <w:suppressAutoHyphens/>
        <w:spacing w:before="240" w:after="0"/>
        <w:jc w:val="center"/>
        <w:rPr>
          <w:spacing w:val="0"/>
          <w:w w:val="100"/>
          <w:u w:val="single"/>
        </w:rPr>
      </w:pPr>
      <w:r w:rsidRPr="009E1C58">
        <w:rPr>
          <w:spacing w:val="0"/>
          <w:w w:val="100"/>
          <w:u w:val="single"/>
        </w:rPr>
        <w:tab/>
      </w:r>
      <w:r w:rsidRPr="009E1C58">
        <w:rPr>
          <w:spacing w:val="0"/>
          <w:w w:val="100"/>
          <w:u w:val="single"/>
        </w:rPr>
        <w:tab/>
      </w:r>
      <w:r w:rsidRPr="009E1C58">
        <w:rPr>
          <w:spacing w:val="0"/>
          <w:w w:val="100"/>
          <w:u w:val="single"/>
        </w:rPr>
        <w:tab/>
      </w:r>
    </w:p>
    <w:sectPr w:rsidR="009E1C58" w:rsidRPr="009E1C58" w:rsidSect="009E1C5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F5" w:rsidRPr="00A312BC" w:rsidRDefault="00F70CF5" w:rsidP="00A312BC"/>
  </w:endnote>
  <w:endnote w:type="continuationSeparator" w:id="0">
    <w:p w:rsidR="00F70CF5" w:rsidRPr="00A312BC" w:rsidRDefault="00F70C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58" w:rsidRPr="009E1C58" w:rsidRDefault="009E1C58">
    <w:pPr>
      <w:pStyle w:val="a8"/>
    </w:pPr>
    <w:r w:rsidRPr="009E1C58">
      <w:rPr>
        <w:b/>
        <w:sz w:val="18"/>
      </w:rPr>
      <w:fldChar w:fldCharType="begin"/>
    </w:r>
    <w:r w:rsidRPr="009E1C58">
      <w:rPr>
        <w:b/>
        <w:sz w:val="18"/>
      </w:rPr>
      <w:instrText xml:space="preserve"> PAGE  \* MERGEFORMAT </w:instrText>
    </w:r>
    <w:r w:rsidRPr="009E1C58">
      <w:rPr>
        <w:b/>
        <w:sz w:val="18"/>
      </w:rPr>
      <w:fldChar w:fldCharType="separate"/>
    </w:r>
    <w:r w:rsidR="00402262">
      <w:rPr>
        <w:b/>
        <w:noProof/>
        <w:sz w:val="18"/>
      </w:rPr>
      <w:t>4</w:t>
    </w:r>
    <w:r w:rsidRPr="009E1C58">
      <w:rPr>
        <w:b/>
        <w:sz w:val="18"/>
      </w:rPr>
      <w:fldChar w:fldCharType="end"/>
    </w:r>
    <w:r>
      <w:rPr>
        <w:b/>
        <w:sz w:val="18"/>
      </w:rPr>
      <w:tab/>
    </w:r>
    <w:r>
      <w:t>GE.17-23088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58" w:rsidRPr="009E1C58" w:rsidRDefault="009E1C58" w:rsidP="009E1C58">
    <w:pPr>
      <w:pStyle w:val="a8"/>
      <w:tabs>
        <w:tab w:val="clear" w:pos="9639"/>
        <w:tab w:val="right" w:pos="9638"/>
      </w:tabs>
      <w:rPr>
        <w:b/>
        <w:sz w:val="18"/>
      </w:rPr>
    </w:pPr>
    <w:r>
      <w:t>GE.17-23088</w:t>
    </w:r>
    <w:r>
      <w:tab/>
    </w:r>
    <w:r w:rsidRPr="009E1C58">
      <w:rPr>
        <w:b/>
        <w:sz w:val="18"/>
      </w:rPr>
      <w:fldChar w:fldCharType="begin"/>
    </w:r>
    <w:r w:rsidRPr="009E1C58">
      <w:rPr>
        <w:b/>
        <w:sz w:val="18"/>
      </w:rPr>
      <w:instrText xml:space="preserve"> PAGE  \* MERGEFORMAT </w:instrText>
    </w:r>
    <w:r w:rsidRPr="009E1C58">
      <w:rPr>
        <w:b/>
        <w:sz w:val="18"/>
      </w:rPr>
      <w:fldChar w:fldCharType="separate"/>
    </w:r>
    <w:r w:rsidR="00402262">
      <w:rPr>
        <w:b/>
        <w:noProof/>
        <w:sz w:val="18"/>
      </w:rPr>
      <w:t>5</w:t>
    </w:r>
    <w:r w:rsidRPr="009E1C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E1C58" w:rsidRDefault="009E1C58" w:rsidP="009E1C5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17-23088  (R)</w:t>
    </w:r>
    <w:r w:rsidR="00C84BA6">
      <w:t xml:space="preserve">  260118  290118</w:t>
    </w:r>
    <w:r>
      <w:br/>
    </w:r>
    <w:r w:rsidRPr="009E1C58">
      <w:rPr>
        <w:rFonts w:ascii="C39T30Lfz" w:hAnsi="C39T30Lfz"/>
        <w:spacing w:val="0"/>
        <w:w w:val="100"/>
        <w:sz w:val="56"/>
      </w:rPr>
      <w:t></w:t>
    </w:r>
    <w:r w:rsidRPr="009E1C58">
      <w:rPr>
        <w:rFonts w:ascii="C39T30Lfz" w:hAnsi="C39T30Lfz"/>
        <w:spacing w:val="0"/>
        <w:w w:val="100"/>
        <w:sz w:val="56"/>
      </w:rPr>
      <w:t></w:t>
    </w:r>
    <w:r w:rsidRPr="009E1C58">
      <w:rPr>
        <w:rFonts w:ascii="C39T30Lfz" w:hAnsi="C39T30Lfz"/>
        <w:spacing w:val="0"/>
        <w:w w:val="100"/>
        <w:sz w:val="56"/>
      </w:rPr>
      <w:t></w:t>
    </w:r>
    <w:r w:rsidRPr="009E1C58">
      <w:rPr>
        <w:rFonts w:ascii="C39T30Lfz" w:hAnsi="C39T30Lfz"/>
        <w:spacing w:val="0"/>
        <w:w w:val="100"/>
        <w:sz w:val="56"/>
      </w:rPr>
      <w:t></w:t>
    </w:r>
    <w:r w:rsidRPr="009E1C58">
      <w:rPr>
        <w:rFonts w:ascii="C39T30Lfz" w:hAnsi="C39T30Lfz"/>
        <w:spacing w:val="0"/>
        <w:w w:val="100"/>
        <w:sz w:val="56"/>
      </w:rPr>
      <w:t></w:t>
    </w:r>
    <w:r w:rsidRPr="009E1C58">
      <w:rPr>
        <w:rFonts w:ascii="C39T30Lfz" w:hAnsi="C39T30Lfz"/>
        <w:spacing w:val="0"/>
        <w:w w:val="100"/>
        <w:sz w:val="56"/>
      </w:rPr>
      <w:t></w:t>
    </w:r>
    <w:r w:rsidRPr="009E1C58">
      <w:rPr>
        <w:rFonts w:ascii="C39T30Lfz" w:hAnsi="C39T30Lfz"/>
        <w:spacing w:val="0"/>
        <w:w w:val="100"/>
        <w:sz w:val="56"/>
      </w:rPr>
      <w:t></w:t>
    </w:r>
    <w:r w:rsidRPr="009E1C58">
      <w:rPr>
        <w:rFonts w:ascii="C39T30Lfz" w:hAnsi="C39T30Lfz"/>
        <w:spacing w:val="0"/>
        <w:w w:val="100"/>
        <w:sz w:val="56"/>
      </w:rPr>
      <w:t></w:t>
    </w:r>
    <w:r w:rsidRPr="009E1C5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18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18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F5" w:rsidRPr="001075E9" w:rsidRDefault="00F70C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0CF5" w:rsidRDefault="00F70C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58" w:rsidRPr="009E1C58" w:rsidRDefault="0040226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CRPD/C/18/2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58" w:rsidRPr="009E1C58" w:rsidRDefault="00402262" w:rsidP="009E1C5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CRPD/C/18/2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F5"/>
    <w:rsid w:val="00026643"/>
    <w:rsid w:val="00033EE1"/>
    <w:rsid w:val="00042B72"/>
    <w:rsid w:val="00043127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876AC"/>
    <w:rsid w:val="00196389"/>
    <w:rsid w:val="001B3EF6"/>
    <w:rsid w:val="001C499F"/>
    <w:rsid w:val="001C7A89"/>
    <w:rsid w:val="002020E5"/>
    <w:rsid w:val="00215062"/>
    <w:rsid w:val="00215554"/>
    <w:rsid w:val="00262C38"/>
    <w:rsid w:val="0027441B"/>
    <w:rsid w:val="002846B3"/>
    <w:rsid w:val="002A2EFC"/>
    <w:rsid w:val="002B74B1"/>
    <w:rsid w:val="002C0E18"/>
    <w:rsid w:val="002C728A"/>
    <w:rsid w:val="002D06E3"/>
    <w:rsid w:val="002D5AAC"/>
    <w:rsid w:val="002E5067"/>
    <w:rsid w:val="002F405F"/>
    <w:rsid w:val="002F7EEC"/>
    <w:rsid w:val="00301299"/>
    <w:rsid w:val="00305C08"/>
    <w:rsid w:val="00307FB6"/>
    <w:rsid w:val="003101C7"/>
    <w:rsid w:val="00317339"/>
    <w:rsid w:val="00322004"/>
    <w:rsid w:val="003349E4"/>
    <w:rsid w:val="003402C2"/>
    <w:rsid w:val="00381C24"/>
    <w:rsid w:val="003958D0"/>
    <w:rsid w:val="003B00E5"/>
    <w:rsid w:val="00402262"/>
    <w:rsid w:val="00407B78"/>
    <w:rsid w:val="00424203"/>
    <w:rsid w:val="00452493"/>
    <w:rsid w:val="00453318"/>
    <w:rsid w:val="00453EF0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52F8A"/>
    <w:rsid w:val="00681A10"/>
    <w:rsid w:val="006A1ED8"/>
    <w:rsid w:val="006B5625"/>
    <w:rsid w:val="006C2031"/>
    <w:rsid w:val="006C7467"/>
    <w:rsid w:val="006D461A"/>
    <w:rsid w:val="006F35EE"/>
    <w:rsid w:val="007021FF"/>
    <w:rsid w:val="00712895"/>
    <w:rsid w:val="00757357"/>
    <w:rsid w:val="007C15F3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8C6FFD"/>
    <w:rsid w:val="00903712"/>
    <w:rsid w:val="00906890"/>
    <w:rsid w:val="00911BE4"/>
    <w:rsid w:val="00951972"/>
    <w:rsid w:val="009608F3"/>
    <w:rsid w:val="009A24AC"/>
    <w:rsid w:val="009E1C58"/>
    <w:rsid w:val="009E58AD"/>
    <w:rsid w:val="00A14DA8"/>
    <w:rsid w:val="00A312BC"/>
    <w:rsid w:val="00A54937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C18B2"/>
    <w:rsid w:val="00BD33EE"/>
    <w:rsid w:val="00BE0116"/>
    <w:rsid w:val="00C106D6"/>
    <w:rsid w:val="00C60F0C"/>
    <w:rsid w:val="00C805C9"/>
    <w:rsid w:val="00C84BA6"/>
    <w:rsid w:val="00C92939"/>
    <w:rsid w:val="00CA1679"/>
    <w:rsid w:val="00CB151C"/>
    <w:rsid w:val="00CE08C8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43C21"/>
    <w:rsid w:val="00E73F76"/>
    <w:rsid w:val="00E77684"/>
    <w:rsid w:val="00EA2C9F"/>
    <w:rsid w:val="00EA420E"/>
    <w:rsid w:val="00ED0BDA"/>
    <w:rsid w:val="00EF1360"/>
    <w:rsid w:val="00EF3220"/>
    <w:rsid w:val="00EF6AA4"/>
    <w:rsid w:val="00F43903"/>
    <w:rsid w:val="00F70CF5"/>
    <w:rsid w:val="00F94155"/>
    <w:rsid w:val="00F9783F"/>
    <w:rsid w:val="00FD205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F5609"/>
  <w15:docId w15:val="{D91F9854-0B27-4B94-B528-9A0D3B85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5895-4468-43F4-887E-12E744B5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7</Pages>
  <Words>2823</Words>
  <Characters>16095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CRPD/C/18/2</vt:lpstr>
      <vt:lpstr>A/</vt:lpstr>
    </vt:vector>
  </TitlesOfParts>
  <Company>DCM</Company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CRPD/C/18/2</dc:title>
  <dc:subject/>
  <dc:creator>Elena IZOTOVA</dc:creator>
  <cp:keywords/>
  <cp:lastModifiedBy>Elena Izotova</cp:lastModifiedBy>
  <cp:revision>3</cp:revision>
  <cp:lastPrinted>2018-01-29T09:22:00Z</cp:lastPrinted>
  <dcterms:created xsi:type="dcterms:W3CDTF">2018-01-29T09:22:00Z</dcterms:created>
  <dcterms:modified xsi:type="dcterms:W3CDTF">2018-01-29T09:23:00Z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