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38A5" w:rsidRPr="005100A9" w:rsidTr="003C586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38A5" w:rsidRPr="005100A9" w:rsidRDefault="00B338A5" w:rsidP="00D0302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38A5" w:rsidRPr="005100A9" w:rsidRDefault="00B338A5" w:rsidP="003C5869">
            <w:pPr>
              <w:spacing w:after="80" w:line="300" w:lineRule="exact"/>
              <w:rPr>
                <w:sz w:val="28"/>
              </w:rPr>
            </w:pPr>
            <w:r w:rsidRPr="005100A9">
              <w:rPr>
                <w:sz w:val="28"/>
              </w:rPr>
              <w:t>Nations</w:t>
            </w:r>
            <w:r w:rsidR="005100A9" w:rsidRPr="005100A9">
              <w:rPr>
                <w:sz w:val="28"/>
              </w:rPr>
              <w:t xml:space="preserve"> </w:t>
            </w:r>
            <w:r w:rsidRPr="005100A9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38A5" w:rsidRPr="005100A9" w:rsidRDefault="00D03025" w:rsidP="00D03025">
            <w:pPr>
              <w:jc w:val="right"/>
            </w:pPr>
            <w:r w:rsidRPr="005100A9">
              <w:rPr>
                <w:sz w:val="40"/>
              </w:rPr>
              <w:t>CRPD</w:t>
            </w:r>
            <w:r w:rsidRPr="005100A9">
              <w:t>/C/18/D/22/2014</w:t>
            </w:r>
          </w:p>
        </w:tc>
      </w:tr>
      <w:tr w:rsidR="00B338A5" w:rsidRPr="005100A9" w:rsidTr="003C586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Pr="005100A9" w:rsidRDefault="00B338A5" w:rsidP="003C5869">
            <w:pPr>
              <w:spacing w:before="120"/>
              <w:jc w:val="center"/>
            </w:pPr>
            <w:r w:rsidRPr="005100A9">
              <w:rPr>
                <w:noProof/>
                <w:lang w:eastAsia="fr-CH"/>
              </w:rPr>
              <w:drawing>
                <wp:inline distT="0" distB="0" distL="0" distR="0" wp14:anchorId="5DE61643" wp14:editId="5EF100D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38A5" w:rsidRPr="005100A9" w:rsidRDefault="00B338A5" w:rsidP="003C5869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5100A9">
              <w:rPr>
                <w:b/>
                <w:sz w:val="34"/>
              </w:rPr>
              <w:t>Convention</w:t>
            </w:r>
            <w:r w:rsidR="005100A9" w:rsidRPr="005100A9">
              <w:rPr>
                <w:b/>
                <w:sz w:val="34"/>
              </w:rPr>
              <w:t xml:space="preserve"> </w:t>
            </w:r>
            <w:r w:rsidRPr="005100A9">
              <w:rPr>
                <w:b/>
                <w:sz w:val="34"/>
              </w:rPr>
              <w:t>relative</w:t>
            </w:r>
            <w:r w:rsidR="005100A9" w:rsidRPr="005100A9">
              <w:rPr>
                <w:b/>
                <w:sz w:val="34"/>
              </w:rPr>
              <w:t xml:space="preserve"> </w:t>
            </w:r>
            <w:r w:rsidRPr="005100A9">
              <w:rPr>
                <w:b/>
                <w:sz w:val="34"/>
              </w:rPr>
              <w:t>aux</w:t>
            </w:r>
            <w:r w:rsidR="005100A9" w:rsidRPr="005100A9">
              <w:rPr>
                <w:b/>
                <w:sz w:val="34"/>
              </w:rPr>
              <w:t xml:space="preserve"> </w:t>
            </w:r>
            <w:r w:rsidRPr="005100A9">
              <w:rPr>
                <w:b/>
                <w:sz w:val="34"/>
              </w:rPr>
              <w:t>droits</w:t>
            </w:r>
            <w:r w:rsidRPr="005100A9">
              <w:rPr>
                <w:b/>
                <w:sz w:val="34"/>
              </w:rPr>
              <w:br/>
              <w:t>des</w:t>
            </w:r>
            <w:r w:rsidR="005100A9" w:rsidRPr="005100A9">
              <w:rPr>
                <w:b/>
                <w:sz w:val="34"/>
              </w:rPr>
              <w:t xml:space="preserve"> </w:t>
            </w:r>
            <w:r w:rsidRPr="005100A9">
              <w:rPr>
                <w:b/>
                <w:sz w:val="34"/>
              </w:rPr>
              <w:t>personnes</w:t>
            </w:r>
            <w:r w:rsidR="005100A9" w:rsidRPr="005100A9">
              <w:rPr>
                <w:b/>
                <w:sz w:val="34"/>
              </w:rPr>
              <w:t xml:space="preserve"> </w:t>
            </w:r>
            <w:r w:rsidRPr="005100A9">
              <w:rPr>
                <w:b/>
                <w:sz w:val="34"/>
              </w:rPr>
              <w:t>handicapées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Pr="005100A9" w:rsidRDefault="00D03025" w:rsidP="003C5869">
            <w:pPr>
              <w:spacing w:before="240"/>
            </w:pPr>
            <w:r w:rsidRPr="005100A9">
              <w:t>Distr.</w:t>
            </w:r>
            <w:r w:rsidR="005100A9" w:rsidRPr="005100A9">
              <w:t xml:space="preserve"> </w:t>
            </w:r>
            <w:r w:rsidRPr="005100A9">
              <w:t>générale</w:t>
            </w:r>
          </w:p>
          <w:p w:rsidR="00D03025" w:rsidRPr="005100A9" w:rsidRDefault="00D03025" w:rsidP="00D03025">
            <w:pPr>
              <w:spacing w:line="240" w:lineRule="exact"/>
            </w:pPr>
            <w:r w:rsidRPr="005100A9">
              <w:t>5</w:t>
            </w:r>
            <w:r w:rsidR="005100A9" w:rsidRPr="005100A9">
              <w:t xml:space="preserve"> </w:t>
            </w:r>
            <w:r w:rsidRPr="005100A9">
              <w:t>octobre</w:t>
            </w:r>
            <w:r w:rsidR="005100A9" w:rsidRPr="005100A9">
              <w:t xml:space="preserve"> </w:t>
            </w:r>
            <w:r w:rsidRPr="005100A9">
              <w:t>2017</w:t>
            </w:r>
          </w:p>
          <w:p w:rsidR="00D03025" w:rsidRPr="005100A9" w:rsidRDefault="00D03025" w:rsidP="00D03025">
            <w:pPr>
              <w:spacing w:line="240" w:lineRule="exact"/>
            </w:pPr>
            <w:r w:rsidRPr="005100A9">
              <w:t>Français</w:t>
            </w:r>
          </w:p>
          <w:p w:rsidR="00D03025" w:rsidRPr="005100A9" w:rsidRDefault="00D03025" w:rsidP="00D03025">
            <w:pPr>
              <w:spacing w:line="240" w:lineRule="exact"/>
            </w:pPr>
            <w:r w:rsidRPr="005100A9">
              <w:t>Original</w:t>
            </w:r>
            <w:r w:rsidR="00E63416">
              <w:t> :</w:t>
            </w:r>
            <w:r w:rsidR="005100A9" w:rsidRPr="005100A9">
              <w:t xml:space="preserve"> </w:t>
            </w:r>
            <w:r w:rsidRPr="005100A9">
              <w:t>anglais</w:t>
            </w:r>
          </w:p>
        </w:tc>
      </w:tr>
    </w:tbl>
    <w:p w:rsidR="00275896" w:rsidRPr="005100A9" w:rsidRDefault="00275896" w:rsidP="00275896">
      <w:pPr>
        <w:spacing w:before="120"/>
        <w:rPr>
          <w:b/>
          <w:sz w:val="24"/>
          <w:szCs w:val="24"/>
        </w:rPr>
      </w:pPr>
      <w:r w:rsidRPr="005100A9">
        <w:rPr>
          <w:b/>
          <w:sz w:val="24"/>
          <w:szCs w:val="24"/>
        </w:rPr>
        <w:t>Comité</w:t>
      </w:r>
      <w:r w:rsidR="005100A9" w:rsidRPr="005100A9">
        <w:rPr>
          <w:b/>
          <w:sz w:val="24"/>
          <w:szCs w:val="24"/>
        </w:rPr>
        <w:t xml:space="preserve"> </w:t>
      </w:r>
      <w:r w:rsidRPr="005100A9">
        <w:rPr>
          <w:b/>
          <w:sz w:val="24"/>
          <w:szCs w:val="24"/>
        </w:rPr>
        <w:t>des</w:t>
      </w:r>
      <w:r w:rsidR="005100A9" w:rsidRPr="005100A9">
        <w:rPr>
          <w:b/>
          <w:sz w:val="24"/>
          <w:szCs w:val="24"/>
        </w:rPr>
        <w:t xml:space="preserve"> </w:t>
      </w:r>
      <w:r w:rsidRPr="005100A9">
        <w:rPr>
          <w:b/>
          <w:sz w:val="24"/>
          <w:szCs w:val="24"/>
        </w:rPr>
        <w:t>droits</w:t>
      </w:r>
      <w:r w:rsidR="005100A9" w:rsidRPr="005100A9">
        <w:rPr>
          <w:b/>
          <w:sz w:val="24"/>
          <w:szCs w:val="24"/>
        </w:rPr>
        <w:t xml:space="preserve"> </w:t>
      </w:r>
      <w:r w:rsidRPr="005100A9">
        <w:rPr>
          <w:b/>
          <w:sz w:val="24"/>
          <w:szCs w:val="24"/>
        </w:rPr>
        <w:t>des</w:t>
      </w:r>
      <w:r w:rsidR="005100A9" w:rsidRPr="005100A9">
        <w:rPr>
          <w:b/>
          <w:sz w:val="24"/>
          <w:szCs w:val="24"/>
        </w:rPr>
        <w:t xml:space="preserve"> </w:t>
      </w:r>
      <w:r w:rsidRPr="005100A9">
        <w:rPr>
          <w:b/>
          <w:sz w:val="24"/>
          <w:szCs w:val="24"/>
        </w:rPr>
        <w:t>personnes</w:t>
      </w:r>
      <w:r w:rsidR="005100A9" w:rsidRPr="005100A9">
        <w:rPr>
          <w:b/>
          <w:sz w:val="24"/>
          <w:szCs w:val="24"/>
        </w:rPr>
        <w:t xml:space="preserve"> </w:t>
      </w:r>
      <w:r w:rsidRPr="005100A9">
        <w:rPr>
          <w:b/>
          <w:sz w:val="24"/>
          <w:szCs w:val="24"/>
        </w:rPr>
        <w:t>handicapées</w:t>
      </w:r>
    </w:p>
    <w:p w:rsidR="001E23C3" w:rsidRPr="005100A9" w:rsidRDefault="001E23C3" w:rsidP="001E23C3">
      <w:pPr>
        <w:pStyle w:val="HChG"/>
        <w:tabs>
          <w:tab w:val="clear" w:pos="851"/>
        </w:tabs>
        <w:rPr>
          <w:b w:val="0"/>
          <w:sz w:val="20"/>
        </w:rPr>
      </w:pPr>
      <w:r w:rsidRPr="005100A9">
        <w:tab/>
        <w:t>Constatations</w:t>
      </w:r>
      <w:r w:rsidR="005100A9" w:rsidRPr="005100A9">
        <w:t xml:space="preserve"> </w:t>
      </w:r>
      <w:r w:rsidRPr="005100A9">
        <w:t>adoptées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titre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5</w:t>
      </w:r>
      <w:r w:rsidR="005100A9" w:rsidRPr="005100A9">
        <w:t xml:space="preserve"> </w:t>
      </w:r>
      <w:r w:rsidRPr="005100A9">
        <w:t>du</w:t>
      </w:r>
      <w:r w:rsidR="005100A9">
        <w:t> </w:t>
      </w:r>
      <w:r w:rsidRPr="005100A9">
        <w:t>Protocole</w:t>
      </w:r>
      <w:r w:rsidR="005100A9" w:rsidRPr="005100A9">
        <w:t xml:space="preserve"> </w:t>
      </w:r>
      <w:r w:rsidRPr="005100A9">
        <w:t>facultatif,</w:t>
      </w:r>
      <w:r w:rsidR="005100A9" w:rsidRPr="005100A9">
        <w:t xml:space="preserve"> </w:t>
      </w:r>
      <w:r w:rsidRPr="005100A9">
        <w:t>concernant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n</w:t>
      </w:r>
      <w:r w:rsidRPr="005100A9">
        <w:rPr>
          <w:vertAlign w:val="superscript"/>
        </w:rPr>
        <w:t>o</w:t>
      </w:r>
      <w:r w:rsidR="005100A9" w:rsidRPr="005100A9">
        <w:t> </w:t>
      </w:r>
      <w:r w:rsidRPr="005100A9">
        <w:t>22/2014</w:t>
      </w:r>
      <w:r w:rsidRPr="005100A9">
        <w:rPr>
          <w:b w:val="0"/>
          <w:sz w:val="20"/>
        </w:rPr>
        <w:footnoteReference w:customMarkFollows="1" w:id="2"/>
        <w:t>*</w:t>
      </w:r>
      <w:r w:rsidRPr="005100A9">
        <w:rPr>
          <w:b w:val="0"/>
          <w:sz w:val="20"/>
          <w:vertAlign w:val="superscript"/>
        </w:rPr>
        <w:t>,</w:t>
      </w:r>
      <w:r w:rsidR="005100A9" w:rsidRPr="005100A9">
        <w:rPr>
          <w:b w:val="0"/>
          <w:sz w:val="20"/>
          <w:vertAlign w:val="superscript"/>
        </w:rPr>
        <w:t xml:space="preserve"> </w:t>
      </w:r>
      <w:r w:rsidRPr="005100A9">
        <w:rPr>
          <w:b w:val="0"/>
          <w:sz w:val="20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70"/>
      </w:tblGrid>
      <w:tr w:rsidR="00055743" w:rsidRPr="005100A9" w:rsidTr="009F7D1D">
        <w:tc>
          <w:tcPr>
            <w:tcW w:w="2835" w:type="dxa"/>
          </w:tcPr>
          <w:p w:rsidR="00055743" w:rsidRPr="005100A9" w:rsidRDefault="00055743" w:rsidP="005100A9">
            <w:pPr>
              <w:pStyle w:val="SingleTxtG"/>
              <w:ind w:left="0" w:right="0"/>
              <w:jc w:val="left"/>
              <w:rPr>
                <w:i/>
              </w:rPr>
            </w:pPr>
            <w:r w:rsidRPr="005100A9">
              <w:rPr>
                <w:i/>
              </w:rPr>
              <w:t>Communication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présentée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par</w:t>
            </w:r>
            <w:r w:rsidR="00E63416">
              <w:t> :</w:t>
            </w:r>
          </w:p>
        </w:tc>
        <w:tc>
          <w:tcPr>
            <w:tcW w:w="3970" w:type="dxa"/>
          </w:tcPr>
          <w:p w:rsidR="00055743" w:rsidRPr="005100A9" w:rsidRDefault="00B55750" w:rsidP="005100A9">
            <w:pPr>
              <w:pStyle w:val="SingleTxtG"/>
              <w:ind w:left="0" w:right="0"/>
              <w:jc w:val="left"/>
            </w:pPr>
            <w:r w:rsidRPr="005100A9">
              <w:t>X</w:t>
            </w:r>
            <w:r w:rsidR="005100A9" w:rsidRPr="005100A9">
              <w:t xml:space="preserve"> </w:t>
            </w:r>
            <w:r w:rsidRPr="005100A9">
              <w:t>(représenté</w:t>
            </w:r>
            <w:r w:rsidR="005100A9" w:rsidRPr="005100A9">
              <w:t xml:space="preserve"> </w:t>
            </w:r>
            <w:r w:rsidRPr="005100A9">
              <w:t>par</w:t>
            </w:r>
            <w:r w:rsidR="005100A9" w:rsidRPr="005100A9">
              <w:t xml:space="preserve"> </w:t>
            </w:r>
            <w:r w:rsidRPr="005100A9">
              <w:t>un</w:t>
            </w:r>
            <w:r w:rsidR="005100A9" w:rsidRPr="005100A9">
              <w:t xml:space="preserve"> </w:t>
            </w:r>
            <w:r w:rsidRPr="005100A9">
              <w:t>conseil)</w:t>
            </w:r>
          </w:p>
        </w:tc>
      </w:tr>
      <w:tr w:rsidR="00055743" w:rsidRPr="005100A9" w:rsidTr="009F7D1D">
        <w:tc>
          <w:tcPr>
            <w:tcW w:w="2835" w:type="dxa"/>
          </w:tcPr>
          <w:p w:rsidR="00055743" w:rsidRPr="005100A9" w:rsidRDefault="00055743" w:rsidP="005100A9">
            <w:pPr>
              <w:pStyle w:val="SingleTxtG"/>
              <w:ind w:left="0" w:right="0"/>
              <w:jc w:val="left"/>
              <w:rPr>
                <w:i/>
              </w:rPr>
            </w:pPr>
            <w:r w:rsidRPr="005100A9">
              <w:rPr>
                <w:i/>
              </w:rPr>
              <w:t>Au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nom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de</w:t>
            </w:r>
            <w:r w:rsidR="00E63416">
              <w:t> :</w:t>
            </w:r>
          </w:p>
        </w:tc>
        <w:tc>
          <w:tcPr>
            <w:tcW w:w="3970" w:type="dxa"/>
          </w:tcPr>
          <w:p w:rsidR="00055743" w:rsidRPr="005100A9" w:rsidRDefault="00B55750" w:rsidP="005100A9">
            <w:pPr>
              <w:pStyle w:val="SingleTxtG"/>
              <w:ind w:left="0" w:right="0"/>
              <w:jc w:val="left"/>
            </w:pPr>
            <w:r w:rsidRPr="005100A9">
              <w:t>L</w:t>
            </w:r>
            <w:r w:rsidR="00A33279">
              <w:t>’</w:t>
            </w:r>
            <w:r w:rsidRPr="005100A9">
              <w:t>auteur</w:t>
            </w:r>
          </w:p>
        </w:tc>
      </w:tr>
      <w:tr w:rsidR="00055743" w:rsidRPr="005100A9" w:rsidTr="009F7D1D">
        <w:tc>
          <w:tcPr>
            <w:tcW w:w="2835" w:type="dxa"/>
          </w:tcPr>
          <w:p w:rsidR="00055743" w:rsidRPr="005100A9" w:rsidRDefault="00055743" w:rsidP="005100A9">
            <w:pPr>
              <w:pStyle w:val="SingleTxtG"/>
              <w:ind w:left="0" w:right="0"/>
              <w:jc w:val="left"/>
              <w:rPr>
                <w:i/>
              </w:rPr>
            </w:pPr>
            <w:r w:rsidRPr="005100A9">
              <w:rPr>
                <w:i/>
              </w:rPr>
              <w:t>État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partie</w:t>
            </w:r>
            <w:r w:rsidR="00E63416">
              <w:t> :</w:t>
            </w:r>
          </w:p>
        </w:tc>
        <w:tc>
          <w:tcPr>
            <w:tcW w:w="3970" w:type="dxa"/>
          </w:tcPr>
          <w:p w:rsidR="00055743" w:rsidRPr="005100A9" w:rsidRDefault="00C505DC" w:rsidP="005100A9">
            <w:pPr>
              <w:pStyle w:val="SingleTxtG"/>
              <w:ind w:left="0" w:right="0"/>
              <w:jc w:val="left"/>
            </w:pPr>
            <w:r w:rsidRPr="005100A9">
              <w:t>République-Unie</w:t>
            </w:r>
            <w:r w:rsidR="005100A9" w:rsidRPr="005100A9">
              <w:t xml:space="preserve"> </w:t>
            </w:r>
            <w:r w:rsidRPr="005100A9">
              <w:t>de</w:t>
            </w:r>
            <w:r w:rsidR="005100A9" w:rsidRPr="005100A9">
              <w:t xml:space="preserve"> </w:t>
            </w:r>
            <w:r w:rsidRPr="005100A9">
              <w:t>Tanzanie</w:t>
            </w:r>
          </w:p>
        </w:tc>
      </w:tr>
      <w:tr w:rsidR="00055743" w:rsidRPr="005100A9" w:rsidTr="009F7D1D">
        <w:tc>
          <w:tcPr>
            <w:tcW w:w="2835" w:type="dxa"/>
          </w:tcPr>
          <w:p w:rsidR="00055743" w:rsidRPr="005100A9" w:rsidRDefault="00055743" w:rsidP="00C505DC">
            <w:pPr>
              <w:pStyle w:val="SingleTxtG"/>
              <w:ind w:left="0" w:right="0"/>
              <w:jc w:val="left"/>
              <w:rPr>
                <w:i/>
              </w:rPr>
            </w:pPr>
            <w:r w:rsidRPr="005100A9">
              <w:rPr>
                <w:i/>
              </w:rPr>
              <w:t>Date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de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la</w:t>
            </w:r>
            <w:r w:rsidR="005100A9" w:rsidRPr="005100A9">
              <w:rPr>
                <w:i/>
              </w:rPr>
              <w:t xml:space="preserve"> </w:t>
            </w:r>
            <w:r w:rsidR="00C505DC" w:rsidRPr="005100A9">
              <w:rPr>
                <w:i/>
              </w:rPr>
              <w:t>communication</w:t>
            </w:r>
            <w:r w:rsidR="00E63416">
              <w:t> :</w:t>
            </w:r>
          </w:p>
        </w:tc>
        <w:tc>
          <w:tcPr>
            <w:tcW w:w="3970" w:type="dxa"/>
          </w:tcPr>
          <w:p w:rsidR="00055743" w:rsidRPr="005100A9" w:rsidRDefault="00C505DC" w:rsidP="005100A9">
            <w:pPr>
              <w:pStyle w:val="SingleTxtG"/>
              <w:ind w:left="0" w:right="0"/>
              <w:jc w:val="left"/>
            </w:pPr>
            <w:r w:rsidRPr="005100A9">
              <w:t>23</w:t>
            </w:r>
            <w:r w:rsidR="005100A9" w:rsidRPr="005100A9">
              <w:t xml:space="preserve"> </w:t>
            </w:r>
            <w:r w:rsidRPr="005100A9">
              <w:t>juin</w:t>
            </w:r>
            <w:r w:rsidR="005100A9" w:rsidRPr="005100A9">
              <w:t xml:space="preserve"> </w:t>
            </w:r>
            <w:r w:rsidRPr="005100A9">
              <w:t>2014</w:t>
            </w:r>
            <w:r w:rsidR="005100A9" w:rsidRPr="005100A9">
              <w:t xml:space="preserve"> </w:t>
            </w:r>
            <w:r w:rsidRPr="005100A9">
              <w:t>(date</w:t>
            </w:r>
            <w:r w:rsidR="005100A9" w:rsidRPr="005100A9">
              <w:t xml:space="preserve"> </w:t>
            </w:r>
            <w:r w:rsidRPr="005100A9">
              <w:t>de</w:t>
            </w:r>
            <w:r w:rsidR="005100A9" w:rsidRPr="005100A9">
              <w:t xml:space="preserve"> </w:t>
            </w:r>
            <w:r w:rsidRPr="005100A9">
              <w:t>la</w:t>
            </w:r>
            <w:r w:rsidR="005100A9" w:rsidRPr="005100A9">
              <w:t xml:space="preserve"> </w:t>
            </w:r>
            <w:r w:rsidRPr="005100A9">
              <w:t>lettre</w:t>
            </w:r>
            <w:r w:rsidR="005100A9" w:rsidRPr="005100A9">
              <w:t xml:space="preserve"> </w:t>
            </w:r>
            <w:r w:rsidRPr="005100A9">
              <w:t>initiale)</w:t>
            </w:r>
          </w:p>
        </w:tc>
      </w:tr>
      <w:tr w:rsidR="00C505DC" w:rsidRPr="005100A9" w:rsidTr="009F7D1D">
        <w:tc>
          <w:tcPr>
            <w:tcW w:w="2835" w:type="dxa"/>
          </w:tcPr>
          <w:p w:rsidR="00C505DC" w:rsidRPr="005100A9" w:rsidRDefault="00C505DC" w:rsidP="00C505DC">
            <w:pPr>
              <w:pStyle w:val="SingleTxtG"/>
              <w:ind w:left="0" w:right="0"/>
              <w:jc w:val="left"/>
              <w:rPr>
                <w:i/>
              </w:rPr>
            </w:pPr>
            <w:r w:rsidRPr="005100A9">
              <w:rPr>
                <w:i/>
              </w:rPr>
              <w:t>Références</w:t>
            </w:r>
            <w:r w:rsidR="00E63416">
              <w:rPr>
                <w:i/>
              </w:rPr>
              <w:t> :</w:t>
            </w:r>
          </w:p>
        </w:tc>
        <w:tc>
          <w:tcPr>
            <w:tcW w:w="3970" w:type="dxa"/>
          </w:tcPr>
          <w:p w:rsidR="00C505DC" w:rsidRPr="005100A9" w:rsidRDefault="00C505DC" w:rsidP="005100A9">
            <w:pPr>
              <w:pStyle w:val="SingleTxtG"/>
              <w:ind w:left="0" w:right="0"/>
              <w:jc w:val="left"/>
            </w:pPr>
            <w:r w:rsidRPr="005100A9">
              <w:t>Décision</w:t>
            </w:r>
            <w:r w:rsidR="005100A9" w:rsidRPr="005100A9">
              <w:t xml:space="preserve"> </w:t>
            </w:r>
            <w:r w:rsidRPr="005100A9">
              <w:t>prise</w:t>
            </w:r>
            <w:r w:rsidR="005100A9" w:rsidRPr="005100A9">
              <w:t xml:space="preserve"> </w:t>
            </w:r>
            <w:r w:rsidRPr="005100A9">
              <w:t>en</w:t>
            </w:r>
            <w:r w:rsidR="005100A9" w:rsidRPr="005100A9">
              <w:t xml:space="preserve"> </w:t>
            </w:r>
            <w:r w:rsidRPr="005100A9">
              <w:t>application</w:t>
            </w:r>
            <w:r w:rsidR="005100A9" w:rsidRPr="005100A9">
              <w:t xml:space="preserve"> </w:t>
            </w:r>
            <w:r w:rsidRPr="005100A9">
              <w:t>de</w:t>
            </w:r>
            <w:r w:rsidR="005100A9" w:rsidRPr="005100A9">
              <w:t xml:space="preserve"> </w:t>
            </w:r>
            <w:r w:rsidRPr="005100A9">
              <w:t>l</w:t>
            </w:r>
            <w:r w:rsidR="00A33279">
              <w:t>’</w:t>
            </w:r>
            <w:r w:rsidRPr="005100A9">
              <w:t>article</w:t>
            </w:r>
            <w:r w:rsidR="005100A9" w:rsidRPr="005100A9">
              <w:t xml:space="preserve"> </w:t>
            </w:r>
            <w:r w:rsidRPr="005100A9">
              <w:t>70</w:t>
            </w:r>
            <w:r w:rsidR="005100A9" w:rsidRPr="005100A9">
              <w:t xml:space="preserve"> </w:t>
            </w:r>
            <w:r w:rsidRPr="005100A9">
              <w:t>du</w:t>
            </w:r>
            <w:r w:rsidR="005100A9" w:rsidRPr="005100A9">
              <w:t xml:space="preserve"> </w:t>
            </w:r>
            <w:r w:rsidR="00F412C0" w:rsidRPr="005100A9">
              <w:t xml:space="preserve">Règlement </w:t>
            </w:r>
            <w:r w:rsidRPr="005100A9">
              <w:t>intérieur</w:t>
            </w:r>
            <w:r w:rsidR="005100A9" w:rsidRPr="005100A9">
              <w:t xml:space="preserve"> </w:t>
            </w:r>
            <w:r w:rsidRPr="005100A9">
              <w:t>du</w:t>
            </w:r>
            <w:r w:rsidR="005100A9" w:rsidRPr="005100A9">
              <w:t xml:space="preserve"> </w:t>
            </w:r>
            <w:r w:rsidRPr="005100A9">
              <w:t>Comité,</w:t>
            </w:r>
            <w:r w:rsidR="005100A9" w:rsidRPr="005100A9">
              <w:t xml:space="preserve"> </w:t>
            </w:r>
            <w:r w:rsidRPr="005100A9">
              <w:t>communiquée</w:t>
            </w:r>
            <w:r w:rsidR="005100A9" w:rsidRPr="005100A9">
              <w:t xml:space="preserve"> </w:t>
            </w:r>
            <w:r w:rsidRPr="005100A9">
              <w:t>à</w:t>
            </w:r>
            <w:r w:rsidR="005100A9" w:rsidRPr="005100A9">
              <w:t xml:space="preserve"> </w:t>
            </w:r>
            <w:r w:rsidRPr="005100A9">
              <w:t>l</w:t>
            </w:r>
            <w:r w:rsidR="00A33279">
              <w:t>’</w:t>
            </w:r>
            <w:r w:rsidRPr="005100A9">
              <w:t>État</w:t>
            </w:r>
            <w:r w:rsidR="005100A9" w:rsidRPr="005100A9">
              <w:t xml:space="preserve"> </w:t>
            </w:r>
            <w:r w:rsidRPr="005100A9">
              <w:t>partie</w:t>
            </w:r>
            <w:r w:rsidR="005100A9" w:rsidRPr="005100A9">
              <w:t xml:space="preserve"> </w:t>
            </w:r>
            <w:r w:rsidRPr="005100A9">
              <w:t>le</w:t>
            </w:r>
            <w:r w:rsidR="005100A9" w:rsidRPr="005100A9">
              <w:t xml:space="preserve"> </w:t>
            </w:r>
            <w:r w:rsidRPr="005100A9">
              <w:t>9</w:t>
            </w:r>
            <w:r w:rsidR="005100A9" w:rsidRPr="005100A9">
              <w:t xml:space="preserve"> </w:t>
            </w:r>
            <w:r w:rsidRPr="005100A9">
              <w:t>juillet</w:t>
            </w:r>
            <w:r w:rsidR="005100A9" w:rsidRPr="005100A9">
              <w:t xml:space="preserve"> </w:t>
            </w:r>
            <w:r w:rsidRPr="005100A9">
              <w:t>2014</w:t>
            </w:r>
            <w:r w:rsidR="005100A9" w:rsidRPr="005100A9">
              <w:t xml:space="preserve"> </w:t>
            </w:r>
            <w:r w:rsidRPr="005100A9">
              <w:t>(non</w:t>
            </w:r>
            <w:r w:rsidR="005100A9" w:rsidRPr="005100A9">
              <w:t xml:space="preserve"> </w:t>
            </w:r>
            <w:r w:rsidRPr="005100A9">
              <w:t>publiée</w:t>
            </w:r>
            <w:r w:rsidR="005100A9" w:rsidRPr="005100A9">
              <w:t xml:space="preserve"> </w:t>
            </w:r>
            <w:r w:rsidRPr="005100A9">
              <w:t>sous</w:t>
            </w:r>
            <w:r w:rsidR="005100A9" w:rsidRPr="005100A9">
              <w:t xml:space="preserve"> </w:t>
            </w:r>
            <w:r w:rsidRPr="005100A9">
              <w:t>forme</w:t>
            </w:r>
            <w:r w:rsidR="005100A9" w:rsidRPr="005100A9">
              <w:t xml:space="preserve"> </w:t>
            </w:r>
            <w:r w:rsidRPr="005100A9">
              <w:t>de</w:t>
            </w:r>
            <w:r w:rsidR="005100A9" w:rsidRPr="005100A9">
              <w:t xml:space="preserve"> </w:t>
            </w:r>
            <w:r w:rsidRPr="005100A9">
              <w:t>document)</w:t>
            </w:r>
          </w:p>
        </w:tc>
      </w:tr>
      <w:tr w:rsidR="00055743" w:rsidRPr="005100A9" w:rsidTr="009F7D1D">
        <w:tc>
          <w:tcPr>
            <w:tcW w:w="2835" w:type="dxa"/>
          </w:tcPr>
          <w:p w:rsidR="00055743" w:rsidRPr="005100A9" w:rsidRDefault="00055743" w:rsidP="00C505DC">
            <w:pPr>
              <w:pStyle w:val="SingleTxtG"/>
              <w:ind w:left="0" w:right="0"/>
              <w:jc w:val="left"/>
              <w:rPr>
                <w:i/>
              </w:rPr>
            </w:pPr>
            <w:r w:rsidRPr="005100A9">
              <w:rPr>
                <w:i/>
              </w:rPr>
              <w:t>Date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de</w:t>
            </w:r>
            <w:r w:rsidR="00C505DC" w:rsidRPr="005100A9">
              <w:rPr>
                <w:i/>
              </w:rPr>
              <w:t>s</w:t>
            </w:r>
            <w:r w:rsidR="005100A9" w:rsidRPr="005100A9">
              <w:rPr>
                <w:i/>
              </w:rPr>
              <w:t xml:space="preserve"> </w:t>
            </w:r>
            <w:r w:rsidR="00C505DC" w:rsidRPr="005100A9">
              <w:rPr>
                <w:i/>
              </w:rPr>
              <w:t>constatations</w:t>
            </w:r>
            <w:r w:rsidR="00E63416">
              <w:t> :</w:t>
            </w:r>
          </w:p>
        </w:tc>
        <w:tc>
          <w:tcPr>
            <w:tcW w:w="3970" w:type="dxa"/>
            <w:vAlign w:val="bottom"/>
          </w:tcPr>
          <w:p w:rsidR="00055743" w:rsidRPr="005100A9" w:rsidRDefault="00C505DC" w:rsidP="005100A9">
            <w:pPr>
              <w:pStyle w:val="SingleTxtG"/>
              <w:ind w:left="0" w:right="0"/>
              <w:jc w:val="left"/>
            </w:pPr>
            <w:r w:rsidRPr="005100A9">
              <w:t>18</w:t>
            </w:r>
            <w:r w:rsidR="005100A9" w:rsidRPr="005100A9">
              <w:t xml:space="preserve"> </w:t>
            </w:r>
            <w:r w:rsidRPr="005100A9">
              <w:t>août</w:t>
            </w:r>
            <w:r w:rsidR="005100A9" w:rsidRPr="005100A9">
              <w:t xml:space="preserve"> </w:t>
            </w:r>
            <w:r w:rsidRPr="005100A9">
              <w:t>2017</w:t>
            </w:r>
          </w:p>
        </w:tc>
      </w:tr>
      <w:tr w:rsidR="00055743" w:rsidRPr="005100A9" w:rsidTr="009F7D1D">
        <w:tc>
          <w:tcPr>
            <w:tcW w:w="2835" w:type="dxa"/>
          </w:tcPr>
          <w:p w:rsidR="00055743" w:rsidRPr="005100A9" w:rsidRDefault="00055743" w:rsidP="005100A9">
            <w:pPr>
              <w:pStyle w:val="SingleTxtG"/>
              <w:ind w:left="0" w:right="0"/>
              <w:jc w:val="left"/>
            </w:pPr>
            <w:r w:rsidRPr="005100A9">
              <w:rPr>
                <w:i/>
              </w:rPr>
              <w:t>Objet</w:t>
            </w:r>
            <w:r w:rsidR="00E63416">
              <w:t> :</w:t>
            </w:r>
          </w:p>
        </w:tc>
        <w:tc>
          <w:tcPr>
            <w:tcW w:w="3970" w:type="dxa"/>
            <w:vAlign w:val="bottom"/>
          </w:tcPr>
          <w:p w:rsidR="00055743" w:rsidRPr="005100A9" w:rsidRDefault="00C505DC" w:rsidP="005100A9">
            <w:pPr>
              <w:pStyle w:val="SingleTxtG"/>
              <w:ind w:left="0" w:right="0"/>
              <w:jc w:val="left"/>
            </w:pPr>
            <w:r w:rsidRPr="005100A9">
              <w:t>Torture,</w:t>
            </w:r>
            <w:r w:rsidR="005100A9" w:rsidRPr="005100A9">
              <w:t xml:space="preserve"> </w:t>
            </w:r>
            <w:r w:rsidRPr="005100A9">
              <w:t>traitements</w:t>
            </w:r>
            <w:r w:rsidR="005100A9" w:rsidRPr="005100A9">
              <w:t xml:space="preserve"> </w:t>
            </w:r>
            <w:r w:rsidRPr="005100A9">
              <w:t>inhumains</w:t>
            </w:r>
            <w:r w:rsidR="005100A9" w:rsidRPr="005100A9">
              <w:t xml:space="preserve"> </w:t>
            </w:r>
            <w:r w:rsidRPr="005100A9">
              <w:t>et</w:t>
            </w:r>
            <w:r w:rsidR="005100A9" w:rsidRPr="005100A9">
              <w:t xml:space="preserve"> </w:t>
            </w:r>
            <w:r w:rsidRPr="005100A9">
              <w:t>dégradants</w:t>
            </w:r>
            <w:r w:rsidR="00E63416">
              <w:t> ;</w:t>
            </w:r>
            <w:r w:rsidR="005100A9" w:rsidRPr="005100A9">
              <w:t xml:space="preserve"> </w:t>
            </w:r>
            <w:r w:rsidRPr="005100A9">
              <w:t>discrimination</w:t>
            </w:r>
            <w:r w:rsidR="005100A9" w:rsidRPr="005100A9">
              <w:t xml:space="preserve"> </w:t>
            </w:r>
            <w:r w:rsidRPr="005100A9">
              <w:t>à</w:t>
            </w:r>
            <w:r w:rsidR="005100A9" w:rsidRPr="005100A9">
              <w:t xml:space="preserve"> </w:t>
            </w:r>
            <w:r w:rsidRPr="005100A9">
              <w:t>l</w:t>
            </w:r>
            <w:r w:rsidR="00A33279">
              <w:t>’</w:t>
            </w:r>
            <w:r w:rsidRPr="005100A9">
              <w:t>égard</w:t>
            </w:r>
            <w:r w:rsidR="005100A9" w:rsidRPr="005100A9">
              <w:t xml:space="preserve"> </w:t>
            </w:r>
            <w:r w:rsidRPr="005100A9">
              <w:t>d</w:t>
            </w:r>
            <w:r w:rsidR="00A33279">
              <w:t>’</w:t>
            </w:r>
            <w:r w:rsidRPr="005100A9">
              <w:t>une</w:t>
            </w:r>
            <w:r w:rsidR="005100A9" w:rsidRPr="005100A9">
              <w:t xml:space="preserve"> </w:t>
            </w:r>
            <w:r w:rsidRPr="005100A9">
              <w:t>personne</w:t>
            </w:r>
            <w:r w:rsidR="005100A9" w:rsidRPr="005100A9">
              <w:t xml:space="preserve"> </w:t>
            </w:r>
            <w:r w:rsidRPr="005100A9">
              <w:t>atteinte</w:t>
            </w:r>
            <w:r w:rsidR="005100A9" w:rsidRPr="005100A9">
              <w:t xml:space="preserve"> </w:t>
            </w:r>
            <w:r w:rsidRPr="005100A9">
              <w:t>d</w:t>
            </w:r>
            <w:r w:rsidR="00A33279">
              <w:t>’</w:t>
            </w:r>
            <w:r w:rsidRPr="005100A9">
              <w:t>albinisme</w:t>
            </w:r>
          </w:p>
        </w:tc>
      </w:tr>
      <w:tr w:rsidR="00055743" w:rsidRPr="005100A9" w:rsidTr="009F7D1D">
        <w:tc>
          <w:tcPr>
            <w:tcW w:w="2835" w:type="dxa"/>
          </w:tcPr>
          <w:p w:rsidR="00055743" w:rsidRPr="005100A9" w:rsidRDefault="00055743" w:rsidP="005100A9">
            <w:pPr>
              <w:pStyle w:val="SingleTxtG"/>
              <w:ind w:left="0" w:right="0"/>
              <w:jc w:val="left"/>
            </w:pPr>
            <w:r w:rsidRPr="005100A9">
              <w:rPr>
                <w:i/>
              </w:rPr>
              <w:t>Questions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de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procédure</w:t>
            </w:r>
            <w:r w:rsidR="00E63416">
              <w:t> :</w:t>
            </w:r>
          </w:p>
        </w:tc>
        <w:tc>
          <w:tcPr>
            <w:tcW w:w="3970" w:type="dxa"/>
            <w:vAlign w:val="bottom"/>
          </w:tcPr>
          <w:p w:rsidR="00055743" w:rsidRPr="005100A9" w:rsidRDefault="00C505DC" w:rsidP="00F412C0">
            <w:pPr>
              <w:pStyle w:val="SingleTxtG"/>
              <w:ind w:left="0" w:right="0"/>
              <w:jc w:val="left"/>
            </w:pPr>
            <w:r w:rsidRPr="005100A9">
              <w:t>Recevabilité</w:t>
            </w:r>
            <w:r w:rsidR="005100A9" w:rsidRPr="005100A9">
              <w:t xml:space="preserve"> </w:t>
            </w:r>
            <w:r w:rsidR="00F412C0">
              <w:t>−</w:t>
            </w:r>
            <w:r w:rsidR="005100A9" w:rsidRPr="005100A9">
              <w:t xml:space="preserve"> </w:t>
            </w:r>
            <w:r w:rsidRPr="005100A9">
              <w:t>épuisement</w:t>
            </w:r>
            <w:r w:rsidR="005100A9" w:rsidRPr="005100A9">
              <w:t xml:space="preserve"> </w:t>
            </w:r>
            <w:r w:rsidRPr="005100A9">
              <w:t>des</w:t>
            </w:r>
            <w:r w:rsidR="005100A9" w:rsidRPr="005100A9">
              <w:t xml:space="preserve"> </w:t>
            </w:r>
            <w:r w:rsidRPr="005100A9">
              <w:t>recours</w:t>
            </w:r>
            <w:r w:rsidR="005100A9" w:rsidRPr="005100A9">
              <w:t xml:space="preserve"> </w:t>
            </w:r>
            <w:r w:rsidRPr="005100A9">
              <w:t>internes</w:t>
            </w:r>
          </w:p>
        </w:tc>
      </w:tr>
      <w:tr w:rsidR="00055743" w:rsidRPr="005100A9" w:rsidTr="009F7D1D">
        <w:tc>
          <w:tcPr>
            <w:tcW w:w="2835" w:type="dxa"/>
          </w:tcPr>
          <w:p w:rsidR="00055743" w:rsidRPr="005100A9" w:rsidRDefault="00055743" w:rsidP="005100A9">
            <w:pPr>
              <w:pStyle w:val="SingleTxtG"/>
              <w:ind w:left="0" w:right="0"/>
              <w:jc w:val="left"/>
            </w:pPr>
            <w:r w:rsidRPr="005100A9">
              <w:rPr>
                <w:i/>
              </w:rPr>
              <w:t>Questions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de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fond</w:t>
            </w:r>
            <w:r w:rsidR="00E63416">
              <w:t> :</w:t>
            </w:r>
          </w:p>
        </w:tc>
        <w:tc>
          <w:tcPr>
            <w:tcW w:w="3970" w:type="dxa"/>
            <w:vAlign w:val="bottom"/>
          </w:tcPr>
          <w:p w:rsidR="00055743" w:rsidRPr="005100A9" w:rsidRDefault="009F7D1D" w:rsidP="005100A9">
            <w:pPr>
              <w:pStyle w:val="SingleTxtG"/>
              <w:ind w:left="0" w:right="0"/>
              <w:jc w:val="left"/>
            </w:pPr>
            <w:r w:rsidRPr="005100A9">
              <w:t>Albinisme</w:t>
            </w:r>
            <w:r w:rsidR="00E63416">
              <w:t> ;</w:t>
            </w:r>
            <w:r w:rsidR="005100A9" w:rsidRPr="005100A9">
              <w:t xml:space="preserve"> </w:t>
            </w:r>
            <w:r w:rsidRPr="005100A9">
              <w:t>discrimination</w:t>
            </w:r>
            <w:r w:rsidR="005100A9" w:rsidRPr="005100A9">
              <w:t xml:space="preserve"> </w:t>
            </w:r>
            <w:r w:rsidRPr="005100A9">
              <w:t>fondée</w:t>
            </w:r>
            <w:r w:rsidR="005100A9" w:rsidRPr="005100A9">
              <w:t xml:space="preserve"> </w:t>
            </w:r>
            <w:r w:rsidRPr="005100A9">
              <w:t>sur</w:t>
            </w:r>
            <w:r w:rsidR="005100A9" w:rsidRPr="005100A9">
              <w:t xml:space="preserve"> </w:t>
            </w:r>
            <w:r w:rsidRPr="005100A9">
              <w:t>le</w:t>
            </w:r>
            <w:r w:rsidR="005100A9" w:rsidRPr="005100A9">
              <w:t xml:space="preserve"> </w:t>
            </w:r>
            <w:r w:rsidRPr="005100A9">
              <w:t>handicap</w:t>
            </w:r>
            <w:r w:rsidR="00E63416">
              <w:t> ;</w:t>
            </w:r>
            <w:r w:rsidR="005100A9" w:rsidRPr="005100A9">
              <w:t xml:space="preserve"> </w:t>
            </w:r>
            <w:r w:rsidRPr="005100A9">
              <w:t>torture,</w:t>
            </w:r>
            <w:r w:rsidR="005100A9" w:rsidRPr="005100A9">
              <w:t xml:space="preserve"> </w:t>
            </w:r>
            <w:r w:rsidRPr="005100A9">
              <w:t>traitements</w:t>
            </w:r>
            <w:r w:rsidR="005100A9" w:rsidRPr="005100A9">
              <w:t xml:space="preserve"> </w:t>
            </w:r>
            <w:r w:rsidRPr="005100A9">
              <w:t>inhumains</w:t>
            </w:r>
            <w:r w:rsidR="005100A9" w:rsidRPr="005100A9">
              <w:t xml:space="preserve"> </w:t>
            </w:r>
            <w:r w:rsidRPr="005100A9">
              <w:t>et</w:t>
            </w:r>
            <w:r w:rsidR="005100A9" w:rsidRPr="005100A9">
              <w:t xml:space="preserve"> </w:t>
            </w:r>
            <w:r w:rsidRPr="005100A9">
              <w:t>dégradants</w:t>
            </w:r>
            <w:r w:rsidR="00E63416">
              <w:t> ;</w:t>
            </w:r>
            <w:r w:rsidR="005100A9" w:rsidRPr="005100A9">
              <w:t xml:space="preserve"> </w:t>
            </w:r>
            <w:r w:rsidRPr="005100A9">
              <w:t>violation</w:t>
            </w:r>
            <w:r w:rsidR="005100A9" w:rsidRPr="005100A9">
              <w:t xml:space="preserve"> </w:t>
            </w:r>
            <w:r w:rsidRPr="005100A9">
              <w:t>du</w:t>
            </w:r>
            <w:r w:rsidR="005100A9" w:rsidRPr="005100A9">
              <w:t xml:space="preserve"> </w:t>
            </w:r>
            <w:r w:rsidRPr="005100A9">
              <w:t>droit</w:t>
            </w:r>
            <w:r w:rsidR="005100A9" w:rsidRPr="005100A9">
              <w:t xml:space="preserve"> </w:t>
            </w:r>
            <w:r w:rsidRPr="005100A9">
              <w:t>au</w:t>
            </w:r>
            <w:r w:rsidR="005100A9" w:rsidRPr="005100A9">
              <w:t xml:space="preserve"> </w:t>
            </w:r>
            <w:r w:rsidRPr="005100A9">
              <w:t>respect</w:t>
            </w:r>
            <w:r w:rsidR="005100A9" w:rsidRPr="005100A9">
              <w:t xml:space="preserve"> </w:t>
            </w:r>
            <w:r w:rsidRPr="005100A9">
              <w:t>de</w:t>
            </w:r>
            <w:r w:rsidR="005100A9" w:rsidRPr="005100A9">
              <w:t xml:space="preserve"> </w:t>
            </w:r>
            <w:r w:rsidRPr="005100A9">
              <w:t>l</w:t>
            </w:r>
            <w:r w:rsidR="00A33279">
              <w:t>’</w:t>
            </w:r>
            <w:r w:rsidRPr="005100A9">
              <w:t>intégrité</w:t>
            </w:r>
            <w:r w:rsidR="005100A9" w:rsidRPr="005100A9">
              <w:t xml:space="preserve"> </w:t>
            </w:r>
            <w:r w:rsidRPr="005100A9">
              <w:t>intellectuelle</w:t>
            </w:r>
            <w:r w:rsidR="005100A9" w:rsidRPr="005100A9">
              <w:t xml:space="preserve"> </w:t>
            </w:r>
            <w:r w:rsidRPr="005100A9">
              <w:t>et</w:t>
            </w:r>
            <w:r w:rsidR="005100A9" w:rsidRPr="005100A9">
              <w:t xml:space="preserve"> </w:t>
            </w:r>
            <w:r w:rsidRPr="005100A9">
              <w:t>mentale</w:t>
            </w:r>
          </w:p>
        </w:tc>
      </w:tr>
      <w:tr w:rsidR="00055743" w:rsidRPr="005100A9" w:rsidTr="009F7D1D">
        <w:tc>
          <w:tcPr>
            <w:tcW w:w="2835" w:type="dxa"/>
          </w:tcPr>
          <w:p w:rsidR="00055743" w:rsidRPr="005100A9" w:rsidRDefault="00055743" w:rsidP="005100A9">
            <w:pPr>
              <w:pStyle w:val="SingleTxtG"/>
              <w:ind w:left="0" w:right="0"/>
              <w:jc w:val="left"/>
            </w:pPr>
            <w:r w:rsidRPr="005100A9">
              <w:rPr>
                <w:i/>
              </w:rPr>
              <w:t>Article(s)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de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la</w:t>
            </w:r>
            <w:r w:rsidR="005100A9" w:rsidRPr="005100A9">
              <w:rPr>
                <w:i/>
              </w:rPr>
              <w:t xml:space="preserve"> </w:t>
            </w:r>
            <w:r w:rsidRPr="005100A9">
              <w:rPr>
                <w:i/>
              </w:rPr>
              <w:t>Convention</w:t>
            </w:r>
            <w:r w:rsidR="00E63416">
              <w:t> :</w:t>
            </w:r>
          </w:p>
        </w:tc>
        <w:tc>
          <w:tcPr>
            <w:tcW w:w="3970" w:type="dxa"/>
            <w:vAlign w:val="bottom"/>
          </w:tcPr>
          <w:p w:rsidR="00055743" w:rsidRPr="005100A9" w:rsidRDefault="009F7D1D" w:rsidP="005100A9">
            <w:pPr>
              <w:pStyle w:val="SingleTxtG"/>
              <w:ind w:left="0" w:right="0"/>
              <w:jc w:val="left"/>
            </w:pPr>
            <w:r w:rsidRPr="005100A9">
              <w:t>1,</w:t>
            </w:r>
            <w:r w:rsidR="005100A9" w:rsidRPr="005100A9">
              <w:t xml:space="preserve"> </w:t>
            </w:r>
            <w:r w:rsidRPr="005100A9">
              <w:t>5,</w:t>
            </w:r>
            <w:r w:rsidR="005100A9" w:rsidRPr="005100A9">
              <w:t xml:space="preserve"> </w:t>
            </w:r>
            <w:r w:rsidRPr="005100A9">
              <w:t>15</w:t>
            </w:r>
            <w:r w:rsidR="005100A9" w:rsidRPr="005100A9">
              <w:t xml:space="preserve"> </w:t>
            </w:r>
            <w:r w:rsidRPr="005100A9">
              <w:t>et</w:t>
            </w:r>
            <w:r w:rsidR="005100A9" w:rsidRPr="005100A9">
              <w:t xml:space="preserve"> </w:t>
            </w:r>
            <w:r w:rsidRPr="005100A9">
              <w:t>17</w:t>
            </w:r>
          </w:p>
        </w:tc>
      </w:tr>
      <w:tr w:rsidR="009F7D1D" w:rsidRPr="005100A9" w:rsidTr="009F7D1D">
        <w:tc>
          <w:tcPr>
            <w:tcW w:w="2835" w:type="dxa"/>
          </w:tcPr>
          <w:p w:rsidR="009F7D1D" w:rsidRPr="005100A9" w:rsidRDefault="009F7D1D" w:rsidP="005100A9">
            <w:pPr>
              <w:pStyle w:val="SingleTxtG"/>
              <w:ind w:left="0" w:right="0"/>
              <w:jc w:val="left"/>
              <w:rPr>
                <w:i/>
              </w:rPr>
            </w:pPr>
            <w:r w:rsidRPr="005100A9">
              <w:rPr>
                <w:i/>
                <w:iCs/>
              </w:rPr>
              <w:t>Article(s)</w:t>
            </w:r>
            <w:r w:rsidR="005100A9" w:rsidRPr="005100A9">
              <w:rPr>
                <w:i/>
                <w:iCs/>
              </w:rPr>
              <w:t xml:space="preserve"> </w:t>
            </w:r>
            <w:r w:rsidRPr="005100A9">
              <w:rPr>
                <w:i/>
                <w:iCs/>
              </w:rPr>
              <w:t>du</w:t>
            </w:r>
            <w:r w:rsidR="005100A9" w:rsidRPr="005100A9">
              <w:rPr>
                <w:i/>
                <w:iCs/>
              </w:rPr>
              <w:t xml:space="preserve"> </w:t>
            </w:r>
            <w:r w:rsidRPr="005100A9">
              <w:rPr>
                <w:i/>
                <w:iCs/>
              </w:rPr>
              <w:t>Protocole</w:t>
            </w:r>
            <w:r w:rsidR="005100A9" w:rsidRPr="005100A9">
              <w:rPr>
                <w:i/>
                <w:iCs/>
              </w:rPr>
              <w:t xml:space="preserve"> </w:t>
            </w:r>
            <w:r w:rsidRPr="005100A9">
              <w:rPr>
                <w:i/>
                <w:iCs/>
              </w:rPr>
              <w:t>facultatif</w:t>
            </w:r>
            <w:r w:rsidR="00E63416" w:rsidRPr="00D17849">
              <w:rPr>
                <w:iCs/>
              </w:rPr>
              <w:t> :</w:t>
            </w:r>
          </w:p>
        </w:tc>
        <w:tc>
          <w:tcPr>
            <w:tcW w:w="3970" w:type="dxa"/>
            <w:vAlign w:val="bottom"/>
          </w:tcPr>
          <w:p w:rsidR="009F7D1D" w:rsidRPr="005100A9" w:rsidRDefault="009F7D1D" w:rsidP="005100A9">
            <w:pPr>
              <w:pStyle w:val="SingleTxtG"/>
              <w:ind w:left="0" w:right="0"/>
              <w:jc w:val="left"/>
            </w:pPr>
            <w:r w:rsidRPr="005100A9">
              <w:t>2</w:t>
            </w:r>
          </w:p>
        </w:tc>
      </w:tr>
    </w:tbl>
    <w:p w:rsidR="00B55750" w:rsidRPr="005100A9" w:rsidRDefault="00B55750" w:rsidP="00A33279">
      <w:pPr>
        <w:pStyle w:val="SingleTxtG"/>
      </w:pPr>
      <w:r w:rsidRPr="005100A9">
        <w:t>1.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X,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nationalité</w:t>
      </w:r>
      <w:r w:rsidR="005100A9" w:rsidRPr="005100A9">
        <w:t xml:space="preserve"> </w:t>
      </w:r>
      <w:r w:rsidRPr="005100A9">
        <w:t>tanzanienne,</w:t>
      </w:r>
      <w:r w:rsidR="005100A9" w:rsidRPr="005100A9">
        <w:t xml:space="preserve"> </w:t>
      </w:r>
      <w:r w:rsidRPr="005100A9">
        <w:t>né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12</w:t>
      </w:r>
      <w:r w:rsidR="00F412C0">
        <w:t> </w:t>
      </w:r>
      <w:r w:rsidRPr="005100A9">
        <w:t>janvier</w:t>
      </w:r>
      <w:r w:rsidR="005100A9" w:rsidRPr="005100A9">
        <w:t xml:space="preserve"> </w:t>
      </w:r>
      <w:r w:rsidRPr="005100A9">
        <w:t>1969.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atteint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albinisme.</w:t>
      </w:r>
      <w:r w:rsidR="00A33279">
        <w:t xml:space="preserve"> </w:t>
      </w:r>
      <w:r w:rsidR="00BA7B07">
        <w:t>A</w:t>
      </w:r>
      <w:r w:rsidRPr="005100A9">
        <w:t>lors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="00BA7B07">
        <w:t xml:space="preserve">avait </w:t>
      </w:r>
      <w:r w:rsidRPr="005100A9">
        <w:t>41</w:t>
      </w:r>
      <w:r w:rsidR="00F412C0">
        <w:t> </w:t>
      </w:r>
      <w:r w:rsidRPr="005100A9">
        <w:t>ans,</w:t>
      </w:r>
      <w:r w:rsidR="005100A9" w:rsidRPr="005100A9">
        <w:t xml:space="preserve"> </w:t>
      </w:r>
      <w:r w:rsidR="00BA7B07">
        <w:t xml:space="preserve">il a été </w:t>
      </w:r>
      <w:r w:rsidRPr="005100A9">
        <w:t>amputé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bras</w:t>
      </w:r>
      <w:r w:rsidR="005100A9" w:rsidRPr="005100A9">
        <w:t xml:space="preserve"> </w:t>
      </w:r>
      <w:r w:rsidRPr="005100A9">
        <w:t>gauche</w:t>
      </w:r>
      <w:r w:rsidR="00BA7B07">
        <w:t xml:space="preserve"> par </w:t>
      </w:r>
      <w:r w:rsidR="00BA7B07" w:rsidRPr="005100A9">
        <w:t>deux hommes</w:t>
      </w:r>
      <w:r w:rsidR="00BA7B07">
        <w:t xml:space="preserve"> pour ce motif</w:t>
      </w:r>
      <w:r w:rsidRPr="005100A9">
        <w:t>.</w:t>
      </w:r>
      <w:r w:rsidR="005100A9" w:rsidRPr="005100A9">
        <w:t xml:space="preserve"> </w:t>
      </w:r>
      <w:r w:rsidR="00BA7B07">
        <w:t xml:space="preserve">Depuis, il </w:t>
      </w:r>
      <w:r w:rsidRPr="005100A9">
        <w:t>n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autonome.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affirme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violé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tient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articles</w:t>
      </w:r>
      <w:r w:rsidR="005100A9" w:rsidRPr="005100A9">
        <w:t xml:space="preserve"> </w:t>
      </w:r>
      <w:r w:rsidRPr="005100A9">
        <w:t>5,</w:t>
      </w:r>
      <w:r w:rsidR="005100A9" w:rsidRPr="005100A9">
        <w:t xml:space="preserve"> </w:t>
      </w:r>
      <w:r w:rsidRPr="005100A9">
        <w:t>15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17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Convention.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République-Unie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Tanzanie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signé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ratifié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29</w:t>
      </w:r>
      <w:r w:rsidR="00F412C0">
        <w:t> </w:t>
      </w:r>
      <w:r w:rsidRPr="005100A9">
        <w:t>septembre</w:t>
      </w:r>
      <w:r w:rsidR="005100A9" w:rsidRPr="005100A9">
        <w:t xml:space="preserve"> </w:t>
      </w:r>
      <w:r w:rsidRPr="005100A9">
        <w:t>2008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10</w:t>
      </w:r>
      <w:r w:rsidR="00F412C0">
        <w:t> </w:t>
      </w:r>
      <w:r w:rsidRPr="005100A9">
        <w:t>novembre</w:t>
      </w:r>
      <w:r w:rsidR="005100A9" w:rsidRPr="005100A9">
        <w:t xml:space="preserve"> </w:t>
      </w:r>
      <w:r w:rsidRPr="005100A9">
        <w:t>2009,</w:t>
      </w:r>
      <w:r w:rsidR="005100A9" w:rsidRPr="005100A9">
        <w:t xml:space="preserve"> </w:t>
      </w:r>
      <w:r w:rsidRPr="005100A9">
        <w:t>respectivement.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représenté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conseil</w:t>
      </w:r>
      <w:r w:rsidRPr="005100A9">
        <w:rPr>
          <w:rStyle w:val="Appelnotedebasdep"/>
        </w:rPr>
        <w:footnoteReference w:id="4"/>
      </w:r>
      <w:r w:rsidRPr="005100A9">
        <w:t>.</w:t>
      </w:r>
    </w:p>
    <w:p w:rsidR="00B55750" w:rsidRPr="005100A9" w:rsidRDefault="00C726E7" w:rsidP="00C726E7">
      <w:pPr>
        <w:pStyle w:val="H1G"/>
      </w:pPr>
      <w:bookmarkStart w:id="0" w:name="_GoBack"/>
      <w:bookmarkEnd w:id="0"/>
      <w:r>
        <w:lastRenderedPageBreak/>
        <w:tab/>
      </w:r>
      <w:r w:rsidR="00B55750" w:rsidRPr="005100A9">
        <w:t>A.</w:t>
      </w:r>
      <w:r w:rsidR="00B55750" w:rsidRPr="005100A9">
        <w:tab/>
        <w:t>Résumé</w:t>
      </w:r>
      <w:r w:rsidR="005100A9" w:rsidRPr="005100A9">
        <w:t xml:space="preserve"> </w:t>
      </w:r>
      <w:r w:rsidR="00B55750" w:rsidRPr="005100A9">
        <w:t>des</w:t>
      </w:r>
      <w:r w:rsidR="005100A9" w:rsidRPr="005100A9">
        <w:t xml:space="preserve"> </w:t>
      </w:r>
      <w:r w:rsidR="00B55750" w:rsidRPr="005100A9">
        <w:t>renseignements</w:t>
      </w:r>
      <w:r w:rsidR="005100A9" w:rsidRPr="005100A9">
        <w:t xml:space="preserve"> </w:t>
      </w:r>
      <w:r w:rsidR="00B55750" w:rsidRPr="005100A9">
        <w:t>fournis</w:t>
      </w:r>
      <w:r w:rsidR="005100A9" w:rsidRPr="005100A9">
        <w:t xml:space="preserve"> </w:t>
      </w:r>
      <w:r w:rsidR="00B55750" w:rsidRPr="005100A9">
        <w:t>et</w:t>
      </w:r>
      <w:r w:rsidR="005100A9" w:rsidRPr="005100A9">
        <w:t xml:space="preserve"> </w:t>
      </w:r>
      <w:r w:rsidR="00B55750" w:rsidRPr="005100A9">
        <w:t>des</w:t>
      </w:r>
      <w:r w:rsidR="005100A9" w:rsidRPr="005100A9">
        <w:t xml:space="preserve"> </w:t>
      </w:r>
      <w:r w:rsidR="00B55750" w:rsidRPr="005100A9">
        <w:t>arguments</w:t>
      </w:r>
      <w:r w:rsidR="005100A9" w:rsidRPr="005100A9">
        <w:t xml:space="preserve"> </w:t>
      </w:r>
      <w:r w:rsidR="00B55750" w:rsidRPr="005100A9">
        <w:t>avancés</w:t>
      </w:r>
      <w:r w:rsidR="005100A9" w:rsidRPr="005100A9">
        <w:t xml:space="preserve"> </w:t>
      </w:r>
      <w:r w:rsidR="00B55750" w:rsidRPr="005100A9">
        <w:t>par</w:t>
      </w:r>
      <w:r w:rsidR="005100A9" w:rsidRPr="005100A9">
        <w:t xml:space="preserve"> </w:t>
      </w:r>
      <w:r w:rsidR="00B55750" w:rsidRPr="005100A9">
        <w:t>les</w:t>
      </w:r>
      <w:r w:rsidR="007D139D">
        <w:t> </w:t>
      </w:r>
      <w:r w:rsidR="00B55750" w:rsidRPr="005100A9">
        <w:t>parties</w:t>
      </w:r>
    </w:p>
    <w:p w:rsidR="00B55750" w:rsidRPr="005100A9" w:rsidRDefault="00C726E7" w:rsidP="00C726E7">
      <w:pPr>
        <w:pStyle w:val="H23G"/>
      </w:pPr>
      <w:r>
        <w:tab/>
      </w:r>
      <w:r w:rsidR="00B55750" w:rsidRPr="005100A9">
        <w:tab/>
        <w:t>Rappel</w:t>
      </w:r>
      <w:r w:rsidR="005100A9" w:rsidRPr="005100A9">
        <w:t xml:space="preserve"> </w:t>
      </w:r>
      <w:r w:rsidR="00B55750" w:rsidRPr="005100A9">
        <w:t>des</w:t>
      </w:r>
      <w:r w:rsidR="005100A9" w:rsidRPr="005100A9">
        <w:t xml:space="preserve"> </w:t>
      </w:r>
      <w:r w:rsidR="00B55750" w:rsidRPr="005100A9">
        <w:t>faits</w:t>
      </w:r>
      <w:r w:rsidR="005100A9" w:rsidRPr="005100A9">
        <w:t xml:space="preserve"> </w:t>
      </w:r>
      <w:r w:rsidR="00B55750" w:rsidRPr="005100A9">
        <w:t>présentés</w:t>
      </w:r>
      <w:r w:rsidR="005100A9" w:rsidRPr="005100A9">
        <w:t xml:space="preserve"> </w:t>
      </w:r>
      <w:r w:rsidR="00B55750" w:rsidRPr="005100A9">
        <w:t>par</w:t>
      </w:r>
      <w:r w:rsidR="005100A9" w:rsidRPr="005100A9">
        <w:t xml:space="preserve"> </w:t>
      </w:r>
      <w:r w:rsidR="00B55750" w:rsidRPr="005100A9">
        <w:t>l</w:t>
      </w:r>
      <w:r w:rsidR="00A33279">
        <w:t>’</w:t>
      </w:r>
      <w:r w:rsidR="00B55750" w:rsidRPr="005100A9">
        <w:t>auteur</w:t>
      </w:r>
    </w:p>
    <w:p w:rsidR="00B55750" w:rsidRPr="005100A9" w:rsidRDefault="00B55750" w:rsidP="00C726E7">
      <w:pPr>
        <w:pStyle w:val="SingleTxtG"/>
      </w:pPr>
      <w:r w:rsidRPr="005100A9">
        <w:t>2.1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originaire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village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Merda,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district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Mvomero,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trouve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région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Morogoro,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République-Unie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Tanzanie.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atteint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albinisme.</w:t>
      </w:r>
      <w:r w:rsidR="005100A9" w:rsidRPr="005100A9">
        <w:t xml:space="preserve"> </w:t>
      </w:r>
      <w:r w:rsidRPr="005100A9">
        <w:t>Jusqu</w:t>
      </w:r>
      <w:r w:rsidR="00A33279">
        <w:t>’</w:t>
      </w:r>
      <w:r w:rsidRPr="005100A9">
        <w:t>à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41</w:t>
      </w:r>
      <w:r w:rsidR="007D139D">
        <w:t> </w:t>
      </w:r>
      <w:r w:rsidRPr="005100A9">
        <w:t>ans,</w:t>
      </w:r>
      <w:r w:rsidR="005100A9" w:rsidRPr="005100A9">
        <w:t xml:space="preserve"> </w:t>
      </w:r>
      <w:r w:rsidRPr="005100A9">
        <w:t>avant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on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ampute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bras</w:t>
      </w:r>
      <w:r w:rsidR="005100A9" w:rsidRPr="005100A9">
        <w:t xml:space="preserve"> </w:t>
      </w:r>
      <w:r w:rsidRPr="005100A9">
        <w:t>gauche,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était</w:t>
      </w:r>
      <w:r w:rsidR="005100A9" w:rsidRPr="005100A9">
        <w:t xml:space="preserve"> </w:t>
      </w:r>
      <w:r w:rsidRPr="005100A9">
        <w:t>agriculteur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pourvoyait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besoins.</w:t>
      </w:r>
    </w:p>
    <w:p w:rsidR="00B55750" w:rsidRPr="005100A9" w:rsidRDefault="00B55750" w:rsidP="00C726E7">
      <w:pPr>
        <w:pStyle w:val="SingleTxtG"/>
      </w:pPr>
      <w:r w:rsidRPr="005100A9">
        <w:t>2.2</w:t>
      </w:r>
      <w:r w:rsidRPr="005100A9">
        <w:tab/>
        <w:t>Le</w:t>
      </w:r>
      <w:r w:rsidR="005100A9" w:rsidRPr="005100A9">
        <w:t xml:space="preserve"> </w:t>
      </w:r>
      <w:r w:rsidRPr="005100A9">
        <w:t>10</w:t>
      </w:r>
      <w:r w:rsidR="007D139D">
        <w:t> </w:t>
      </w:r>
      <w:r w:rsidRPr="005100A9">
        <w:t>avril</w:t>
      </w:r>
      <w:r w:rsidR="005100A9" w:rsidRPr="005100A9">
        <w:t xml:space="preserve"> </w:t>
      </w:r>
      <w:r w:rsidRPr="005100A9">
        <w:t>2010,</w:t>
      </w:r>
      <w:r w:rsidR="005100A9" w:rsidRPr="005100A9">
        <w:t xml:space="preserve"> </w:t>
      </w:r>
      <w:r w:rsidRPr="005100A9">
        <w:t>entre</w:t>
      </w:r>
      <w:r w:rsidR="005100A9" w:rsidRPr="005100A9">
        <w:t xml:space="preserve"> </w:t>
      </w:r>
      <w:r w:rsidRPr="005100A9">
        <w:t>14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15</w:t>
      </w:r>
      <w:r w:rsidR="007D139D">
        <w:t> </w:t>
      </w:r>
      <w:r w:rsidRPr="005100A9">
        <w:t>heures,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ramassait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bois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chauffage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brousse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Melela</w:t>
      </w:r>
      <w:r w:rsidR="005100A9" w:rsidRPr="005100A9">
        <w:t xml:space="preserve"> </w:t>
      </w:r>
      <w:r w:rsidRPr="005100A9">
        <w:t>Kibaoni,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district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Mvomero,</w:t>
      </w:r>
      <w:r w:rsidR="005100A9" w:rsidRPr="005100A9">
        <w:t xml:space="preserve"> </w:t>
      </w:r>
      <w:r w:rsidRPr="005100A9">
        <w:t>lorsque</w:t>
      </w:r>
      <w:r w:rsidR="005100A9" w:rsidRPr="005100A9">
        <w:t xml:space="preserve"> </w:t>
      </w:r>
      <w:r w:rsidRPr="005100A9">
        <w:t>deux</w:t>
      </w:r>
      <w:r w:rsidR="005100A9" w:rsidRPr="005100A9">
        <w:t xml:space="preserve"> </w:t>
      </w:r>
      <w:r w:rsidRPr="005100A9">
        <w:rPr>
          <w:i/>
          <w:iCs/>
        </w:rPr>
        <w:t>morans</w:t>
      </w:r>
      <w:r w:rsidR="005100A9" w:rsidRPr="005100A9">
        <w:rPr>
          <w:i/>
          <w:iCs/>
        </w:rPr>
        <w:t xml:space="preserve"> </w:t>
      </w:r>
      <w:r w:rsidRPr="005100A9">
        <w:t>(jeunes</w:t>
      </w:r>
      <w:r w:rsidR="005100A9" w:rsidRPr="005100A9">
        <w:t xml:space="preserve"> </w:t>
      </w:r>
      <w:r w:rsidRPr="005100A9">
        <w:t>gens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14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30</w:t>
      </w:r>
      <w:r w:rsidR="007D139D">
        <w:t> </w:t>
      </w:r>
      <w:r w:rsidRPr="005100A9">
        <w:t>ans)</w:t>
      </w:r>
      <w:r w:rsidR="005100A9" w:rsidRPr="005100A9">
        <w:t xml:space="preserve"> </w:t>
      </w:r>
      <w:r w:rsidRPr="005100A9">
        <w:t>massaïs</w:t>
      </w:r>
      <w:r w:rsidR="005100A9" w:rsidRPr="005100A9">
        <w:t xml:space="preserve"> </w:t>
      </w:r>
      <w:r w:rsidR="00BA7B07">
        <w:t xml:space="preserve">se </w:t>
      </w:r>
      <w:r w:rsidRPr="005100A9">
        <w:t>sont</w:t>
      </w:r>
      <w:r w:rsidR="005100A9" w:rsidRPr="005100A9">
        <w:t xml:space="preserve"> </w:t>
      </w:r>
      <w:r w:rsidR="00BA7B07">
        <w:t xml:space="preserve">approchés de </w:t>
      </w:r>
      <w:r w:rsidRPr="005100A9">
        <w:t>lui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demandé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tabac.</w:t>
      </w:r>
      <w:r w:rsidR="005100A9" w:rsidRPr="005100A9">
        <w:t xml:space="preserve"> </w:t>
      </w:r>
      <w:r w:rsidRPr="005100A9">
        <w:t>Lorsqu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="00BA7B07">
        <w:t>penché en avant</w:t>
      </w:r>
      <w:r w:rsidR="00BA7B07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prendre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sac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plastique,</w:t>
      </w:r>
      <w:r w:rsidR="005100A9" w:rsidRPr="005100A9">
        <w:t xml:space="preserve"> </w:t>
      </w:r>
      <w:r w:rsidRPr="005100A9">
        <w:t>ils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ont</w:t>
      </w:r>
      <w:r w:rsidR="005100A9" w:rsidRPr="005100A9">
        <w:t xml:space="preserve"> </w:t>
      </w:r>
      <w:r w:rsidRPr="005100A9">
        <w:t>assommé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massues.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perdu</w:t>
      </w:r>
      <w:r w:rsidR="005100A9" w:rsidRPr="005100A9">
        <w:t xml:space="preserve"> </w:t>
      </w:r>
      <w:r w:rsidRPr="005100A9">
        <w:t>connaissance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deux</w:t>
      </w:r>
      <w:r w:rsidR="005100A9" w:rsidRPr="005100A9">
        <w:t xml:space="preserve"> </w:t>
      </w:r>
      <w:r w:rsidRPr="005100A9">
        <w:t>hommes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sectionné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bras</w:t>
      </w:r>
      <w:r w:rsidR="005100A9" w:rsidRPr="005100A9">
        <w:t xml:space="preserve"> </w:t>
      </w:r>
      <w:r w:rsidRPr="005100A9">
        <w:t>gauche</w:t>
      </w:r>
      <w:r w:rsidR="005100A9" w:rsidRPr="005100A9">
        <w:t xml:space="preserve"> </w:t>
      </w:r>
      <w:r w:rsidRPr="005100A9">
        <w:t>en</w:t>
      </w:r>
      <w:r w:rsidR="005F4BBD">
        <w:noBreakHyphen/>
      </w:r>
      <w:r w:rsidRPr="005100A9">
        <w:t>dessous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coude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quitté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lieux,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abandonnant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sort.</w:t>
      </w:r>
      <w:r w:rsidR="005100A9" w:rsidRPr="005100A9">
        <w:t xml:space="preserve"> </w:t>
      </w:r>
      <w:r w:rsidRPr="005100A9">
        <w:t>Lorsque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repris</w:t>
      </w:r>
      <w:r w:rsidR="005100A9" w:rsidRPr="005100A9">
        <w:t xml:space="preserve"> </w:t>
      </w:r>
      <w:r w:rsidRPr="005100A9">
        <w:t>connaissance,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ressenti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douleurs</w:t>
      </w:r>
      <w:r w:rsidR="005100A9" w:rsidRPr="005100A9">
        <w:t xml:space="preserve"> </w:t>
      </w:r>
      <w:r w:rsidRPr="005100A9">
        <w:t>atroces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mis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lancer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appels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aide.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habitants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village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ont</w:t>
      </w:r>
      <w:r w:rsidR="005100A9" w:rsidRPr="005100A9">
        <w:t xml:space="preserve"> </w:t>
      </w:r>
      <w:r w:rsidRPr="005100A9">
        <w:t>emmené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hôpital</w:t>
      </w:r>
      <w:r w:rsidR="005100A9" w:rsidRPr="005100A9">
        <w:t xml:space="preserve"> </w:t>
      </w:r>
      <w:r w:rsidRPr="005100A9">
        <w:t>municipal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Morogoro,</w:t>
      </w:r>
      <w:r w:rsidR="005100A9" w:rsidRPr="005100A9">
        <w:t xml:space="preserve"> </w:t>
      </w:r>
      <w:r w:rsidRPr="005100A9">
        <w:t>où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pris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charge.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avant-bras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jamais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retrouvé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="00BA7B07">
        <w:t>l</w:t>
      </w:r>
      <w:r w:rsidR="00A33279">
        <w:t>’</w:t>
      </w:r>
      <w:r w:rsidR="00BA7B07">
        <w:t>on suppose qu</w:t>
      </w:r>
      <w:r w:rsidR="00A33279">
        <w:t>’</w:t>
      </w:r>
      <w:r w:rsidR="00BA7B07">
        <w:t xml:space="preserve">il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emporté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deux</w:t>
      </w:r>
      <w:r w:rsidR="005100A9" w:rsidRPr="005100A9">
        <w:t xml:space="preserve"> </w:t>
      </w:r>
      <w:r w:rsidRPr="005100A9">
        <w:t>hommes.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affaire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signalée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police</w:t>
      </w:r>
      <w:r w:rsidRPr="005100A9">
        <w:rPr>
          <w:rStyle w:val="Appelnotedebasdep"/>
        </w:rPr>
        <w:footnoteReference w:id="5"/>
      </w:r>
      <w:r w:rsidRPr="005100A9">
        <w:t>,</w:t>
      </w:r>
      <w:r w:rsidR="005100A9" w:rsidRPr="005100A9">
        <w:t xml:space="preserve"> </w:t>
      </w:r>
      <w:r w:rsidRPr="005100A9">
        <w:t>mais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y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eu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poursuites</w:t>
      </w:r>
      <w:r w:rsidRPr="005100A9">
        <w:rPr>
          <w:rStyle w:val="Appelnotedebasdep"/>
        </w:rPr>
        <w:footnoteReference w:id="6"/>
      </w:r>
      <w:r w:rsidRPr="005100A9">
        <w:t>.</w:t>
      </w:r>
    </w:p>
    <w:p w:rsidR="00B55750" w:rsidRPr="005100A9" w:rsidRDefault="00B55750" w:rsidP="00C726E7">
      <w:pPr>
        <w:pStyle w:val="SingleTxtG"/>
      </w:pPr>
      <w:r w:rsidRPr="005100A9">
        <w:t>2.3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précise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faits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produits</w:t>
      </w:r>
      <w:r w:rsidR="005100A9" w:rsidRPr="005100A9">
        <w:t xml:space="preserve"> </w:t>
      </w:r>
      <w:r w:rsidR="00BA7B07" w:rsidRPr="005100A9">
        <w:t xml:space="preserve">pendant </w:t>
      </w:r>
      <w:r w:rsidR="00BA7B07">
        <w:t xml:space="preserve">une </w:t>
      </w:r>
      <w:r w:rsidRPr="005100A9">
        <w:t>période</w:t>
      </w:r>
      <w:r w:rsidR="005100A9" w:rsidRPr="005100A9">
        <w:t xml:space="preserve"> </w:t>
      </w:r>
      <w:r w:rsidR="00BA7B07">
        <w:t xml:space="preserve">où </w:t>
      </w:r>
      <w:r w:rsidRPr="005100A9">
        <w:t>la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égard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était</w:t>
      </w:r>
      <w:r w:rsidR="005100A9" w:rsidRPr="005100A9">
        <w:t xml:space="preserve"> </w:t>
      </w:r>
      <w:r w:rsidRPr="005100A9">
        <w:t>particulièrement</w:t>
      </w:r>
      <w:r w:rsidR="005100A9" w:rsidRPr="005100A9">
        <w:t xml:space="preserve"> </w:t>
      </w:r>
      <w:r w:rsidRPr="005100A9">
        <w:t>répandue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République-Unie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Tanzanie.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2012,</w:t>
      </w:r>
      <w:r w:rsidR="005100A9" w:rsidRPr="005100A9">
        <w:t xml:space="preserve"> </w:t>
      </w:r>
      <w:r w:rsidRPr="005100A9">
        <w:t>on</w:t>
      </w:r>
      <w:r w:rsidR="005100A9" w:rsidRPr="005100A9">
        <w:t xml:space="preserve"> </w:t>
      </w:r>
      <w:r w:rsidRPr="005100A9">
        <w:t>estimait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200</w:t>
      </w:r>
      <w:r w:rsidR="007D139D">
        <w:t> </w:t>
      </w:r>
      <w:r w:rsidRPr="005100A9">
        <w:t>000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nombre</w:t>
      </w:r>
      <w:r w:rsidR="005100A9" w:rsidRPr="005100A9">
        <w:t xml:space="preserve"> </w:t>
      </w:r>
      <w:r w:rsidRPr="005100A9">
        <w:t>total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vivant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pays</w:t>
      </w:r>
      <w:r w:rsidRPr="005100A9">
        <w:rPr>
          <w:rStyle w:val="Appelnotedebasdep"/>
        </w:rPr>
        <w:footnoteReference w:id="7"/>
      </w:r>
      <w:r w:rsidRPr="005100A9">
        <w:t>.</w:t>
      </w:r>
      <w:r w:rsidR="005100A9" w:rsidRPr="005100A9">
        <w:t xml:space="preserve"> </w:t>
      </w:r>
      <w:r w:rsidRPr="005100A9">
        <w:t>Celles-ci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victimes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différentes</w:t>
      </w:r>
      <w:r w:rsidR="005100A9" w:rsidRPr="005100A9">
        <w:t xml:space="preserve"> </w:t>
      </w:r>
      <w:r w:rsidRPr="005100A9">
        <w:t>formes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persécution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discrimination,</w:t>
      </w:r>
      <w:r w:rsidR="005100A9" w:rsidRPr="005100A9">
        <w:t xml:space="preserve"> </w:t>
      </w:r>
      <w:r w:rsidR="00BA7B07">
        <w:t xml:space="preserve">généralement </w:t>
      </w:r>
      <w:r w:rsidRPr="005100A9">
        <w:t>fondées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superstitions.</w:t>
      </w:r>
      <w:r w:rsidR="005100A9" w:rsidRPr="005100A9">
        <w:t xml:space="preserve"> </w:t>
      </w:r>
      <w:r w:rsidRPr="005100A9">
        <w:t>Certain</w:t>
      </w:r>
      <w:r w:rsidR="00BA7B07">
        <w:t xml:space="preserve">s </w:t>
      </w:r>
      <w:r w:rsidRPr="005100A9">
        <w:t>croient,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exemple,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="007D139D">
        <w:t>« </w:t>
      </w:r>
      <w:r w:rsidRPr="005100A9">
        <w:t>malédiction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Dieu</w:t>
      </w:r>
      <w:r w:rsidR="007D139D">
        <w:t> »</w:t>
      </w:r>
      <w:r w:rsidRPr="005100A9">
        <w:t>,</w:t>
      </w:r>
      <w:r w:rsidR="005100A9" w:rsidRPr="005100A9">
        <w:t xml:space="preserve"> </w:t>
      </w:r>
      <w:r w:rsidRPr="005100A9">
        <w:t>voire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="007D139D">
        <w:t>« </w:t>
      </w:r>
      <w:r w:rsidRPr="005100A9">
        <w:t>fantômes</w:t>
      </w:r>
      <w:r w:rsidR="005100A9" w:rsidRPr="005100A9">
        <w:t xml:space="preserve"> </w:t>
      </w:r>
      <w:r w:rsidRPr="005100A9">
        <w:t>éternels</w:t>
      </w:r>
      <w:r w:rsidR="007D139D">
        <w:t> »</w:t>
      </w:r>
      <w:r w:rsidRPr="005100A9">
        <w:t>,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relations</w:t>
      </w:r>
      <w:r w:rsidR="005100A9" w:rsidRPr="005100A9">
        <w:t xml:space="preserve"> </w:t>
      </w:r>
      <w:r w:rsidRPr="005100A9">
        <w:t>sexuelles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femme</w:t>
      </w:r>
      <w:r w:rsidR="005100A9" w:rsidRPr="005100A9">
        <w:t xml:space="preserve"> </w:t>
      </w:r>
      <w:r w:rsidRPr="005100A9">
        <w:t>atteinte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permettent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guérir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VIH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parties</w:t>
      </w:r>
      <w:r w:rsidR="005100A9" w:rsidRPr="005100A9">
        <w:t xml:space="preserve"> </w:t>
      </w:r>
      <w:r w:rsidRPr="005100A9">
        <w:t>corporelles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vertus</w:t>
      </w:r>
      <w:r w:rsidR="005100A9" w:rsidRPr="005100A9">
        <w:t xml:space="preserve"> </w:t>
      </w:r>
      <w:r w:rsidRPr="005100A9">
        <w:t>magiques,</w:t>
      </w:r>
      <w:r w:rsidR="005100A9" w:rsidRPr="005100A9">
        <w:t xml:space="preserve"> </w:t>
      </w:r>
      <w:r w:rsidRPr="005100A9">
        <w:t>notamment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elles</w:t>
      </w:r>
      <w:r w:rsidR="005100A9" w:rsidRPr="005100A9">
        <w:t xml:space="preserve"> </w:t>
      </w:r>
      <w:r w:rsidRPr="005100A9">
        <w:t>apportent</w:t>
      </w:r>
      <w:r w:rsidR="005100A9" w:rsidRPr="005100A9">
        <w:t xml:space="preserve"> </w:t>
      </w:r>
      <w:r w:rsidRPr="005100A9">
        <w:t>richesse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prospérité.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toile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fond,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nouvelles</w:t>
      </w:r>
      <w:r w:rsidR="005100A9" w:rsidRPr="005100A9">
        <w:t xml:space="preserve"> </w:t>
      </w:r>
      <w:r w:rsidRPr="005100A9">
        <w:t>formes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persécution</w:t>
      </w:r>
      <w:r w:rsidR="005100A9" w:rsidRPr="005100A9">
        <w:t xml:space="preserve"> </w:t>
      </w:r>
      <w:r w:rsidRPr="005100A9">
        <w:t>visant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apparues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partie,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meurtres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mutilations,</w:t>
      </w:r>
      <w:r w:rsidR="005100A9" w:rsidRPr="005100A9">
        <w:t xml:space="preserve"> </w:t>
      </w:r>
      <w:r w:rsidRPr="005100A9">
        <w:t>encouragées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création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lucratif</w:t>
      </w:r>
      <w:r w:rsidR="005100A9" w:rsidRPr="005100A9">
        <w:t xml:space="preserve"> </w:t>
      </w:r>
      <w:r w:rsidRPr="005100A9">
        <w:t>marché</w:t>
      </w:r>
      <w:r w:rsidR="005100A9" w:rsidRPr="005100A9">
        <w:t xml:space="preserve"> </w:t>
      </w:r>
      <w:r w:rsidRPr="005100A9">
        <w:t>noir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lequel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échangent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parties</w:t>
      </w:r>
      <w:r w:rsidR="005100A9" w:rsidRPr="005100A9">
        <w:t xml:space="preserve"> </w:t>
      </w:r>
      <w:r w:rsidRPr="005100A9">
        <w:t>corporelles.</w:t>
      </w:r>
      <w:r w:rsidR="005100A9" w:rsidRPr="005100A9">
        <w:t xml:space="preserve"> </w:t>
      </w:r>
      <w:r w:rsidRPr="005100A9">
        <w:t>Celles-ci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généralement</w:t>
      </w:r>
      <w:r w:rsidR="005100A9" w:rsidRPr="005100A9">
        <w:t xml:space="preserve"> </w:t>
      </w:r>
      <w:r w:rsidRPr="005100A9">
        <w:t>sectionnées</w:t>
      </w:r>
      <w:r w:rsidR="005100A9" w:rsidRPr="005100A9">
        <w:t xml:space="preserve"> </w:t>
      </w:r>
      <w:r w:rsidRPr="005100A9">
        <w:t>sauvagement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machette,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cause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douleurs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souffrances</w:t>
      </w:r>
      <w:r w:rsidR="005100A9" w:rsidRPr="005100A9">
        <w:t xml:space="preserve"> </w:t>
      </w:r>
      <w:r w:rsidRPr="005100A9">
        <w:t>intenses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victimes</w:t>
      </w:r>
      <w:r w:rsidR="005100A9" w:rsidRPr="005100A9">
        <w:t xml:space="preserve"> </w:t>
      </w:r>
      <w:r w:rsidRPr="005100A9">
        <w:t>surviv</w:t>
      </w:r>
      <w:r w:rsidR="00BA7B07">
        <w:t>ant</w:t>
      </w:r>
      <w:r w:rsidR="007D139D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traitement.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arrivé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certains</w:t>
      </w:r>
      <w:r w:rsidR="005100A9" w:rsidRPr="005100A9">
        <w:t xml:space="preserve"> </w:t>
      </w:r>
      <w:r w:rsidRPr="005100A9">
        <w:t>cas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cadavres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soient</w:t>
      </w:r>
      <w:r w:rsidR="005100A9" w:rsidRPr="005100A9">
        <w:t xml:space="preserve"> </w:t>
      </w:r>
      <w:r w:rsidRPr="005100A9">
        <w:t>exhumés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dépecés.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2.4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affirme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bien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ait</w:t>
      </w:r>
      <w:r w:rsidR="005100A9" w:rsidRPr="005100A9">
        <w:t xml:space="preserve"> </w:t>
      </w:r>
      <w:r w:rsidRPr="005100A9">
        <w:t>porté</w:t>
      </w:r>
      <w:r w:rsidR="005100A9" w:rsidRPr="005100A9">
        <w:t xml:space="preserve"> </w:t>
      </w:r>
      <w:r w:rsidRPr="005100A9">
        <w:t>plainte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police,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enquête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ouverte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compétentes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valoir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possible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constituer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civile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République-Unie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Tanzanie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droit</w:t>
      </w:r>
      <w:r w:rsidR="005100A9" w:rsidRPr="005100A9">
        <w:t xml:space="preserve"> </w:t>
      </w:r>
      <w:r w:rsidRPr="005100A9">
        <w:t>pénal</w:t>
      </w:r>
      <w:r w:rsidR="005100A9" w:rsidRPr="005100A9">
        <w:t xml:space="preserve"> </w:t>
      </w:r>
      <w:r w:rsidRPr="005100A9">
        <w:t>interne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prévoit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autres</w:t>
      </w:r>
      <w:r w:rsidR="005100A9" w:rsidRPr="005100A9">
        <w:t xml:space="preserve"> </w:t>
      </w:r>
      <w:r w:rsidRPr="005100A9">
        <w:t>voies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recours.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2.5</w:t>
      </w:r>
      <w:r w:rsidRPr="005100A9">
        <w:tab/>
        <w:t>En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concerne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civile,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souligne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introduire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instance,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victimes</w:t>
      </w:r>
      <w:r w:rsidR="005100A9" w:rsidRPr="005100A9">
        <w:t xml:space="preserve"> </w:t>
      </w:r>
      <w:r w:rsidRPr="005100A9">
        <w:t>doivent</w:t>
      </w:r>
      <w:r w:rsidR="005100A9" w:rsidRPr="005100A9">
        <w:t xml:space="preserve"> </w:t>
      </w:r>
      <w:r w:rsidRPr="005100A9">
        <w:t>saisir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lieu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résidence.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existe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région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Morogoro,</w:t>
      </w:r>
      <w:r w:rsidR="005100A9" w:rsidRPr="005100A9">
        <w:t xml:space="preserve"> </w:t>
      </w:r>
      <w:r w:rsidRPr="005100A9">
        <w:t>où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vit,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aurait</w:t>
      </w:r>
      <w:r w:rsidR="005100A9" w:rsidRPr="005100A9">
        <w:t xml:space="preserve"> </w:t>
      </w:r>
      <w:r w:rsidRPr="005100A9">
        <w:t>dû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rendre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capitale,</w:t>
      </w:r>
      <w:r w:rsidR="005100A9" w:rsidRPr="005100A9">
        <w:t xml:space="preserve"> </w:t>
      </w:r>
      <w:r w:rsidRPr="005100A9">
        <w:t>Dar</w:t>
      </w:r>
      <w:r w:rsidR="005100A9" w:rsidRPr="005100A9">
        <w:t xml:space="preserve"> </w:t>
      </w:r>
      <w:r w:rsidRPr="005100A9">
        <w:t>es-Salaam,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engager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procédure.</w:t>
      </w:r>
      <w:r w:rsidR="005100A9" w:rsidRPr="005100A9">
        <w:t xml:space="preserve"> </w:t>
      </w:r>
      <w:r w:rsidRPr="005100A9">
        <w:t>Or,</w:t>
      </w:r>
      <w:r w:rsidR="005100A9" w:rsidRPr="005100A9">
        <w:t xml:space="preserve"> </w:t>
      </w:r>
      <w:r w:rsidRPr="005100A9">
        <w:t>celle-ci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trouvant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300</w:t>
      </w:r>
      <w:r w:rsidR="00A952F1">
        <w:t> </w:t>
      </w:r>
      <w:r w:rsidRPr="005100A9">
        <w:t>kilomètres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village,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avait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moyens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tel</w:t>
      </w:r>
      <w:r w:rsidR="005100A9" w:rsidRPr="005100A9">
        <w:t xml:space="preserve"> </w:t>
      </w:r>
      <w:r w:rsidRPr="005100A9">
        <w:t>voyage</w:t>
      </w:r>
      <w:r w:rsidR="005100A9" w:rsidRPr="005100A9">
        <w:t xml:space="preserve"> </w:t>
      </w:r>
      <w:r w:rsidRPr="005100A9">
        <w:t>seul.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2.6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signale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20</w:t>
      </w:r>
      <w:r w:rsidR="00A952F1">
        <w:t> </w:t>
      </w:r>
      <w:r w:rsidRPr="005100A9">
        <w:t>mars</w:t>
      </w:r>
      <w:r w:rsidR="005100A9" w:rsidRPr="005100A9">
        <w:t xml:space="preserve"> </w:t>
      </w:r>
      <w:r w:rsidRPr="005100A9">
        <w:t>2009,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autres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avaient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agressions</w:t>
      </w:r>
      <w:r w:rsidR="005100A9" w:rsidRPr="005100A9">
        <w:t xml:space="preserve"> </w:t>
      </w:r>
      <w:r w:rsidRPr="005100A9">
        <w:t>similaires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saisi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requête</w:t>
      </w:r>
      <w:r w:rsidR="005100A9" w:rsidRPr="005100A9">
        <w:t xml:space="preserve"> </w:t>
      </w:r>
      <w:r w:rsidRPr="005100A9">
        <w:t>constitutionnelle</w:t>
      </w:r>
      <w:r w:rsidR="005100A9" w:rsidRPr="005100A9">
        <w:t xml:space="preserve"> </w:t>
      </w:r>
      <w:r w:rsidRPr="005100A9">
        <w:t>contre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État,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assistance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Legal</w:t>
      </w:r>
      <w:r w:rsidR="005100A9" w:rsidRPr="005100A9">
        <w:t xml:space="preserve"> </w:t>
      </w:r>
      <w:r w:rsidRPr="005100A9">
        <w:t>and</w:t>
      </w:r>
      <w:r w:rsidR="005100A9" w:rsidRPr="005100A9">
        <w:t xml:space="preserve"> </w:t>
      </w:r>
      <w:r w:rsidRPr="005100A9">
        <w:t>Human</w:t>
      </w:r>
      <w:r w:rsidR="005100A9" w:rsidRPr="005100A9">
        <w:t xml:space="preserve"> </w:t>
      </w:r>
      <w:r w:rsidRPr="005100A9">
        <w:t>Rights</w:t>
      </w:r>
      <w:r w:rsidR="005100A9" w:rsidRPr="005100A9">
        <w:t xml:space="preserve"> </w:t>
      </w:r>
      <w:r w:rsidRPr="005100A9">
        <w:t>Centre,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Tanzania</w:t>
      </w:r>
      <w:r w:rsidR="005100A9" w:rsidRPr="005100A9">
        <w:t xml:space="preserve"> </w:t>
      </w:r>
      <w:r w:rsidRPr="005100A9">
        <w:t>Albino</w:t>
      </w:r>
      <w:r w:rsidR="005100A9" w:rsidRPr="005100A9">
        <w:t xml:space="preserve"> </w:t>
      </w:r>
      <w:r w:rsidRPr="005100A9">
        <w:t>Society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Tanzania</w:t>
      </w:r>
      <w:r w:rsidR="005100A9" w:rsidRPr="005100A9">
        <w:t xml:space="preserve"> </w:t>
      </w:r>
      <w:r w:rsidRPr="005100A9">
        <w:t>Federation</w:t>
      </w:r>
      <w:r w:rsidR="005100A9" w:rsidRPr="005100A9">
        <w:t xml:space="preserve"> </w:t>
      </w:r>
      <w:r w:rsidRPr="005100A9">
        <w:t>of</w:t>
      </w:r>
      <w:r w:rsidR="005100A9" w:rsidRPr="005100A9">
        <w:t xml:space="preserve"> </w:t>
      </w:r>
      <w:r w:rsidRPr="005100A9">
        <w:t>Disabled</w:t>
      </w:r>
      <w:r w:rsidR="005100A9" w:rsidRPr="005100A9">
        <w:t xml:space="preserve"> </w:t>
      </w:r>
      <w:r w:rsidRPr="005100A9">
        <w:t>People</w:t>
      </w:r>
      <w:r w:rsidR="00A33279">
        <w:t>’</w:t>
      </w:r>
      <w:r w:rsidRPr="005100A9">
        <w:t>s</w:t>
      </w:r>
      <w:r w:rsidR="005100A9" w:rsidRPr="005100A9">
        <w:t xml:space="preserve"> </w:t>
      </w:r>
      <w:r w:rsidRPr="005100A9">
        <w:t>Organizations.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date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présente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soumise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Comité,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affaire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avait</w:t>
      </w:r>
      <w:r w:rsidR="005100A9" w:rsidRPr="005100A9">
        <w:t xml:space="preserve"> </w:t>
      </w:r>
      <w:r w:rsidRPr="005100A9">
        <w:lastRenderedPageBreak/>
        <w:t>toujours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jugée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car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composition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collège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juges</w:t>
      </w:r>
      <w:r w:rsidR="005100A9" w:rsidRPr="005100A9">
        <w:t xml:space="preserve"> </w:t>
      </w:r>
      <w:r w:rsidRPr="005100A9">
        <w:t>avait</w:t>
      </w:r>
      <w:r w:rsidR="005100A9" w:rsidRPr="005100A9">
        <w:t xml:space="preserve"> </w:t>
      </w:r>
      <w:r w:rsidRPr="005100A9">
        <w:t>changé</w:t>
      </w:r>
      <w:r w:rsidR="005100A9" w:rsidRPr="005100A9">
        <w:t xml:space="preserve"> </w:t>
      </w:r>
      <w:r w:rsidRPr="005100A9">
        <w:t>plusieurs</w:t>
      </w:r>
      <w:r w:rsidR="005100A9" w:rsidRPr="005100A9">
        <w:t xml:space="preserve"> </w:t>
      </w:r>
      <w:r w:rsidRPr="005100A9">
        <w:t>fois,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avait</w:t>
      </w:r>
      <w:r w:rsidR="005100A9" w:rsidRPr="005100A9">
        <w:t xml:space="preserve"> </w:t>
      </w:r>
      <w:r w:rsidRPr="005100A9">
        <w:t>indûment</w:t>
      </w:r>
      <w:r w:rsidR="005100A9" w:rsidRPr="005100A9">
        <w:t xml:space="preserve"> </w:t>
      </w:r>
      <w:r w:rsidRPr="005100A9">
        <w:t>prolongé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retardé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examen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requête.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2.7</w:t>
      </w:r>
      <w:r w:rsidRPr="005100A9">
        <w:tab/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propos,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observer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conformément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devoirs</w:t>
      </w:r>
      <w:r w:rsidR="005100A9" w:rsidRPr="005100A9">
        <w:t xml:space="preserve"> </w:t>
      </w:r>
      <w:r w:rsidRPr="005100A9">
        <w:t>fondamentaux,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prévoit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permettant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victimes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porter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affaire</w:t>
      </w:r>
      <w:r w:rsidR="005100A9" w:rsidRPr="005100A9">
        <w:t xml:space="preserve"> </w:t>
      </w:r>
      <w:r w:rsidRPr="005100A9">
        <w:t>devant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tribunaux,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collège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trois</w:t>
      </w:r>
      <w:r w:rsidR="005100A9" w:rsidRPr="005100A9">
        <w:t xml:space="preserve"> </w:t>
      </w:r>
      <w:r w:rsidRPr="005100A9">
        <w:t>juges</w:t>
      </w:r>
      <w:r w:rsidR="005100A9" w:rsidRPr="005100A9">
        <w:t xml:space="preserve"> </w:t>
      </w:r>
      <w:r w:rsidRPr="005100A9">
        <w:t>doit</w:t>
      </w:r>
      <w:r w:rsidR="005100A9" w:rsidRPr="005100A9">
        <w:t xml:space="preserve"> </w:t>
      </w:r>
      <w:r w:rsidRPr="005100A9">
        <w:t>statuer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fond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chaque</w:t>
      </w:r>
      <w:r w:rsidR="005100A9" w:rsidRPr="005100A9">
        <w:t xml:space="preserve"> </w:t>
      </w:r>
      <w:r w:rsidRPr="005100A9">
        <w:t>requête.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affirme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engendre</w:t>
      </w:r>
      <w:r w:rsidR="005100A9" w:rsidRPr="005100A9">
        <w:t xml:space="preserve"> </w:t>
      </w:r>
      <w:r w:rsidRPr="005100A9">
        <w:t>généralement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retards</w:t>
      </w:r>
      <w:r w:rsidR="005100A9" w:rsidRPr="005100A9">
        <w:t xml:space="preserve"> </w:t>
      </w:r>
      <w:r w:rsidRPr="005100A9">
        <w:t>indus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traitement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requêtes</w:t>
      </w:r>
      <w:r w:rsidR="005100A9" w:rsidRPr="005100A9">
        <w:t xml:space="preserve"> </w:t>
      </w:r>
      <w:r w:rsidRPr="005100A9">
        <w:t>car,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bon</w:t>
      </w:r>
      <w:r w:rsidR="005100A9" w:rsidRPr="005100A9">
        <w:t xml:space="preserve"> </w:t>
      </w:r>
      <w:r w:rsidRPr="005100A9">
        <w:t>nombre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antennes</w:t>
      </w:r>
      <w:r w:rsidR="005100A9" w:rsidRPr="005100A9">
        <w:t xml:space="preserve"> </w:t>
      </w:r>
      <w:r w:rsidRPr="005100A9">
        <w:t>régionales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nombre</w:t>
      </w:r>
      <w:r w:rsidR="005100A9" w:rsidRPr="005100A9">
        <w:t xml:space="preserve"> </w:t>
      </w:r>
      <w:r w:rsidRPr="005100A9">
        <w:t>limité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magistrats</w:t>
      </w:r>
      <w:r w:rsidR="005100A9" w:rsidRPr="005100A9">
        <w:t xml:space="preserve"> </w:t>
      </w:r>
      <w:r w:rsidRPr="005100A9">
        <w:t>rend</w:t>
      </w:r>
      <w:r w:rsidR="005100A9" w:rsidRPr="005100A9">
        <w:t xml:space="preserve"> </w:t>
      </w:r>
      <w:r w:rsidRPr="005100A9">
        <w:t>difficile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constitution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collège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trois</w:t>
      </w:r>
      <w:r w:rsidR="005100A9" w:rsidRPr="005100A9">
        <w:t xml:space="preserve"> </w:t>
      </w:r>
      <w:r w:rsidRPr="005100A9">
        <w:t>juges.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donc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disponible.</w:t>
      </w:r>
    </w:p>
    <w:p w:rsidR="00B55750" w:rsidRPr="005100A9" w:rsidRDefault="00C726E7" w:rsidP="00C726E7">
      <w:pPr>
        <w:pStyle w:val="H23G"/>
      </w:pPr>
      <w:r>
        <w:tab/>
      </w:r>
      <w:r w:rsidR="00B55750" w:rsidRPr="005100A9">
        <w:tab/>
        <w:t>Teneur</w:t>
      </w:r>
      <w:r w:rsidR="005100A9" w:rsidRPr="005100A9">
        <w:t xml:space="preserve"> </w:t>
      </w:r>
      <w:r w:rsidR="00B55750" w:rsidRPr="005100A9">
        <w:t>de</w:t>
      </w:r>
      <w:r w:rsidR="005100A9" w:rsidRPr="005100A9">
        <w:t xml:space="preserve"> </w:t>
      </w:r>
      <w:r w:rsidR="00B55750" w:rsidRPr="005100A9">
        <w:t>la</w:t>
      </w:r>
      <w:r w:rsidR="005100A9" w:rsidRPr="005100A9">
        <w:t xml:space="preserve"> </w:t>
      </w:r>
      <w:r w:rsidR="00B55750" w:rsidRPr="005100A9">
        <w:t>plainte</w:t>
      </w:r>
    </w:p>
    <w:p w:rsidR="00B55750" w:rsidRPr="005100A9" w:rsidRDefault="00B55750" w:rsidP="00C726E7">
      <w:pPr>
        <w:pStyle w:val="SingleTxtG"/>
      </w:pPr>
      <w:r w:rsidRPr="005100A9">
        <w:t>3.1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dit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violation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reconnus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articles</w:t>
      </w:r>
      <w:r w:rsidR="005100A9" w:rsidRPr="005100A9">
        <w:t xml:space="preserve"> </w:t>
      </w:r>
      <w:r w:rsidRPr="005100A9">
        <w:t>5,</w:t>
      </w:r>
      <w:r w:rsidR="005100A9" w:rsidRPr="005100A9">
        <w:t xml:space="preserve"> </w:t>
      </w:r>
      <w:r w:rsidRPr="005100A9">
        <w:t>15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17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soutient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objet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discrimination</w:t>
      </w:r>
      <w:r w:rsidR="005100A9" w:rsidRPr="005100A9">
        <w:t xml:space="preserve"> </w:t>
      </w:r>
      <w:r w:rsidRPr="005100A9">
        <w:t>fondée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atteint,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handicap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raison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déficiences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maladies</w:t>
      </w:r>
      <w:r w:rsidR="005100A9" w:rsidRPr="005100A9">
        <w:t xml:space="preserve"> </w:t>
      </w:r>
      <w:r w:rsidRPr="005100A9">
        <w:t>diverses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accompagnent.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propos,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rappelle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anomalie</w:t>
      </w:r>
      <w:r w:rsidR="005100A9" w:rsidRPr="005100A9">
        <w:t xml:space="preserve"> </w:t>
      </w:r>
      <w:r w:rsidRPr="005100A9">
        <w:t>génétique</w:t>
      </w:r>
      <w:r w:rsidR="005100A9" w:rsidRPr="005100A9">
        <w:t xml:space="preserve"> </w:t>
      </w:r>
      <w:r w:rsidRPr="005100A9">
        <w:t>rare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touche</w:t>
      </w:r>
      <w:r w:rsidR="005100A9" w:rsidRPr="005100A9">
        <w:t xml:space="preserve"> </w:t>
      </w:r>
      <w:r w:rsidRPr="005100A9">
        <w:t>aussi</w:t>
      </w:r>
      <w:r w:rsidR="005100A9" w:rsidRPr="005100A9">
        <w:t xml:space="preserve"> </w:t>
      </w:r>
      <w:r w:rsidRPr="005100A9">
        <w:t>bien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hommes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femmes,</w:t>
      </w:r>
      <w:r w:rsidR="005100A9" w:rsidRPr="005100A9">
        <w:t xml:space="preserve"> </w:t>
      </w:r>
      <w:r w:rsidRPr="005100A9">
        <w:t>indépendamment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appartenance</w:t>
      </w:r>
      <w:r w:rsidR="005100A9" w:rsidRPr="005100A9">
        <w:t xml:space="preserve"> </w:t>
      </w:r>
      <w:r w:rsidRPr="005100A9">
        <w:t>ethnique,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monde</w:t>
      </w:r>
      <w:r w:rsidR="005100A9" w:rsidRPr="005100A9">
        <w:t xml:space="preserve"> </w:t>
      </w:r>
      <w:r w:rsidRPr="005100A9">
        <w:t>entier.</w:t>
      </w:r>
      <w:r w:rsidR="005100A9" w:rsidRPr="005100A9">
        <w:t xml:space="preserve"> </w:t>
      </w:r>
      <w:r w:rsidRPr="005100A9">
        <w:t>Elle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caractérise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absence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pigmentation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cheveux,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peau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yeux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rend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personne</w:t>
      </w:r>
      <w:r w:rsidR="005100A9" w:rsidRPr="005100A9">
        <w:t xml:space="preserve"> </w:t>
      </w:r>
      <w:r w:rsidRPr="005100A9">
        <w:t>extrêmement</w:t>
      </w:r>
      <w:r w:rsidR="005100A9" w:rsidRPr="005100A9">
        <w:t xml:space="preserve"> </w:t>
      </w:r>
      <w:r w:rsidRPr="005100A9">
        <w:t>sensible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soleil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lumière</w:t>
      </w:r>
      <w:r w:rsidR="005100A9" w:rsidRPr="005100A9">
        <w:t xml:space="preserve"> </w:t>
      </w:r>
      <w:r w:rsidRPr="005100A9">
        <w:t>vive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entraîne</w:t>
      </w:r>
      <w:r w:rsidR="005100A9" w:rsidRPr="005100A9">
        <w:t xml:space="preserve"> </w:t>
      </w:r>
      <w:r w:rsidRPr="005100A9">
        <w:t>généralement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déficience</w:t>
      </w:r>
      <w:r w:rsidR="005100A9" w:rsidRPr="005100A9">
        <w:t xml:space="preserve"> </w:t>
      </w:r>
      <w:r w:rsidRPr="005100A9">
        <w:t>visuelle.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affirme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infligés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impossibilité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trouvé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demander</w:t>
      </w:r>
      <w:r w:rsidR="005100A9" w:rsidRPr="005100A9">
        <w:t xml:space="preserve"> </w:t>
      </w:r>
      <w:r w:rsidRPr="005100A9">
        <w:t>justice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problèmes</w:t>
      </w:r>
      <w:r w:rsidR="005100A9" w:rsidRPr="005100A9">
        <w:t xml:space="preserve"> </w:t>
      </w:r>
      <w:r w:rsidRPr="005100A9">
        <w:t>généralisés</w:t>
      </w:r>
      <w:r w:rsidR="005100A9" w:rsidRPr="005100A9">
        <w:t xml:space="preserve"> </w:t>
      </w:r>
      <w:r w:rsidRPr="005100A9">
        <w:t>auxquels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confrontés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souligne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organes</w:t>
      </w:r>
      <w:r w:rsidR="005100A9" w:rsidRPr="005100A9">
        <w:t xml:space="preserve"> </w:t>
      </w:r>
      <w:r w:rsidRPr="005100A9">
        <w:t>publics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prennent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protection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prévention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faveur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parce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ils</w:t>
      </w:r>
      <w:r w:rsidR="005100A9" w:rsidRPr="005100A9">
        <w:t xml:space="preserve"> </w:t>
      </w:r>
      <w:r w:rsidRPr="005100A9">
        <w:t>considèrent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égard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liée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sorcellerie,</w:t>
      </w:r>
      <w:r w:rsidR="005100A9" w:rsidRPr="005100A9">
        <w:t xml:space="preserve"> </w:t>
      </w:r>
      <w:r w:rsidRPr="005100A9">
        <w:t>pratique</w:t>
      </w:r>
      <w:r w:rsidR="005100A9" w:rsidRPr="005100A9">
        <w:t xml:space="preserve"> </w:t>
      </w:r>
      <w:r w:rsidRPr="005100A9">
        <w:t>culturelle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sujet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beaucoup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préjugés</w:t>
      </w:r>
      <w:r w:rsidR="005100A9" w:rsidRPr="005100A9">
        <w:t xml:space="preserve"> </w:t>
      </w:r>
      <w:r w:rsidRPr="005100A9">
        <w:t>subsistent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société</w:t>
      </w:r>
      <w:r w:rsidR="005100A9" w:rsidRPr="005100A9">
        <w:t xml:space="preserve"> </w:t>
      </w:r>
      <w:r w:rsidRPr="005100A9">
        <w:t>tanzanienne.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conséquence,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5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partie.</w:t>
      </w:r>
    </w:p>
    <w:p w:rsidR="00B55750" w:rsidRPr="005100A9" w:rsidRDefault="00B55750" w:rsidP="00C726E7">
      <w:pPr>
        <w:pStyle w:val="SingleTxtG"/>
      </w:pPr>
      <w:r w:rsidRPr="005100A9">
        <w:t>3.2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ajoute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pris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efficaces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protéger,</w:t>
      </w:r>
      <w:r w:rsidR="005100A9" w:rsidRPr="005100A9">
        <w:t xml:space="preserve"> </w:t>
      </w:r>
      <w:r w:rsidRPr="005100A9">
        <w:t>compte</w:t>
      </w:r>
      <w:r w:rsidR="005100A9" w:rsidRPr="005100A9">
        <w:t xml:space="preserve"> </w:t>
      </w:r>
      <w:r w:rsidRPr="005100A9">
        <w:t>tenu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atteint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albinisme,</w:t>
      </w:r>
      <w:r w:rsidR="005100A9" w:rsidRPr="005100A9">
        <w:t xml:space="preserve"> </w:t>
      </w:r>
      <w:r w:rsidRPr="005100A9">
        <w:t>contre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ciblés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physique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psychologique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infligés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acteurs</w:t>
      </w:r>
      <w:r w:rsidR="005100A9" w:rsidRPr="005100A9">
        <w:t xml:space="preserve"> </w:t>
      </w:r>
      <w:r w:rsidRPr="005100A9">
        <w:t>non</w:t>
      </w:r>
      <w:r w:rsidR="005100A9" w:rsidRPr="005100A9">
        <w:t xml:space="preserve"> </w:t>
      </w:r>
      <w:r w:rsidRPr="005100A9">
        <w:t>étatiques.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amputation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bras,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perdre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autonomie,</w:t>
      </w:r>
      <w:r w:rsidR="005100A9" w:rsidRPr="005100A9">
        <w:t xml:space="preserve"> </w:t>
      </w:r>
      <w:r w:rsidRPr="005100A9">
        <w:t>représente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forme</w:t>
      </w:r>
      <w:r w:rsidR="005100A9" w:rsidRPr="005100A9">
        <w:t xml:space="preserve"> </w:t>
      </w:r>
      <w:r w:rsidRPr="005100A9">
        <w:t>grave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torture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traitements</w:t>
      </w:r>
      <w:r w:rsidR="005100A9" w:rsidRPr="005100A9">
        <w:t xml:space="preserve"> </w:t>
      </w:r>
      <w:r w:rsidRPr="005100A9">
        <w:t>inhumains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constitue</w:t>
      </w:r>
      <w:r w:rsidR="005100A9" w:rsidRPr="005100A9">
        <w:t xml:space="preserve"> </w:t>
      </w:r>
      <w:r w:rsidRPr="005100A9">
        <w:t>donc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violation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15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Convention.</w:t>
      </w:r>
      <w:r w:rsidR="005100A9" w:rsidRPr="005100A9">
        <w:t xml:space="preserve"> </w:t>
      </w:r>
    </w:p>
    <w:p w:rsidR="00B55750" w:rsidRPr="00710EC0" w:rsidRDefault="00B55750" w:rsidP="00C726E7">
      <w:pPr>
        <w:pStyle w:val="SingleTxtG"/>
        <w:rPr>
          <w:spacing w:val="-2"/>
        </w:rPr>
      </w:pPr>
      <w:r w:rsidRPr="00710EC0">
        <w:rPr>
          <w:spacing w:val="-2"/>
        </w:rPr>
        <w:t>3.3</w:t>
      </w:r>
      <w:r w:rsidRPr="00710EC0">
        <w:rPr>
          <w:spacing w:val="-2"/>
        </w:rPr>
        <w:tab/>
        <w:t>L</w:t>
      </w:r>
      <w:r w:rsidR="00A33279" w:rsidRPr="00710EC0">
        <w:rPr>
          <w:spacing w:val="-2"/>
        </w:rPr>
        <w:t>’</w:t>
      </w:r>
      <w:r w:rsidRPr="00710EC0">
        <w:rPr>
          <w:spacing w:val="-2"/>
        </w:rPr>
        <w:t>auteur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affirme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en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outre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que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les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droits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qu</w:t>
      </w:r>
      <w:r w:rsidR="00A33279" w:rsidRPr="00710EC0">
        <w:rPr>
          <w:spacing w:val="-2"/>
        </w:rPr>
        <w:t>’</w:t>
      </w:r>
      <w:r w:rsidRPr="00710EC0">
        <w:rPr>
          <w:spacing w:val="-2"/>
        </w:rPr>
        <w:t>il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tient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de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l</w:t>
      </w:r>
      <w:r w:rsidR="00A33279" w:rsidRPr="00710EC0">
        <w:rPr>
          <w:spacing w:val="-2"/>
        </w:rPr>
        <w:t>’</w:t>
      </w:r>
      <w:r w:rsidRPr="00710EC0">
        <w:rPr>
          <w:spacing w:val="-2"/>
        </w:rPr>
        <w:t>article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17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de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la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Convention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ont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également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été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violés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car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il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a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subi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des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sévices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barbares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qui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ont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porté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atteinte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à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sa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dignité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et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à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son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intégrité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physique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et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l</w:t>
      </w:r>
      <w:r w:rsidR="00A33279" w:rsidRPr="00710EC0">
        <w:rPr>
          <w:spacing w:val="-2"/>
        </w:rPr>
        <w:t>’</w:t>
      </w:r>
      <w:r w:rsidRPr="00710EC0">
        <w:rPr>
          <w:spacing w:val="-2"/>
        </w:rPr>
        <w:t>État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partie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n</w:t>
      </w:r>
      <w:r w:rsidR="00A33279" w:rsidRPr="00710EC0">
        <w:rPr>
          <w:spacing w:val="-2"/>
        </w:rPr>
        <w:t>’</w:t>
      </w:r>
      <w:r w:rsidRPr="00710EC0">
        <w:rPr>
          <w:spacing w:val="-2"/>
        </w:rPr>
        <w:t>a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pris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aucune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mesure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efficace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pour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punir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les</w:t>
      </w:r>
      <w:r w:rsidR="005100A9" w:rsidRPr="00710EC0">
        <w:rPr>
          <w:spacing w:val="-2"/>
        </w:rPr>
        <w:t xml:space="preserve"> </w:t>
      </w:r>
      <w:r w:rsidRPr="00710EC0">
        <w:rPr>
          <w:spacing w:val="-2"/>
        </w:rPr>
        <w:t>responsables.</w:t>
      </w:r>
    </w:p>
    <w:p w:rsidR="00B55750" w:rsidRPr="005100A9" w:rsidRDefault="00C726E7" w:rsidP="00C726E7">
      <w:pPr>
        <w:pStyle w:val="H23G"/>
      </w:pPr>
      <w:r>
        <w:tab/>
      </w:r>
      <w:r w:rsidR="00B55750" w:rsidRPr="005100A9">
        <w:tab/>
        <w:t>Observations</w:t>
      </w:r>
      <w:r w:rsidR="005100A9" w:rsidRPr="005100A9">
        <w:t xml:space="preserve"> </w:t>
      </w:r>
      <w:r w:rsidR="00B55750" w:rsidRPr="005100A9">
        <w:t>de</w:t>
      </w:r>
      <w:r w:rsidR="005100A9" w:rsidRPr="005100A9">
        <w:t xml:space="preserve"> </w:t>
      </w:r>
      <w:r w:rsidR="00B55750" w:rsidRPr="005100A9">
        <w:t>l</w:t>
      </w:r>
      <w:r w:rsidR="00A33279">
        <w:t>’</w:t>
      </w:r>
      <w:r w:rsidR="00B55750" w:rsidRPr="005100A9">
        <w:t>État</w:t>
      </w:r>
      <w:r w:rsidR="005100A9" w:rsidRPr="005100A9">
        <w:t xml:space="preserve"> </w:t>
      </w:r>
      <w:r w:rsidR="00B55750" w:rsidRPr="005100A9">
        <w:t>partie</w:t>
      </w:r>
      <w:r w:rsidR="005100A9" w:rsidRPr="005100A9">
        <w:t xml:space="preserve"> </w:t>
      </w:r>
      <w:r w:rsidR="00B55750" w:rsidRPr="005100A9">
        <w:t>concernant</w:t>
      </w:r>
      <w:r w:rsidR="005100A9" w:rsidRPr="005100A9">
        <w:t xml:space="preserve"> </w:t>
      </w:r>
      <w:r w:rsidR="00B55750" w:rsidRPr="005100A9">
        <w:t>la</w:t>
      </w:r>
      <w:r w:rsidR="005100A9" w:rsidRPr="005100A9">
        <w:t xml:space="preserve"> </w:t>
      </w:r>
      <w:r w:rsidR="00B55750" w:rsidRPr="005100A9">
        <w:t>recevabilité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4.1</w:t>
      </w:r>
      <w:r w:rsidRPr="005100A9">
        <w:tab/>
        <w:t>Les</w:t>
      </w:r>
      <w:r w:rsidR="005100A9" w:rsidRPr="005100A9">
        <w:t xml:space="preserve"> </w:t>
      </w:r>
      <w:r w:rsidRPr="005100A9">
        <w:t>observations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recevabilité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communication,</w:t>
      </w:r>
      <w:r w:rsidR="005100A9" w:rsidRPr="005100A9">
        <w:t xml:space="preserve"> </w:t>
      </w:r>
      <w:r w:rsidRPr="005100A9">
        <w:t>datées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23</w:t>
      </w:r>
      <w:r w:rsidR="00710EC0">
        <w:t> </w:t>
      </w:r>
      <w:r w:rsidRPr="005100A9">
        <w:t>septembre</w:t>
      </w:r>
      <w:r w:rsidR="005100A9" w:rsidRPr="005100A9">
        <w:t xml:space="preserve"> </w:t>
      </w:r>
      <w:r w:rsidRPr="005100A9">
        <w:t>2014,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reçues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9</w:t>
      </w:r>
      <w:r w:rsidR="00710EC0">
        <w:t> </w:t>
      </w:r>
      <w:r w:rsidRPr="005100A9">
        <w:t>mars</w:t>
      </w:r>
      <w:r w:rsidR="005100A9" w:rsidRPr="005100A9">
        <w:t xml:space="preserve"> </w:t>
      </w:r>
      <w:r w:rsidRPr="005100A9">
        <w:t>2015.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estime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devrait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déclarée</w:t>
      </w:r>
      <w:r w:rsidR="005100A9" w:rsidRPr="005100A9">
        <w:t xml:space="preserve"> </w:t>
      </w:r>
      <w:r w:rsidRPr="005100A9">
        <w:t>irrecevable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non-épuisement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valoir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police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ouvert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enquête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plainte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jour</w:t>
      </w:r>
      <w:r w:rsidR="005100A9" w:rsidRPr="005100A9">
        <w:t xml:space="preserve"> </w:t>
      </w:r>
      <w:r w:rsidRPr="005100A9">
        <w:t>même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agression,</w:t>
      </w:r>
      <w:r w:rsidR="005100A9" w:rsidRPr="005100A9">
        <w:t xml:space="preserve"> </w:t>
      </w:r>
      <w:r w:rsidRPr="005100A9">
        <w:t>soit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10</w:t>
      </w:r>
      <w:r w:rsidR="00710EC0">
        <w:t> </w:t>
      </w:r>
      <w:r w:rsidRPr="005100A9">
        <w:t>avril</w:t>
      </w:r>
      <w:r w:rsidR="005100A9" w:rsidRPr="005100A9">
        <w:t xml:space="preserve"> </w:t>
      </w:r>
      <w:r w:rsidRPr="005100A9">
        <w:t>2010.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21</w:t>
      </w:r>
      <w:r w:rsidR="00710EC0">
        <w:t> </w:t>
      </w:r>
      <w:r w:rsidRPr="005100A9">
        <w:t>avril</w:t>
      </w:r>
      <w:r w:rsidR="005100A9" w:rsidRPr="005100A9">
        <w:t xml:space="preserve"> </w:t>
      </w:r>
      <w:r w:rsidRPr="005100A9">
        <w:t>2010,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suspect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arrêté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traduit</w:t>
      </w:r>
      <w:r w:rsidR="005100A9" w:rsidRPr="005100A9">
        <w:t xml:space="preserve"> </w:t>
      </w:r>
      <w:r w:rsidRPr="005100A9">
        <w:t>devant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tribunal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district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Morogoro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voies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ayant</w:t>
      </w:r>
      <w:r w:rsidR="005100A9" w:rsidRPr="005100A9">
        <w:t xml:space="preserve"> </w:t>
      </w:r>
      <w:r w:rsidRPr="005100A9">
        <w:t>causé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blessures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lésions</w:t>
      </w:r>
      <w:r w:rsidR="005100A9" w:rsidRPr="005100A9">
        <w:t xml:space="preserve"> </w:t>
      </w:r>
      <w:r w:rsidRPr="005100A9">
        <w:t>corporelles</w:t>
      </w:r>
      <w:r w:rsidR="005100A9" w:rsidRPr="005100A9">
        <w:t xml:space="preserve"> </w:t>
      </w:r>
      <w:r w:rsidRPr="005100A9">
        <w:t>graves</w:t>
      </w:r>
      <w:r w:rsidR="005100A9" w:rsidRPr="005100A9">
        <w:t xml:space="preserve"> </w:t>
      </w:r>
      <w:r w:rsidRPr="005100A9">
        <w:t>(dossier</w:t>
      </w:r>
      <w:r w:rsidR="005100A9" w:rsidRPr="005100A9">
        <w:t xml:space="preserve"> </w:t>
      </w:r>
      <w:r w:rsidRPr="005100A9">
        <w:t>pénal</w:t>
      </w:r>
      <w:r w:rsidR="005100A9" w:rsidRPr="005100A9">
        <w:t xml:space="preserve"> </w:t>
      </w:r>
      <w:r w:rsidR="00710EC0">
        <w:rPr>
          <w:rFonts w:eastAsia="MS Mincho"/>
        </w:rPr>
        <w:t>n</w:t>
      </w:r>
      <w:r w:rsidR="00710EC0">
        <w:rPr>
          <w:rFonts w:eastAsia="MS Mincho"/>
          <w:vertAlign w:val="superscript"/>
        </w:rPr>
        <w:t>o</w:t>
      </w:r>
      <w:r w:rsidR="00710EC0">
        <w:t> </w:t>
      </w:r>
      <w:r w:rsidRPr="005100A9">
        <w:t>257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2010).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procès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ouvert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trois</w:t>
      </w:r>
      <w:r w:rsidR="005100A9" w:rsidRPr="005100A9">
        <w:t xml:space="preserve"> </w:t>
      </w:r>
      <w:r w:rsidRPr="005100A9">
        <w:t>témoins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entendus,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auteur.</w:t>
      </w:r>
      <w:r w:rsidR="005100A9" w:rsidRPr="005100A9">
        <w:t xml:space="preserve"> </w:t>
      </w:r>
      <w:r w:rsidRPr="005100A9">
        <w:t>Toutefois,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audience,</w:t>
      </w:r>
      <w:r w:rsidR="005100A9" w:rsidRPr="005100A9">
        <w:t xml:space="preserve"> </w:t>
      </w:r>
      <w:r w:rsidRPr="005100A9">
        <w:t>celui-ci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déclaré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accusé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était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agresseurs.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affirmé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savait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étaient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deux</w:t>
      </w:r>
      <w:r w:rsidR="005100A9" w:rsidRPr="005100A9">
        <w:t xml:space="preserve"> </w:t>
      </w:r>
      <w:r w:rsidRPr="005100A9">
        <w:t>hommes,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ils</w:t>
      </w:r>
      <w:r w:rsidR="005100A9" w:rsidRPr="005100A9">
        <w:t xml:space="preserve"> </w:t>
      </w:r>
      <w:r w:rsidRPr="005100A9">
        <w:t>étaient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voisins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ils</w:t>
      </w:r>
      <w:r w:rsidR="005100A9" w:rsidRPr="005100A9">
        <w:t xml:space="preserve"> </w:t>
      </w:r>
      <w:r w:rsidRPr="005100A9">
        <w:t>étaient</w:t>
      </w:r>
      <w:r w:rsidR="005100A9" w:rsidRPr="005100A9">
        <w:t xml:space="preserve"> </w:t>
      </w:r>
      <w:r w:rsidRPr="005100A9">
        <w:t>massaï</w:t>
      </w:r>
      <w:r w:rsidR="00251DCF">
        <w:t>s</w:t>
      </w:r>
      <w:r w:rsidRPr="005100A9">
        <w:t>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conséquence,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parquet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abandonné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poursuites</w:t>
      </w:r>
      <w:r w:rsidR="005100A9" w:rsidRPr="005100A9">
        <w:t xml:space="preserve"> </w:t>
      </w:r>
      <w:r w:rsidRPr="005100A9">
        <w:t>contre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accusé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98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pénale.</w:t>
      </w:r>
    </w:p>
    <w:p w:rsidR="00B55750" w:rsidRPr="005100A9" w:rsidRDefault="00B55750" w:rsidP="00C726E7">
      <w:pPr>
        <w:pStyle w:val="SingleTxtG"/>
      </w:pPr>
      <w:r w:rsidRPr="005100A9">
        <w:t>4.2</w:t>
      </w:r>
      <w:r w:rsidRPr="005100A9">
        <w:tab/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indique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agression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cours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efforts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déployés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retrouver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arrêter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traduire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justice.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signale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soumis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allégations</w:t>
      </w:r>
      <w:r w:rsidR="005100A9" w:rsidRPr="005100A9">
        <w:t xml:space="preserve"> </w:t>
      </w:r>
      <w:r w:rsidRPr="005100A9">
        <w:t>selon</w:t>
      </w:r>
      <w:r w:rsidR="005100A9" w:rsidRPr="005100A9">
        <w:t xml:space="preserve"> </w:t>
      </w:r>
      <w:r w:rsidRPr="005100A9">
        <w:t>lesquelles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pénale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jamais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ouverte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différée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nationales</w:t>
      </w:r>
      <w:r w:rsidR="005100A9" w:rsidRPr="005100A9">
        <w:t xml:space="preserve"> </w:t>
      </w:r>
      <w:r w:rsidRPr="005100A9">
        <w:t>avant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formuler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grief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sa</w:t>
      </w:r>
      <w:r w:rsidR="005100A9" w:rsidRPr="005100A9">
        <w:t xml:space="preserve"> </w:t>
      </w:r>
      <w:r w:rsidRPr="005100A9">
        <w:t>requête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Comité.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fondée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idée</w:t>
      </w:r>
      <w:r w:rsidR="005100A9" w:rsidRPr="005100A9">
        <w:t xml:space="preserve"> </w:t>
      </w:r>
      <w:r w:rsidRPr="005100A9">
        <w:t>erronée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requérant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tanzaniennes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ont</w:t>
      </w:r>
      <w:r w:rsidR="005100A9" w:rsidRPr="005100A9">
        <w:t xml:space="preserve"> </w:t>
      </w:r>
      <w:r w:rsidRPr="005100A9">
        <w:t>pris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mesure.</w:t>
      </w:r>
    </w:p>
    <w:p w:rsidR="00B55750" w:rsidRPr="005100A9" w:rsidRDefault="00B55750" w:rsidP="00710EC0">
      <w:pPr>
        <w:pStyle w:val="SingleTxtG"/>
        <w:keepLines/>
      </w:pPr>
      <w:r w:rsidRPr="005100A9">
        <w:lastRenderedPageBreak/>
        <w:t>4.3</w:t>
      </w:r>
      <w:r w:rsidRPr="005100A9">
        <w:tab/>
        <w:t>En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concerne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argument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soutient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pouvait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constituer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civile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motif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voie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existe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droit</w:t>
      </w:r>
      <w:r w:rsidR="005100A9" w:rsidRPr="005100A9">
        <w:t xml:space="preserve"> </w:t>
      </w:r>
      <w:r w:rsidRPr="005100A9">
        <w:t>pénal</w:t>
      </w:r>
      <w:r w:rsidR="005100A9" w:rsidRPr="005100A9">
        <w:t xml:space="preserve"> </w:t>
      </w:r>
      <w:r w:rsidRPr="005100A9">
        <w:t>tanzanien,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objecte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possibilité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bel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bien</w:t>
      </w:r>
      <w:r w:rsidR="005100A9" w:rsidRPr="005100A9">
        <w:t xml:space="preserve"> </w:t>
      </w:r>
      <w:r w:rsidRPr="005100A9">
        <w:t>prévue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99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pénale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dispose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aucun</w:t>
      </w:r>
      <w:r w:rsidR="005100A9" w:rsidRPr="005100A9">
        <w:t xml:space="preserve"> </w:t>
      </w:r>
      <w:r w:rsidRPr="005100A9">
        <w:t>élément</w:t>
      </w:r>
      <w:r w:rsidR="005100A9" w:rsidRPr="005100A9">
        <w:t xml:space="preserve"> </w:t>
      </w:r>
      <w:r w:rsidRPr="005100A9">
        <w:t>montrant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intenté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action</w:t>
      </w:r>
      <w:r w:rsidR="005100A9" w:rsidRPr="005100A9">
        <w:t xml:space="preserve"> </w:t>
      </w:r>
      <w:r w:rsidRPr="005100A9">
        <w:t>civile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celle-ci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abouti.</w:t>
      </w:r>
    </w:p>
    <w:p w:rsidR="00B55750" w:rsidRPr="005100A9" w:rsidRDefault="00B55750" w:rsidP="00C726E7">
      <w:pPr>
        <w:pStyle w:val="SingleTxtG"/>
      </w:pPr>
      <w:r w:rsidRPr="005100A9">
        <w:t>4.4</w:t>
      </w:r>
      <w:r w:rsidRPr="005100A9">
        <w:tab/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souligne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outre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devoirs</w:t>
      </w:r>
      <w:r w:rsidR="005100A9" w:rsidRPr="005100A9">
        <w:t xml:space="preserve"> </w:t>
      </w:r>
      <w:r w:rsidRPr="005100A9">
        <w:t>fondamentaux</w:t>
      </w:r>
      <w:r w:rsidR="005100A9" w:rsidRPr="005100A9">
        <w:t xml:space="preserve"> </w:t>
      </w:r>
      <w:r w:rsidRPr="005100A9">
        <w:t>prévoit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permettant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particuliers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valoir</w:t>
      </w:r>
      <w:r w:rsidR="005100A9" w:rsidRPr="005100A9">
        <w:t xml:space="preserve"> </w:t>
      </w:r>
      <w:r w:rsidRPr="005100A9">
        <w:t>leurs</w:t>
      </w:r>
      <w:r w:rsidR="005100A9" w:rsidRPr="005100A9">
        <w:t xml:space="preserve"> </w:t>
      </w:r>
      <w:r w:rsidRPr="005100A9">
        <w:t>droits.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relève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dit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avoir</w:t>
      </w:r>
      <w:r w:rsidR="005100A9" w:rsidRPr="005100A9">
        <w:t xml:space="preserve"> </w:t>
      </w:r>
      <w:r w:rsidRPr="005100A9">
        <w:t>pu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constituer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civile</w:t>
      </w:r>
      <w:r w:rsidR="005100A9" w:rsidRPr="005100A9">
        <w:t xml:space="preserve"> </w:t>
      </w:r>
      <w:r w:rsidRPr="005100A9">
        <w:t>faute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moyens</w:t>
      </w:r>
      <w:r w:rsidR="005100A9" w:rsidRPr="005100A9">
        <w:t xml:space="preserve"> </w:t>
      </w:r>
      <w:r w:rsidRPr="005100A9">
        <w:t>financiers.</w:t>
      </w:r>
      <w:r w:rsidR="005100A9" w:rsidRPr="005100A9">
        <w:t xml:space="preserve"> </w:t>
      </w:r>
      <w:r w:rsidRPr="005100A9">
        <w:t>Selon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partie,</w:t>
      </w:r>
      <w:r w:rsidR="005100A9" w:rsidRPr="005100A9">
        <w:t xml:space="preserve"> </w:t>
      </w:r>
      <w:r w:rsidRPr="005100A9">
        <w:t>cet</w:t>
      </w:r>
      <w:r w:rsidR="005100A9" w:rsidRPr="005100A9">
        <w:t xml:space="preserve"> </w:t>
      </w:r>
      <w:r w:rsidRPr="005100A9">
        <w:t>argument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tient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car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pays</w:t>
      </w:r>
      <w:r w:rsidR="005100A9" w:rsidRPr="005100A9">
        <w:t xml:space="preserve"> </w:t>
      </w:r>
      <w:r w:rsidRPr="005100A9">
        <w:t>compte</w:t>
      </w:r>
      <w:r w:rsidR="005100A9" w:rsidRPr="005100A9">
        <w:t xml:space="preserve"> </w:t>
      </w:r>
      <w:r w:rsidRPr="005100A9">
        <w:t>plusieurs</w:t>
      </w:r>
      <w:r w:rsidR="005100A9" w:rsidRPr="005100A9">
        <w:t xml:space="preserve"> </w:t>
      </w:r>
      <w:r w:rsidRPr="005100A9">
        <w:t>centres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aide</w:t>
      </w:r>
      <w:r w:rsidR="005100A9" w:rsidRPr="005100A9">
        <w:t xml:space="preserve"> </w:t>
      </w:r>
      <w:r w:rsidRPr="005100A9">
        <w:t>juridictionnelle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organisations</w:t>
      </w:r>
      <w:r w:rsidR="005100A9" w:rsidRPr="005100A9">
        <w:t xml:space="preserve"> </w:t>
      </w:r>
      <w:r w:rsidRPr="005100A9">
        <w:t>non</w:t>
      </w:r>
      <w:r w:rsidR="005100A9" w:rsidRPr="005100A9">
        <w:t xml:space="preserve"> </w:t>
      </w:r>
      <w:r w:rsidRPr="005100A9">
        <w:t>gouvernementales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aident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démunies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porter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affaire</w:t>
      </w:r>
      <w:r w:rsidR="005100A9" w:rsidRPr="005100A9">
        <w:t xml:space="preserve"> </w:t>
      </w:r>
      <w:r w:rsidRPr="005100A9">
        <w:t>devant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tribunaux.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cherché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obtenir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aide</w:t>
      </w:r>
      <w:r w:rsidR="005100A9" w:rsidRPr="005100A9">
        <w:t xml:space="preserve"> </w:t>
      </w:r>
      <w:r w:rsidRPr="005100A9">
        <w:t>juridictionnelle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bénéficié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aucune</w:t>
      </w:r>
      <w:r w:rsidR="005100A9" w:rsidRPr="005100A9">
        <w:t xml:space="preserve"> </w:t>
      </w:r>
      <w:r w:rsidRPr="005100A9">
        <w:t>assistance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type.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rejette</w:t>
      </w:r>
      <w:r w:rsidR="005100A9" w:rsidRPr="005100A9">
        <w:t xml:space="preserve"> </w:t>
      </w:r>
      <w:r w:rsidRPr="005100A9">
        <w:t>également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arguments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soutient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intenté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action</w:t>
      </w:r>
      <w:r w:rsidR="005100A9" w:rsidRPr="005100A9">
        <w:t xml:space="preserve"> </w:t>
      </w:r>
      <w:r w:rsidRPr="005100A9">
        <w:t>civile,</w:t>
      </w:r>
      <w:r w:rsidR="005100A9" w:rsidRPr="005100A9">
        <w:t xml:space="preserve"> </w:t>
      </w:r>
      <w:r w:rsidRPr="005100A9">
        <w:t>c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parce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région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Morogoro</w:t>
      </w:r>
      <w:r w:rsidR="005100A9" w:rsidRPr="005100A9">
        <w:t xml:space="preserve"> </w:t>
      </w:r>
      <w:r w:rsidRPr="005100A9">
        <w:t>(où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réside)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trouve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300</w:t>
      </w:r>
      <w:r w:rsidR="00D97ECA">
        <w:t> </w:t>
      </w:r>
      <w:r w:rsidRPr="005100A9">
        <w:t>kilomètres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Dar-es-Salaam</w:t>
      </w:r>
      <w:r w:rsidR="005100A9" w:rsidRPr="005100A9">
        <w:t xml:space="preserve"> </w:t>
      </w:r>
      <w:r w:rsidRPr="005100A9">
        <w:t>(où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sise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Cour).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conseil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aidé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soumettre</w:t>
      </w:r>
      <w:r w:rsidR="005100A9" w:rsidRPr="005100A9">
        <w:t xml:space="preserve"> </w:t>
      </w:r>
      <w:r w:rsidRPr="005100A9">
        <w:t>sa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Comité,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vit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autre</w:t>
      </w:r>
      <w:r w:rsidR="005100A9" w:rsidRPr="005100A9">
        <w:t xml:space="preserve"> </w:t>
      </w:r>
      <w:r w:rsidRPr="005100A9">
        <w:t>continent,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pouvait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aider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introduire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requête</w:t>
      </w:r>
      <w:r w:rsidR="005100A9" w:rsidRPr="005100A9">
        <w:t xml:space="preserve"> </w:t>
      </w:r>
      <w:r w:rsidRPr="005100A9">
        <w:t>constitutionnelle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République-Unie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Tanzanie.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4.5</w:t>
      </w:r>
      <w:r w:rsidRPr="005100A9">
        <w:tab/>
        <w:t>En</w:t>
      </w:r>
      <w:r w:rsidR="005100A9" w:rsidRPr="005100A9">
        <w:t xml:space="preserve"> </w:t>
      </w:r>
      <w:r w:rsidRPr="005100A9">
        <w:t>conséquence,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estime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devrait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déclarée</w:t>
      </w:r>
      <w:r w:rsidR="005100A9" w:rsidRPr="005100A9">
        <w:t xml:space="preserve"> </w:t>
      </w:r>
      <w:r w:rsidRPr="005100A9">
        <w:t>irrecevable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paragraphe</w:t>
      </w:r>
      <w:r w:rsidR="005100A9" w:rsidRPr="005100A9">
        <w:t xml:space="preserve"> </w:t>
      </w:r>
      <w:r w:rsidRPr="005100A9">
        <w:t>d)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2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</w:t>
      </w:r>
      <w:r w:rsidR="005100A9" w:rsidRPr="005100A9">
        <w:t xml:space="preserve"> </w:t>
      </w:r>
      <w:r w:rsidRPr="005100A9">
        <w:t>car</w:t>
      </w:r>
      <w:r w:rsidR="005100A9" w:rsidRPr="005100A9">
        <w:t xml:space="preserve"> </w:t>
      </w:r>
      <w:r w:rsidRPr="005100A9">
        <w:t>tous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disponibles</w:t>
      </w:r>
      <w:r w:rsidR="005100A9" w:rsidRPr="005100A9">
        <w:t xml:space="preserve"> </w:t>
      </w:r>
      <w:r w:rsidRPr="005100A9">
        <w:t>liés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griefs</w:t>
      </w:r>
      <w:r w:rsidR="005100A9" w:rsidRPr="005100A9">
        <w:t xml:space="preserve"> </w:t>
      </w:r>
      <w:r w:rsidRPr="005100A9">
        <w:t>soulevés</w:t>
      </w:r>
      <w:r w:rsidR="005100A9" w:rsidRPr="005100A9">
        <w:t xml:space="preserve"> </w:t>
      </w:r>
      <w:r w:rsidRPr="005100A9">
        <w:t>devant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ont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épuisés.</w:t>
      </w:r>
    </w:p>
    <w:p w:rsidR="00B55750" w:rsidRPr="005100A9" w:rsidRDefault="00B55750" w:rsidP="00C726E7">
      <w:pPr>
        <w:pStyle w:val="H23G"/>
      </w:pPr>
      <w:r w:rsidRPr="005100A9">
        <w:tab/>
      </w:r>
      <w:r w:rsidRPr="005100A9">
        <w:tab/>
        <w:t>Commentaires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observations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concernant</w:t>
      </w:r>
      <w:r w:rsidR="005100A9" w:rsidRPr="005100A9">
        <w:t xml:space="preserve"> </w:t>
      </w:r>
      <w:r w:rsidRPr="005100A9">
        <w:t>la</w:t>
      </w:r>
      <w:r w:rsidR="00D97ECA">
        <w:t> </w:t>
      </w:r>
      <w:r w:rsidRPr="005100A9">
        <w:t>recevabilité</w:t>
      </w:r>
    </w:p>
    <w:p w:rsidR="00B55750" w:rsidRPr="005100A9" w:rsidRDefault="00B55750" w:rsidP="00C726E7">
      <w:pPr>
        <w:pStyle w:val="SingleTxtG"/>
      </w:pPr>
      <w:r w:rsidRPr="005100A9">
        <w:t>5.1</w:t>
      </w:r>
      <w:r w:rsidRPr="005100A9">
        <w:tab/>
        <w:t>Dans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lettre</w:t>
      </w:r>
      <w:r w:rsidR="005100A9" w:rsidRPr="005100A9">
        <w:t xml:space="preserve"> </w:t>
      </w:r>
      <w:r w:rsidRPr="005100A9">
        <w:t>datée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11</w:t>
      </w:r>
      <w:r w:rsidR="00D97ECA">
        <w:t> </w:t>
      </w:r>
      <w:r w:rsidRPr="005100A9">
        <w:t>mars</w:t>
      </w:r>
      <w:r w:rsidR="005100A9" w:rsidRPr="005100A9">
        <w:t xml:space="preserve"> </w:t>
      </w:r>
      <w:r w:rsidRPr="005100A9">
        <w:t>2015,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soumet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commentaires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observations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concernant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recevabilité.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souligne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règle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épuisement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devrait</w:t>
      </w:r>
      <w:r w:rsidR="005100A9" w:rsidRPr="005100A9">
        <w:t xml:space="preserve"> </w:t>
      </w:r>
      <w:r w:rsidRPr="005100A9">
        <w:t>jamais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utilisée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bouclier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États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ont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créé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cadre</w:t>
      </w:r>
      <w:r w:rsidR="005100A9" w:rsidRPr="005100A9">
        <w:t xml:space="preserve"> </w:t>
      </w:r>
      <w:r w:rsidRPr="005100A9">
        <w:t>propice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promotion,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protection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préservation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leurs</w:t>
      </w:r>
      <w:r w:rsidR="005100A9" w:rsidRPr="005100A9">
        <w:t xml:space="preserve"> </w:t>
      </w:r>
      <w:r w:rsidRPr="005100A9">
        <w:t>citoyens.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propos,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renvoie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décision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Commission</w:t>
      </w:r>
      <w:r w:rsidR="005100A9" w:rsidRPr="005100A9">
        <w:t xml:space="preserve"> </w:t>
      </w:r>
      <w:r w:rsidRPr="005100A9">
        <w:t>africaine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peuples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affaire</w:t>
      </w:r>
      <w:r w:rsidR="005100A9" w:rsidRPr="005100A9">
        <w:t xml:space="preserve"> </w:t>
      </w:r>
      <w:r w:rsidRPr="005100A9">
        <w:rPr>
          <w:i/>
          <w:iCs/>
        </w:rPr>
        <w:t>Jawara</w:t>
      </w:r>
      <w:r w:rsidR="005100A9" w:rsidRPr="00D97ECA">
        <w:rPr>
          <w:iCs/>
        </w:rPr>
        <w:t xml:space="preserve"> </w:t>
      </w:r>
      <w:r w:rsidRPr="00D97ECA">
        <w:rPr>
          <w:iCs/>
        </w:rPr>
        <w:t>c.</w:t>
      </w:r>
      <w:r w:rsidR="005100A9" w:rsidRPr="00D97ECA">
        <w:rPr>
          <w:iCs/>
        </w:rPr>
        <w:t xml:space="preserve"> </w:t>
      </w:r>
      <w:r w:rsidRPr="005100A9">
        <w:rPr>
          <w:i/>
          <w:iCs/>
        </w:rPr>
        <w:t>Gambie</w:t>
      </w:r>
      <w:r w:rsidRPr="005100A9">
        <w:t>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on</w:t>
      </w:r>
      <w:r w:rsidR="005100A9" w:rsidRPr="005100A9">
        <w:t xml:space="preserve"> </w:t>
      </w:r>
      <w:r w:rsidRPr="005100A9">
        <w:t>peut</w:t>
      </w:r>
      <w:r w:rsidR="005100A9" w:rsidRPr="005100A9">
        <w:t xml:space="preserve"> </w:t>
      </w:r>
      <w:r w:rsidRPr="005100A9">
        <w:t>lire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suit</w:t>
      </w:r>
      <w:r w:rsidR="00E63416">
        <w:t> :</w:t>
      </w:r>
      <w:r w:rsidR="005100A9" w:rsidRPr="005100A9">
        <w:t xml:space="preserve"> </w:t>
      </w:r>
      <w:r w:rsidR="00D97ECA">
        <w:t>« </w:t>
      </w:r>
      <w:r w:rsidRPr="005100A9">
        <w:t>Dans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application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règle,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trois</w:t>
      </w:r>
      <w:r w:rsidR="005100A9" w:rsidRPr="005100A9">
        <w:t xml:space="preserve"> </w:t>
      </w:r>
      <w:r w:rsidRPr="005100A9">
        <w:t>critères</w:t>
      </w:r>
      <w:r w:rsidR="005100A9" w:rsidRPr="005100A9">
        <w:t xml:space="preserve"> </w:t>
      </w:r>
      <w:r w:rsidRPr="005100A9">
        <w:t>fondamentaux</w:t>
      </w:r>
      <w:r w:rsidR="005100A9" w:rsidRPr="005100A9">
        <w:t xml:space="preserve"> </w:t>
      </w:r>
      <w:r w:rsidRPr="005100A9">
        <w:t>suivants</w:t>
      </w:r>
      <w:r w:rsidR="005100A9" w:rsidRPr="005100A9">
        <w:t xml:space="preserve"> </w:t>
      </w:r>
      <w:r w:rsidRPr="005100A9">
        <w:t>doivent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pris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compte</w:t>
      </w:r>
      <w:r w:rsidR="00E63416">
        <w:t> :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disponibilité,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efficacité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satisfaction.</w:t>
      </w:r>
      <w:r w:rsidR="00D97ECA">
        <w:t> »</w:t>
      </w:r>
      <w:r w:rsidRPr="005100A9">
        <w:rPr>
          <w:rStyle w:val="Appelnotedebasdep"/>
        </w:rPr>
        <w:footnoteReference w:id="8"/>
      </w:r>
      <w:r w:rsidRPr="005100A9">
        <w:t>.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Commission</w:t>
      </w:r>
      <w:r w:rsidR="005100A9" w:rsidRPr="005100A9">
        <w:t xml:space="preserve"> </w:t>
      </w:r>
      <w:r w:rsidRPr="005100A9">
        <w:t>précise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outre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="00D97ECA">
        <w:t>« </w:t>
      </w:r>
      <w:r w:rsidRPr="005100A9">
        <w:t>[u]ne</w:t>
      </w:r>
      <w:r w:rsidR="005100A9" w:rsidRPr="005100A9">
        <w:t xml:space="preserve"> </w:t>
      </w:r>
      <w:r w:rsidRPr="005100A9">
        <w:t>voie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considérée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disponible</w:t>
      </w:r>
      <w:r w:rsidR="005100A9" w:rsidRPr="005100A9">
        <w:t xml:space="preserve"> </w:t>
      </w:r>
      <w:r w:rsidRPr="005100A9">
        <w:t>lorsqu</w:t>
      </w:r>
      <w:r w:rsidR="00A33279">
        <w:t>’</w:t>
      </w:r>
      <w:r w:rsidRPr="005100A9">
        <w:t>elle</w:t>
      </w:r>
      <w:r w:rsidR="005100A9" w:rsidRPr="005100A9">
        <w:t xml:space="preserve"> </w:t>
      </w:r>
      <w:r w:rsidRPr="005100A9">
        <w:t>peut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utilisée</w:t>
      </w:r>
      <w:r w:rsidR="005100A9" w:rsidRPr="005100A9">
        <w:t xml:space="preserve"> </w:t>
      </w:r>
      <w:r w:rsidRPr="005100A9">
        <w:t>sans</w:t>
      </w:r>
      <w:r w:rsidR="005100A9" w:rsidRPr="005100A9">
        <w:t xml:space="preserve"> </w:t>
      </w:r>
      <w:r w:rsidRPr="005100A9">
        <w:t>obstacle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requérant,</w:t>
      </w:r>
      <w:r w:rsidR="005100A9" w:rsidRPr="005100A9">
        <w:t xml:space="preserve"> </w:t>
      </w:r>
      <w:r w:rsidRPr="005100A9">
        <w:t>elle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efficace</w:t>
      </w:r>
      <w:r w:rsidR="005100A9" w:rsidRPr="005100A9">
        <w:t xml:space="preserve"> </w:t>
      </w:r>
      <w:r w:rsidRPr="005100A9">
        <w:t>si</w:t>
      </w:r>
      <w:r w:rsidR="005100A9" w:rsidRPr="005100A9">
        <w:t xml:space="preserve"> </w:t>
      </w:r>
      <w:r w:rsidRPr="005100A9">
        <w:t>elle</w:t>
      </w:r>
      <w:r w:rsidR="005100A9" w:rsidRPr="005100A9">
        <w:t xml:space="preserve"> </w:t>
      </w:r>
      <w:r w:rsidRPr="005100A9">
        <w:t>offre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perspectives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réussite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elle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satisfaisante</w:t>
      </w:r>
      <w:r w:rsidR="005100A9" w:rsidRPr="005100A9">
        <w:t xml:space="preserve"> </w:t>
      </w:r>
      <w:r w:rsidRPr="005100A9">
        <w:t>lorsqu</w:t>
      </w:r>
      <w:r w:rsidR="00A33279">
        <w:t>’</w:t>
      </w:r>
      <w:r w:rsidRPr="005100A9">
        <w:t>elle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même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donner</w:t>
      </w:r>
      <w:r w:rsidR="005100A9" w:rsidRPr="005100A9">
        <w:t xml:space="preserve"> </w:t>
      </w:r>
      <w:r w:rsidRPr="005100A9">
        <w:t>satisfaction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plaignant</w:t>
      </w:r>
      <w:r w:rsidR="00D97ECA">
        <w:t> »</w:t>
      </w:r>
      <w:r w:rsidRPr="005100A9">
        <w:rPr>
          <w:rStyle w:val="Appelnotedebasdep"/>
        </w:rPr>
        <w:footnoteReference w:id="9"/>
      </w:r>
      <w:r w:rsidRPr="005100A9">
        <w:t>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renvoie</w:t>
      </w:r>
      <w:r w:rsidR="005100A9" w:rsidRPr="005100A9">
        <w:t xml:space="preserve"> </w:t>
      </w:r>
      <w:r w:rsidRPr="005100A9">
        <w:t>également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arrêt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européenne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affaire</w:t>
      </w:r>
      <w:r w:rsidR="005100A9" w:rsidRPr="005100A9">
        <w:t xml:space="preserve"> </w:t>
      </w:r>
      <w:r w:rsidRPr="005100A9">
        <w:rPr>
          <w:i/>
          <w:iCs/>
        </w:rPr>
        <w:t>Sejdovic</w:t>
      </w:r>
      <w:r w:rsidR="005100A9" w:rsidRPr="005100A9">
        <w:rPr>
          <w:i/>
          <w:iCs/>
        </w:rPr>
        <w:t xml:space="preserve"> </w:t>
      </w:r>
      <w:r w:rsidRPr="00D97ECA">
        <w:rPr>
          <w:iCs/>
        </w:rPr>
        <w:t>c.</w:t>
      </w:r>
      <w:r w:rsidR="005100A9" w:rsidRPr="005100A9">
        <w:rPr>
          <w:i/>
          <w:iCs/>
        </w:rPr>
        <w:t xml:space="preserve"> </w:t>
      </w:r>
      <w:r w:rsidRPr="005100A9">
        <w:rPr>
          <w:i/>
          <w:iCs/>
        </w:rPr>
        <w:t>Italie</w:t>
      </w:r>
      <w:r w:rsidRPr="005100A9">
        <w:t>,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ressort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requérants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uniquement</w:t>
      </w:r>
      <w:r w:rsidR="005100A9" w:rsidRPr="005100A9">
        <w:t xml:space="preserve"> </w:t>
      </w:r>
      <w:r w:rsidRPr="005100A9">
        <w:t>tenus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épuiser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disponibles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moment-là,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théorie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pratique,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ceux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ils</w:t>
      </w:r>
      <w:r w:rsidR="005100A9" w:rsidRPr="005100A9">
        <w:t xml:space="preserve"> </w:t>
      </w:r>
      <w:r w:rsidRPr="005100A9">
        <w:t>peuvent</w:t>
      </w:r>
      <w:r w:rsidR="005100A9" w:rsidRPr="005100A9">
        <w:t xml:space="preserve"> </w:t>
      </w:r>
      <w:r w:rsidRPr="005100A9">
        <w:t>directement</w:t>
      </w:r>
      <w:r w:rsidR="005100A9" w:rsidRPr="005100A9">
        <w:t xml:space="preserve"> </w:t>
      </w:r>
      <w:r w:rsidRPr="005100A9">
        <w:t>exercer</w:t>
      </w:r>
      <w:r w:rsidR="005100A9" w:rsidRPr="005100A9">
        <w:t xml:space="preserve"> </w:t>
      </w:r>
      <w:r w:rsidRPr="005100A9">
        <w:t>eux-mêmes,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signifie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doivent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accessibles,</w:t>
      </w:r>
      <w:r w:rsidR="005100A9" w:rsidRPr="005100A9">
        <w:t xml:space="preserve"> </w:t>
      </w:r>
      <w:r w:rsidRPr="005100A9">
        <w:t>propres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assurer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réparation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préjudice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offrir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perspectives</w:t>
      </w:r>
      <w:r w:rsidR="005100A9" w:rsidRPr="005100A9">
        <w:t xml:space="preserve"> </w:t>
      </w:r>
      <w:r w:rsidRPr="005100A9">
        <w:t>raisonnables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succès</w:t>
      </w:r>
      <w:r w:rsidRPr="005100A9">
        <w:rPr>
          <w:rStyle w:val="Appelnotedebasdep"/>
        </w:rPr>
        <w:footnoteReference w:id="10"/>
      </w:r>
      <w:r w:rsidRPr="005100A9">
        <w:t>.</w:t>
      </w:r>
      <w:r w:rsidR="005100A9" w:rsidRPr="005100A9">
        <w:t xml:space="preserve"> </w:t>
      </w:r>
      <w:r w:rsidRPr="005100A9">
        <w:t>Lorsqu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existe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voies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excède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délais</w:t>
      </w:r>
      <w:r w:rsidR="005100A9" w:rsidRPr="005100A9">
        <w:t xml:space="preserve"> </w:t>
      </w:r>
      <w:r w:rsidRPr="005100A9">
        <w:t>raisonnables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improbable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requérant</w:t>
      </w:r>
      <w:r w:rsidR="005100A9" w:rsidRPr="005100A9">
        <w:t xml:space="preserve"> </w:t>
      </w:r>
      <w:r w:rsidRPr="005100A9">
        <w:t>obtienne</w:t>
      </w:r>
      <w:r w:rsidR="005100A9" w:rsidRPr="005100A9">
        <w:t xml:space="preserve"> </w:t>
      </w:r>
      <w:r w:rsidRPr="005100A9">
        <w:t>réparation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moyen,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saisine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organe</w:t>
      </w:r>
      <w:r w:rsidR="005100A9" w:rsidRPr="005100A9">
        <w:t xml:space="preserve"> </w:t>
      </w:r>
      <w:r w:rsidRPr="005100A9">
        <w:t>international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impose.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estime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principe</w:t>
      </w:r>
      <w:r w:rsidR="005100A9" w:rsidRPr="005100A9">
        <w:t xml:space="preserve"> </w:t>
      </w:r>
      <w:r w:rsidRPr="005100A9">
        <w:t>vaut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meurtres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agressions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commis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façon</w:t>
      </w:r>
      <w:r w:rsidR="005100A9" w:rsidRPr="005100A9">
        <w:t xml:space="preserve"> </w:t>
      </w:r>
      <w:r w:rsidRPr="005100A9">
        <w:t>systématique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continue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constituent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graves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personnes,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restent</w:t>
      </w:r>
      <w:r w:rsidR="005100A9" w:rsidRPr="005100A9">
        <w:t xml:space="preserve"> </w:t>
      </w:r>
      <w:r w:rsidRPr="005100A9">
        <w:t>impunis.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5.2</w:t>
      </w:r>
      <w:r w:rsidRPr="005100A9">
        <w:tab/>
        <w:t>Pour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argument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observer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plainte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ouverte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jour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agression,</w:t>
      </w:r>
      <w:r w:rsidR="005100A9" w:rsidRPr="005100A9">
        <w:t xml:space="preserve"> </w:t>
      </w:r>
      <w:r w:rsidRPr="005100A9">
        <w:t>soit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10</w:t>
      </w:r>
      <w:r w:rsidR="00417AC7">
        <w:t> </w:t>
      </w:r>
      <w:r w:rsidRPr="005100A9">
        <w:t>avril</w:t>
      </w:r>
      <w:r w:rsidR="005100A9" w:rsidRPr="005100A9">
        <w:t xml:space="preserve"> </w:t>
      </w:r>
      <w:r w:rsidRPr="005100A9">
        <w:t>2010,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suspect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arrêté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21</w:t>
      </w:r>
      <w:r w:rsidR="00417AC7">
        <w:t> </w:t>
      </w:r>
      <w:r w:rsidRPr="005100A9">
        <w:t>avril</w:t>
      </w:r>
      <w:r w:rsidR="005100A9" w:rsidRPr="005100A9">
        <w:t xml:space="preserve"> </w:t>
      </w:r>
      <w:r w:rsidRPr="005100A9">
        <w:t>2010,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reconnaît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Procureur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abandonné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poursuites</w:t>
      </w:r>
      <w:r w:rsidR="005100A9" w:rsidRPr="005100A9">
        <w:t xml:space="preserve"> </w:t>
      </w:r>
      <w:r w:rsidRPr="005100A9">
        <w:t>après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avoir</w:t>
      </w:r>
      <w:r w:rsidR="005100A9" w:rsidRPr="005100A9">
        <w:t xml:space="preserve"> </w:t>
      </w:r>
      <w:r w:rsidRPr="005100A9">
        <w:t>entendu</w:t>
      </w:r>
      <w:r w:rsidR="005100A9" w:rsidRPr="005100A9">
        <w:t xml:space="preserve"> </w:t>
      </w:r>
      <w:r w:rsidRPr="005100A9">
        <w:t>déclarer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personne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avait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arrêtée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était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deux</w:t>
      </w:r>
      <w:r w:rsidR="005100A9" w:rsidRPr="005100A9">
        <w:t xml:space="preserve"> </w:t>
      </w:r>
      <w:r w:rsidRPr="005100A9">
        <w:t>agresseurs.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souligne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connaissait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auteurs,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étaient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voisins,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avait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autre</w:t>
      </w:r>
      <w:r w:rsidR="005100A9" w:rsidRPr="005100A9">
        <w:t xml:space="preserve"> </w:t>
      </w:r>
      <w:r w:rsidRPr="005100A9">
        <w:t>choix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accusé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avait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participé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agression.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lastRenderedPageBreak/>
        <w:t>n</w:t>
      </w:r>
      <w:r w:rsidR="00A33279">
        <w:t>’</w:t>
      </w:r>
      <w:r w:rsidRPr="005100A9">
        <w:t>imaginait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déclaration</w:t>
      </w:r>
      <w:r w:rsidR="005100A9" w:rsidRPr="005100A9">
        <w:t xml:space="preserve"> </w:t>
      </w:r>
      <w:r w:rsidRPr="005100A9">
        <w:t>allait</w:t>
      </w:r>
      <w:r w:rsidR="005100A9" w:rsidRPr="005100A9">
        <w:t xml:space="preserve"> </w:t>
      </w:r>
      <w:r w:rsidRPr="005100A9">
        <w:t>entraîner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suspension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concernant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affaire.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estime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en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continuant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mener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cherchant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obtenir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précisions</w:t>
      </w:r>
      <w:r w:rsidR="005100A9" w:rsidRPr="005100A9">
        <w:t xml:space="preserve"> </w:t>
      </w:r>
      <w:r w:rsidRPr="005100A9">
        <w:t>supplémentaires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violé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obligations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incombent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paragraphe</w:t>
      </w:r>
      <w:r w:rsidR="005100A9" w:rsidRPr="005100A9">
        <w:t xml:space="preserve"> </w:t>
      </w:r>
      <w:r w:rsidRPr="005100A9">
        <w:t>1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90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pénale</w:t>
      </w:r>
      <w:r w:rsidR="005100A9" w:rsidRPr="005100A9">
        <w:t xml:space="preserve"> </w:t>
      </w:r>
      <w:r w:rsidRPr="005100A9">
        <w:t>ainsi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Convention,</w:t>
      </w:r>
      <w:r w:rsidR="005100A9" w:rsidRPr="005100A9">
        <w:t xml:space="preserve"> </w:t>
      </w:r>
      <w:r w:rsidRPr="005100A9">
        <w:t>étant</w:t>
      </w:r>
      <w:r w:rsidR="005100A9" w:rsidRPr="005100A9">
        <w:t xml:space="preserve"> </w:t>
      </w:r>
      <w:r w:rsidRPr="005100A9">
        <w:t>donné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procédé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enquête</w:t>
      </w:r>
      <w:r w:rsidR="005100A9" w:rsidRPr="005100A9">
        <w:t xml:space="preserve"> </w:t>
      </w:r>
      <w:r w:rsidRPr="005100A9">
        <w:t>efficace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poursuivi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responsables.</w:t>
      </w:r>
      <w:r w:rsidR="005100A9" w:rsidRPr="005100A9">
        <w:t xml:space="preserve"> </w:t>
      </w:r>
    </w:p>
    <w:p w:rsidR="00B55750" w:rsidRPr="005100A9" w:rsidRDefault="00B55750" w:rsidP="00F16CAA">
      <w:pPr>
        <w:pStyle w:val="SingleTxtG"/>
      </w:pPr>
      <w:r w:rsidRPr="005100A9">
        <w:t>5.3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renvoie</w:t>
      </w:r>
      <w:r w:rsidR="005100A9" w:rsidRPr="005100A9">
        <w:t xml:space="preserve"> </w:t>
      </w:r>
      <w:r w:rsidRPr="005100A9">
        <w:t>ensuite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décision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Commission</w:t>
      </w:r>
      <w:r w:rsidR="005100A9" w:rsidRPr="005100A9">
        <w:t xml:space="preserve"> </w:t>
      </w:r>
      <w:r w:rsidRPr="005100A9">
        <w:t>interaméricaine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affaire</w:t>
      </w:r>
      <w:r w:rsidR="005100A9" w:rsidRPr="005100A9">
        <w:t xml:space="preserve"> </w:t>
      </w:r>
      <w:r w:rsidRPr="005100A9">
        <w:rPr>
          <w:i/>
          <w:iCs/>
        </w:rPr>
        <w:t>Greco</w:t>
      </w:r>
      <w:r w:rsidR="005100A9" w:rsidRPr="00F16CAA">
        <w:t xml:space="preserve"> </w:t>
      </w:r>
      <w:r w:rsidRPr="00F16CAA">
        <w:t>v.</w:t>
      </w:r>
      <w:r w:rsidR="005100A9" w:rsidRPr="00F16CAA">
        <w:t xml:space="preserve"> </w:t>
      </w:r>
      <w:r w:rsidRPr="005100A9">
        <w:rPr>
          <w:i/>
          <w:iCs/>
        </w:rPr>
        <w:t>Argentina</w:t>
      </w:r>
      <w:r w:rsidRPr="005100A9">
        <w:t>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cet</w:t>
      </w:r>
      <w:r w:rsidR="005100A9" w:rsidRPr="005100A9">
        <w:t xml:space="preserve"> </w:t>
      </w:r>
      <w:r w:rsidRPr="005100A9">
        <w:t>organe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considéré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="007E5C75">
        <w:t>« </w:t>
      </w:r>
      <w:r w:rsidRPr="005100A9">
        <w:t>s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vrai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appartient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requérant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veiller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soit</w:t>
      </w:r>
      <w:r w:rsidR="005100A9" w:rsidRPr="005100A9">
        <w:t xml:space="preserve"> </w:t>
      </w:r>
      <w:r w:rsidRPr="005100A9">
        <w:t>dûment</w:t>
      </w:r>
      <w:r w:rsidR="005100A9" w:rsidRPr="005100A9">
        <w:t xml:space="preserve"> </w:t>
      </w:r>
      <w:r w:rsidRPr="005100A9">
        <w:t>informé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allégations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</w:t>
      </w:r>
      <w:r w:rsidR="005100A9" w:rsidRPr="005100A9">
        <w:t xml:space="preserve"> </w:t>
      </w:r>
      <w:r w:rsidRPr="005100A9">
        <w:t>afin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celui-ci</w:t>
      </w:r>
      <w:r w:rsidR="005100A9" w:rsidRPr="005100A9">
        <w:t xml:space="preserve"> </w:t>
      </w:r>
      <w:r w:rsidRPr="005100A9">
        <w:t>ait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possibilité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examiner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organes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appareil</w:t>
      </w:r>
      <w:r w:rsidR="005100A9" w:rsidRPr="005100A9">
        <w:t xml:space="preserve"> </w:t>
      </w:r>
      <w:r w:rsidRPr="005100A9">
        <w:t>judiciaire,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en</w:t>
      </w:r>
      <w:r w:rsidR="005100A9" w:rsidRPr="005100A9">
        <w:t xml:space="preserve"> </w:t>
      </w:r>
      <w:r w:rsidRPr="005100A9">
        <w:t>reste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moins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obligation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progresser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toute</w:t>
      </w:r>
      <w:r w:rsidR="005100A9" w:rsidRPr="005100A9">
        <w:t xml:space="preserve"> </w:t>
      </w:r>
      <w:r w:rsidRPr="005100A9">
        <w:t>infraction</w:t>
      </w:r>
      <w:r w:rsidR="005100A9" w:rsidRPr="005100A9">
        <w:t xml:space="preserve"> </w:t>
      </w:r>
      <w:r w:rsidRPr="005100A9">
        <w:t>pouvant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objet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poursuites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office.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affaires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type,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possible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attendre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requérant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épuise</w:t>
      </w:r>
      <w:r w:rsidR="005100A9" w:rsidRPr="005100A9">
        <w:t xml:space="preserve"> </w:t>
      </w:r>
      <w:r w:rsidRPr="005100A9">
        <w:t>tous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si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concerné</w:t>
      </w:r>
      <w:r w:rsidR="005100A9" w:rsidRPr="005100A9">
        <w:t xml:space="preserve"> </w:t>
      </w:r>
      <w:r w:rsidRPr="005100A9">
        <w:t>enquête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diligence</w:t>
      </w:r>
      <w:r w:rsidR="005100A9" w:rsidRPr="005100A9">
        <w:t xml:space="preserve"> </w:t>
      </w:r>
      <w:r w:rsidRPr="005100A9">
        <w:t>voulue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allégués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nécessaire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reconnues</w:t>
      </w:r>
      <w:r w:rsidR="005100A9" w:rsidRPr="005100A9">
        <w:t xml:space="preserve"> </w:t>
      </w:r>
      <w:r w:rsidRPr="005100A9">
        <w:t>responsables</w:t>
      </w:r>
      <w:r w:rsidR="005100A9" w:rsidRPr="005100A9">
        <w:t xml:space="preserve"> </w:t>
      </w:r>
      <w:r w:rsidRPr="005100A9">
        <w:t>soient</w:t>
      </w:r>
      <w:r w:rsidR="005100A9" w:rsidRPr="005100A9">
        <w:t xml:space="preserve"> </w:t>
      </w:r>
      <w:r w:rsidRPr="005100A9">
        <w:t>punies</w:t>
      </w:r>
      <w:r w:rsidR="005100A9" w:rsidRPr="005100A9">
        <w:t xml:space="preserve"> </w:t>
      </w:r>
      <w:r w:rsidRPr="005100A9">
        <w:t>conformément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obligations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siennes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droit</w:t>
      </w:r>
      <w:r w:rsidR="005100A9" w:rsidRPr="005100A9">
        <w:t xml:space="preserve"> </w:t>
      </w:r>
      <w:r w:rsidRPr="005100A9">
        <w:t>interne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="007E5C75">
        <w:t>Convention »</w:t>
      </w:r>
      <w:r w:rsidRPr="005100A9">
        <w:rPr>
          <w:rStyle w:val="Appelnotedebasdep"/>
        </w:rPr>
        <w:footnoteReference w:id="11"/>
      </w:r>
      <w:r w:rsidRPr="005100A9">
        <w:t>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5.4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soutient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cas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infraction</w:t>
      </w:r>
      <w:r w:rsidR="005100A9" w:rsidRPr="005100A9">
        <w:t xml:space="preserve"> </w:t>
      </w:r>
      <w:r w:rsidRPr="005100A9">
        <w:t>donnant</w:t>
      </w:r>
      <w:r w:rsidR="005100A9" w:rsidRPr="005100A9">
        <w:t xml:space="preserve"> </w:t>
      </w:r>
      <w:r w:rsidRPr="005100A9">
        <w:t>lieu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action</w:t>
      </w:r>
      <w:r w:rsidR="005100A9" w:rsidRPr="005100A9">
        <w:t xml:space="preserve"> </w:t>
      </w:r>
      <w:r w:rsidRPr="005100A9">
        <w:t>publique,</w:t>
      </w:r>
      <w:r w:rsidR="005100A9" w:rsidRPr="005100A9">
        <w:t xml:space="preserve"> </w:t>
      </w:r>
      <w:r w:rsidRPr="005100A9">
        <w:t>voire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infraction</w:t>
      </w:r>
      <w:r w:rsidR="005100A9" w:rsidRPr="005100A9">
        <w:t xml:space="preserve"> </w:t>
      </w:r>
      <w:r w:rsidRPr="005100A9">
        <w:t>pouvant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objet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poursuites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constitution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civile,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y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lieu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exiger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soient</w:t>
      </w:r>
      <w:r w:rsidR="005100A9" w:rsidRPr="005100A9">
        <w:t xml:space="preserve"> </w:t>
      </w:r>
      <w:r w:rsidRPr="005100A9">
        <w:t>épuisés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proches</w:t>
      </w:r>
      <w:r w:rsidR="005100A9" w:rsidRPr="005100A9">
        <w:t xml:space="preserve"> </w:t>
      </w:r>
      <w:r w:rsidRPr="005100A9">
        <w:t>car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tenu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maintenir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ordre</w:t>
      </w:r>
      <w:r w:rsidR="005100A9" w:rsidRPr="005100A9">
        <w:t xml:space="preserve"> </w:t>
      </w:r>
      <w:r w:rsidRPr="005100A9">
        <w:t>public</w:t>
      </w:r>
      <w:r w:rsidR="005100A9" w:rsidRPr="005100A9">
        <w:t xml:space="preserve"> </w:t>
      </w:r>
      <w:r w:rsidRPr="005100A9">
        <w:t>et,</w:t>
      </w:r>
      <w:r w:rsidR="005100A9" w:rsidRPr="005100A9">
        <w:t xml:space="preserve"> </w:t>
      </w:r>
      <w:r w:rsidRPr="005100A9">
        <w:t>partant,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mettre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mouvement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action</w:t>
      </w:r>
      <w:r w:rsidR="005100A9" w:rsidRPr="005100A9">
        <w:t xml:space="preserve"> </w:t>
      </w:r>
      <w:r w:rsidRPr="005100A9">
        <w:t>publique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exercer</w:t>
      </w:r>
      <w:r w:rsidR="005100A9" w:rsidRPr="005100A9">
        <w:t xml:space="preserve"> </w:t>
      </w:r>
      <w:r w:rsidRPr="005100A9">
        <w:t>jusqu</w:t>
      </w:r>
      <w:r w:rsidR="00A33279">
        <w:t>’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elle</w:t>
      </w:r>
      <w:r w:rsidR="005100A9" w:rsidRPr="005100A9">
        <w:t xml:space="preserve"> </w:t>
      </w:r>
      <w:r w:rsidRPr="005100A9">
        <w:t>aboutisse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décision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justice.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renvoie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autre</w:t>
      </w:r>
      <w:r w:rsidR="005100A9" w:rsidRPr="005100A9">
        <w:t xml:space="preserve"> </w:t>
      </w:r>
      <w:r w:rsidRPr="005100A9">
        <w:t>décision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interaméricaine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cet</w:t>
      </w:r>
      <w:r w:rsidR="005100A9" w:rsidRPr="005100A9">
        <w:t xml:space="preserve"> </w:t>
      </w:r>
      <w:r w:rsidRPr="005100A9">
        <w:t>organe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estimé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obligation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enquêter</w:t>
      </w:r>
      <w:r w:rsidR="005100A9" w:rsidRPr="005100A9">
        <w:t xml:space="preserve"> </w:t>
      </w:r>
      <w:r w:rsidRPr="005100A9">
        <w:t>devait</w:t>
      </w:r>
      <w:r w:rsidR="005100A9" w:rsidRPr="005100A9">
        <w:t xml:space="preserve"> </w:t>
      </w:r>
      <w:r w:rsidRPr="005100A9">
        <w:t>avoir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objectif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devait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considérer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obligation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était</w:t>
      </w:r>
      <w:r w:rsidR="005100A9" w:rsidRPr="005100A9">
        <w:t xml:space="preserve"> </w:t>
      </w:r>
      <w:r w:rsidRPr="005100A9">
        <w:t>imposée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non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visant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défendre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intérêts</w:t>
      </w:r>
      <w:r w:rsidR="005100A9" w:rsidRPr="005100A9">
        <w:t xml:space="preserve"> </w:t>
      </w:r>
      <w:r w:rsidRPr="005100A9">
        <w:t>privés,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dépendrait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initiative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proches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éléments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preuve</w:t>
      </w:r>
      <w:r w:rsidR="005100A9" w:rsidRPr="005100A9">
        <w:t xml:space="preserve"> </w:t>
      </w:r>
      <w:r w:rsidRPr="005100A9">
        <w:t>produits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eux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serait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accompagnée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recherche</w:t>
      </w:r>
      <w:r w:rsidR="005100A9" w:rsidRPr="005100A9">
        <w:t xml:space="preserve"> </w:t>
      </w:r>
      <w:r w:rsidRPr="005100A9">
        <w:t>effective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vérité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organes</w:t>
      </w:r>
      <w:r w:rsidR="005100A9" w:rsidRPr="005100A9">
        <w:t xml:space="preserve"> </w:t>
      </w:r>
      <w:r w:rsidRPr="005100A9">
        <w:t>publics.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autres</w:t>
      </w:r>
      <w:r w:rsidR="005100A9" w:rsidRPr="005100A9">
        <w:t xml:space="preserve"> </w:t>
      </w:r>
      <w:r w:rsidRPr="005100A9">
        <w:t>termes,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obligation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mener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enquête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poursuivre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sanctionner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violations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obligation</w:t>
      </w:r>
      <w:r w:rsidR="005100A9" w:rsidRPr="005100A9">
        <w:t xml:space="preserve"> </w:t>
      </w:r>
      <w:r w:rsidRPr="005100A9">
        <w:t>non</w:t>
      </w:r>
      <w:r w:rsidR="005100A9" w:rsidRPr="005100A9">
        <w:t xml:space="preserve"> </w:t>
      </w:r>
      <w:r w:rsidRPr="005100A9">
        <w:t>transférable</w:t>
      </w:r>
      <w:r w:rsidR="005100A9" w:rsidRPr="005100A9">
        <w:t xml:space="preserve"> </w:t>
      </w:r>
      <w:r w:rsidRPr="005100A9">
        <w:t>incombant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Pr="005100A9">
        <w:rPr>
          <w:rStyle w:val="Appelnotedebasdep"/>
        </w:rPr>
        <w:footnoteReference w:id="12"/>
      </w:r>
      <w:r w:rsidRPr="005100A9">
        <w:t>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soutient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en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espèce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mené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efficace</w:t>
      </w:r>
      <w:r w:rsidR="005100A9" w:rsidRPr="005100A9">
        <w:t xml:space="preserve"> </w:t>
      </w:r>
      <w:r w:rsidRPr="005100A9">
        <w:t>ni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poursuites.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lieu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cela,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suspendu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avant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avoir</w:t>
      </w:r>
      <w:r w:rsidR="005100A9" w:rsidRPr="005100A9">
        <w:t xml:space="preserve"> </w:t>
      </w:r>
      <w:r w:rsidRPr="005100A9">
        <w:t>identifié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responsables,</w:t>
      </w:r>
      <w:r w:rsidR="005100A9" w:rsidRPr="005100A9">
        <w:t xml:space="preserve"> </w:t>
      </w:r>
      <w:r w:rsidRPr="005100A9">
        <w:t>contrairement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font</w:t>
      </w:r>
      <w:r w:rsidR="005100A9" w:rsidRPr="005100A9">
        <w:t xml:space="preserve"> </w:t>
      </w:r>
      <w:r w:rsidRPr="005100A9">
        <w:t>généralement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juridictions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tel</w:t>
      </w:r>
      <w:r w:rsidR="005100A9" w:rsidRPr="005100A9">
        <w:t xml:space="preserve"> </w:t>
      </w:r>
      <w:r w:rsidRPr="005100A9">
        <w:t>cas.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5.5</w:t>
      </w:r>
      <w:r w:rsidRPr="005100A9">
        <w:tab/>
        <w:t>En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concerne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affirmation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prétend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enquêtes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actuellement</w:t>
      </w:r>
      <w:r w:rsidR="005100A9" w:rsidRPr="005100A9">
        <w:t xml:space="preserve"> </w:t>
      </w:r>
      <w:r w:rsidRPr="005100A9">
        <w:t>menées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vue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traduire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agresseurs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justice,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soutient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existe</w:t>
      </w:r>
      <w:r w:rsidR="005100A9" w:rsidRPr="005100A9">
        <w:t xml:space="preserve"> </w:t>
      </w:r>
      <w:r w:rsidRPr="005100A9">
        <w:t>aucun</w:t>
      </w:r>
      <w:r w:rsidR="005100A9" w:rsidRPr="005100A9">
        <w:t xml:space="preserve"> </w:t>
      </w:r>
      <w:r w:rsidRPr="005100A9">
        <w:t>signe</w:t>
      </w:r>
      <w:r w:rsidR="005100A9" w:rsidRPr="005100A9">
        <w:t xml:space="preserve"> </w:t>
      </w:r>
      <w:r w:rsidRPr="005100A9">
        <w:t>montrant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concrètes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prises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enquêtes</w:t>
      </w:r>
      <w:r w:rsidR="005100A9" w:rsidRPr="005100A9">
        <w:t xml:space="preserve"> </w:t>
      </w:r>
      <w:r w:rsidRPr="005100A9">
        <w:t>alléguées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abouti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résultats.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jamais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contacté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reçu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information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procédures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enquêtes</w:t>
      </w:r>
      <w:r w:rsidR="005100A9" w:rsidRPr="005100A9">
        <w:t xml:space="preserve"> </w:t>
      </w:r>
      <w:r w:rsidRPr="005100A9">
        <w:t>prétendument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cours.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5.6</w:t>
      </w:r>
      <w:r w:rsidRPr="005100A9">
        <w:tab/>
        <w:t>En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concerne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argument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soutient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aurait</w:t>
      </w:r>
      <w:r w:rsidR="005100A9" w:rsidRPr="005100A9">
        <w:t xml:space="preserve"> </w:t>
      </w:r>
      <w:r w:rsidRPr="005100A9">
        <w:t>dû</w:t>
      </w:r>
      <w:r w:rsidR="005100A9" w:rsidRPr="005100A9">
        <w:t xml:space="preserve"> </w:t>
      </w:r>
      <w:r w:rsidRPr="005100A9">
        <w:t>saisir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juridictions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requête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violation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titre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devoirs</w:t>
      </w:r>
      <w:r w:rsidR="005100A9" w:rsidRPr="005100A9">
        <w:t xml:space="preserve"> </w:t>
      </w:r>
      <w:r w:rsidRPr="005100A9">
        <w:t>fondamentaux,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objecte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prévue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ladite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extrêmement</w:t>
      </w:r>
      <w:r w:rsidR="005100A9" w:rsidRPr="005100A9">
        <w:t xml:space="preserve"> </w:t>
      </w:r>
      <w:r w:rsidRPr="005100A9">
        <w:t>longue.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renvoie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jurisprudence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organes</w:t>
      </w:r>
      <w:r w:rsidR="005100A9" w:rsidRPr="005100A9">
        <w:t xml:space="preserve"> </w:t>
      </w:r>
      <w:r w:rsidRPr="005100A9">
        <w:t>chargés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selon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y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lieu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épuiser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excède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délais</w:t>
      </w:r>
      <w:r w:rsidR="005100A9" w:rsidRPr="005100A9">
        <w:t xml:space="preserve"> </w:t>
      </w:r>
      <w:r w:rsidRPr="005100A9">
        <w:t>raisonnables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qui,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nature</w:t>
      </w:r>
      <w:r w:rsidR="005100A9" w:rsidRPr="005100A9">
        <w:t xml:space="preserve"> </w:t>
      </w:r>
      <w:r w:rsidRPr="005100A9">
        <w:t>même,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inutiles</w:t>
      </w:r>
      <w:r w:rsidRPr="005100A9">
        <w:rPr>
          <w:rStyle w:val="Appelnotedebasdep"/>
        </w:rPr>
        <w:footnoteReference w:id="13"/>
      </w:r>
      <w:r w:rsidRPr="005100A9">
        <w:t>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ajoute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même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existe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règle</w:t>
      </w:r>
      <w:r w:rsidR="005100A9" w:rsidRPr="005100A9">
        <w:t xml:space="preserve"> </w:t>
      </w:r>
      <w:r w:rsidRPr="005100A9">
        <w:t>contraignante</w:t>
      </w:r>
      <w:r w:rsidR="005100A9" w:rsidRPr="005100A9">
        <w:t xml:space="preserve"> </w:t>
      </w:r>
      <w:r w:rsidRPr="005100A9">
        <w:t>définissant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seuil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partir</w:t>
      </w:r>
      <w:r w:rsidR="005100A9" w:rsidRPr="005100A9">
        <w:t xml:space="preserve"> </w:t>
      </w:r>
      <w:r w:rsidRPr="005100A9">
        <w:t>duquel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peut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considérée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indûment</w:t>
      </w:r>
      <w:r w:rsidR="005100A9" w:rsidRPr="005100A9">
        <w:t xml:space="preserve"> </w:t>
      </w:r>
      <w:r w:rsidRPr="005100A9">
        <w:t>prolongée,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organes</w:t>
      </w:r>
      <w:r w:rsidR="005100A9" w:rsidRPr="005100A9">
        <w:t xml:space="preserve"> </w:t>
      </w:r>
      <w:r w:rsidRPr="005100A9">
        <w:t>chargés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prennent</w:t>
      </w:r>
      <w:r w:rsidR="005100A9" w:rsidRPr="005100A9">
        <w:t xml:space="preserve"> </w:t>
      </w:r>
      <w:r w:rsidRPr="005100A9">
        <w:t>généralement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considération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comportement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États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complexité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affaire</w:t>
      </w:r>
      <w:r w:rsidR="005100A9" w:rsidRPr="005100A9">
        <w:t xml:space="preserve"> </w:t>
      </w:r>
      <w:r w:rsidRPr="005100A9">
        <w:t>lorsqu</w:t>
      </w:r>
      <w:r w:rsidR="00A33279">
        <w:t>’</w:t>
      </w:r>
      <w:r w:rsidRPr="005100A9">
        <w:t>ils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déterminer</w:t>
      </w:r>
      <w:r w:rsidR="005100A9" w:rsidRPr="005100A9">
        <w:t xml:space="preserve"> </w:t>
      </w:r>
      <w:r w:rsidRPr="005100A9">
        <w:t>si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durée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lastRenderedPageBreak/>
        <w:t>raisonnable</w:t>
      </w:r>
      <w:r w:rsidRPr="005100A9">
        <w:rPr>
          <w:rStyle w:val="Appelnotedebasdep"/>
        </w:rPr>
        <w:footnoteReference w:id="14"/>
      </w:r>
      <w:r w:rsidRPr="005100A9">
        <w:t>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ajoute</w:t>
      </w:r>
      <w:r w:rsidR="005100A9" w:rsidRPr="005100A9">
        <w:t xml:space="preserve"> </w:t>
      </w:r>
      <w:r w:rsidRPr="005100A9">
        <w:t>également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requérants</w:t>
      </w:r>
      <w:r w:rsidR="005100A9" w:rsidRPr="005100A9">
        <w:t xml:space="preserve"> </w:t>
      </w:r>
      <w:r w:rsidRPr="005100A9">
        <w:t>peuvent</w:t>
      </w:r>
      <w:r w:rsidR="005100A9" w:rsidRPr="005100A9">
        <w:t xml:space="preserve"> </w:t>
      </w:r>
      <w:r w:rsidRPr="005100A9">
        <w:t>invoquer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jurisprudence</w:t>
      </w:r>
      <w:r w:rsidR="005100A9" w:rsidRPr="005100A9">
        <w:t xml:space="preserve"> </w:t>
      </w:r>
      <w:r w:rsidRPr="005100A9">
        <w:t>lorsque,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espèce,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prolonge</w:t>
      </w:r>
      <w:r w:rsidR="005100A9" w:rsidRPr="005100A9">
        <w:t xml:space="preserve"> </w:t>
      </w:r>
      <w:r w:rsidRPr="005100A9">
        <w:t>pendant</w:t>
      </w:r>
      <w:r w:rsidR="005100A9" w:rsidRPr="005100A9">
        <w:t xml:space="preserve"> </w:t>
      </w:r>
      <w:r w:rsidRPr="005100A9">
        <w:t>plusieurs</w:t>
      </w:r>
      <w:r w:rsidR="005100A9" w:rsidRPr="005100A9">
        <w:t xml:space="preserve"> </w:t>
      </w:r>
      <w:r w:rsidRPr="005100A9">
        <w:t>années</w:t>
      </w:r>
      <w:r w:rsidR="005100A9" w:rsidRPr="005100A9">
        <w:t xml:space="preserve"> </w:t>
      </w:r>
      <w:r w:rsidRPr="005100A9">
        <w:t>sans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y</w:t>
      </w:r>
      <w:r w:rsidR="005100A9" w:rsidRPr="005100A9">
        <w:t xml:space="preserve"> </w:t>
      </w:r>
      <w:r w:rsidRPr="005100A9">
        <w:t>ait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moindre</w:t>
      </w:r>
      <w:r w:rsidR="005100A9" w:rsidRPr="005100A9">
        <w:t xml:space="preserve"> </w:t>
      </w:r>
      <w:r w:rsidRPr="005100A9">
        <w:t>signe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progrès,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judiciaire</w:t>
      </w:r>
      <w:r w:rsidR="005100A9" w:rsidRPr="005100A9">
        <w:t xml:space="preserve"> </w:t>
      </w:r>
      <w:r w:rsidRPr="005100A9">
        <w:t>dure</w:t>
      </w:r>
      <w:r w:rsidR="005100A9" w:rsidRPr="005100A9">
        <w:t xml:space="preserve"> </w:t>
      </w:r>
      <w:r w:rsidRPr="005100A9">
        <w:t>depuis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années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utilisés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="00A828A4">
        <w:t>« </w:t>
      </w:r>
      <w:r w:rsidRPr="005100A9">
        <w:t>moyen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temporiser</w:t>
      </w:r>
      <w:r w:rsidR="00A828A4">
        <w:t> »</w:t>
      </w:r>
      <w:r w:rsidRPr="005100A9">
        <w:rPr>
          <w:rStyle w:val="Appelnotedebasdep"/>
        </w:rPr>
        <w:footnoteReference w:id="15"/>
      </w:r>
      <w:r w:rsidRPr="005100A9">
        <w:t>.</w:t>
      </w:r>
    </w:p>
    <w:p w:rsidR="00B55750" w:rsidRPr="005100A9" w:rsidRDefault="00B55750" w:rsidP="00C726E7">
      <w:pPr>
        <w:pStyle w:val="SingleTxtG"/>
      </w:pPr>
      <w:r w:rsidRPr="005100A9">
        <w:t>5.7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renvoie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requête</w:t>
      </w:r>
      <w:r w:rsidR="005100A9" w:rsidRPr="005100A9">
        <w:t xml:space="preserve"> </w:t>
      </w:r>
      <w:r w:rsidRPr="005100A9">
        <w:t>constitutionnelle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République-Unie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Tanzanie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saisie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20</w:t>
      </w:r>
      <w:r w:rsidR="00A828A4">
        <w:t> </w:t>
      </w:r>
      <w:r w:rsidRPr="005100A9">
        <w:t>mars</w:t>
      </w:r>
      <w:r w:rsidR="005100A9" w:rsidRPr="005100A9">
        <w:t xml:space="preserve"> </w:t>
      </w:r>
      <w:r w:rsidRPr="005100A9">
        <w:t>2009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avaient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(Recueil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requêtes</w:t>
      </w:r>
      <w:r w:rsidR="005100A9" w:rsidRPr="005100A9">
        <w:t xml:space="preserve"> </w:t>
      </w:r>
      <w:r w:rsidRPr="005100A9">
        <w:t>civiles</w:t>
      </w:r>
      <w:r w:rsidR="005100A9" w:rsidRPr="005100A9">
        <w:t xml:space="preserve"> </w:t>
      </w:r>
      <w:r w:rsidRPr="005100A9">
        <w:t>diverses,</w:t>
      </w:r>
      <w:r w:rsidR="005100A9" w:rsidRPr="005100A9">
        <w:t xml:space="preserve"> </w:t>
      </w:r>
      <w:r w:rsidRPr="005100A9">
        <w:t>dossier</w:t>
      </w:r>
      <w:r w:rsidR="005100A9" w:rsidRPr="005100A9">
        <w:t xml:space="preserve"> </w:t>
      </w:r>
      <w:r w:rsidR="00A828A4">
        <w:rPr>
          <w:rFonts w:eastAsia="MS Mincho"/>
        </w:rPr>
        <w:t>n</w:t>
      </w:r>
      <w:r w:rsidR="00A828A4">
        <w:rPr>
          <w:rFonts w:eastAsia="MS Mincho"/>
          <w:vertAlign w:val="superscript"/>
        </w:rPr>
        <w:t>o</w:t>
      </w:r>
      <w:r w:rsidR="00A828A4">
        <w:t> </w:t>
      </w:r>
      <w:r w:rsidRPr="005100A9">
        <w:t>15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2009),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soumise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titre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devoirs</w:t>
      </w:r>
      <w:r w:rsidR="005100A9" w:rsidRPr="005100A9">
        <w:t xml:space="preserve"> </w:t>
      </w:r>
      <w:r w:rsidRPr="005100A9">
        <w:t>fondamentaux.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4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ladite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dispose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personne</w:t>
      </w:r>
      <w:r w:rsidR="005100A9" w:rsidRPr="005100A9">
        <w:t xml:space="preserve"> </w:t>
      </w:r>
      <w:r w:rsidRPr="005100A9">
        <w:t>do</w:t>
      </w:r>
      <w:r w:rsidR="00947C27">
        <w:t>n</w:t>
      </w:r>
      <w:r w:rsidRPr="005100A9">
        <w:t>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violés</w:t>
      </w:r>
      <w:r w:rsidR="005100A9" w:rsidRPr="005100A9">
        <w:t xml:space="preserve"> </w:t>
      </w:r>
      <w:r w:rsidRPr="005100A9">
        <w:t>peut</w:t>
      </w:r>
      <w:r w:rsidR="005100A9" w:rsidRPr="005100A9">
        <w:t xml:space="preserve"> </w:t>
      </w:r>
      <w:r w:rsidRPr="005100A9">
        <w:t>saisir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réparation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10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texte</w:t>
      </w:r>
      <w:r w:rsidR="005100A9" w:rsidRPr="005100A9">
        <w:t xml:space="preserve"> </w:t>
      </w:r>
      <w:r w:rsidRPr="005100A9">
        <w:t>prévoit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collège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juges</w:t>
      </w:r>
      <w:r w:rsidR="005100A9" w:rsidRPr="005100A9">
        <w:t xml:space="preserve"> </w:t>
      </w:r>
      <w:r w:rsidRPr="005100A9">
        <w:t>chargé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examiner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requête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fond</w:t>
      </w:r>
      <w:r w:rsidR="005100A9" w:rsidRPr="005100A9">
        <w:t xml:space="preserve"> </w:t>
      </w:r>
      <w:r w:rsidRPr="005100A9">
        <w:t>doit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composé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trois</w:t>
      </w:r>
      <w:r w:rsidR="005100A9" w:rsidRPr="005100A9">
        <w:t xml:space="preserve"> </w:t>
      </w:r>
      <w:r w:rsidRPr="005100A9">
        <w:t>magistrats.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requête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soumise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assistance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Legal</w:t>
      </w:r>
      <w:r w:rsidR="005100A9" w:rsidRPr="005100A9">
        <w:t xml:space="preserve"> </w:t>
      </w:r>
      <w:r w:rsidRPr="005100A9">
        <w:t>and</w:t>
      </w:r>
      <w:r w:rsidR="005100A9" w:rsidRPr="005100A9">
        <w:t xml:space="preserve"> </w:t>
      </w:r>
      <w:r w:rsidRPr="005100A9">
        <w:t>Human</w:t>
      </w:r>
      <w:r w:rsidR="005100A9" w:rsidRPr="005100A9">
        <w:t xml:space="preserve"> </w:t>
      </w:r>
      <w:r w:rsidRPr="005100A9">
        <w:t>Rights</w:t>
      </w:r>
      <w:r w:rsidR="005100A9" w:rsidRPr="005100A9">
        <w:t xml:space="preserve"> </w:t>
      </w:r>
      <w:r w:rsidRPr="005100A9">
        <w:t>Centre,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Tanzania</w:t>
      </w:r>
      <w:r w:rsidR="005100A9" w:rsidRPr="005100A9">
        <w:t xml:space="preserve"> </w:t>
      </w:r>
      <w:r w:rsidRPr="005100A9">
        <w:t>Albino</w:t>
      </w:r>
      <w:r w:rsidR="005100A9" w:rsidRPr="005100A9">
        <w:t xml:space="preserve"> </w:t>
      </w:r>
      <w:r w:rsidRPr="005100A9">
        <w:t>Society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Tanzania</w:t>
      </w:r>
      <w:r w:rsidR="005100A9" w:rsidRPr="005100A9">
        <w:t xml:space="preserve"> </w:t>
      </w:r>
      <w:r w:rsidRPr="005100A9">
        <w:t>Federation</w:t>
      </w:r>
      <w:r w:rsidR="005100A9" w:rsidRPr="005100A9">
        <w:t xml:space="preserve"> </w:t>
      </w:r>
      <w:r w:rsidRPr="005100A9">
        <w:t>of</w:t>
      </w:r>
      <w:r w:rsidR="005100A9" w:rsidRPr="005100A9">
        <w:t xml:space="preserve"> </w:t>
      </w:r>
      <w:r w:rsidRPr="005100A9">
        <w:t>Disabled</w:t>
      </w:r>
      <w:r w:rsidR="005100A9" w:rsidRPr="005100A9">
        <w:t xml:space="preserve"> </w:t>
      </w:r>
      <w:r w:rsidRPr="005100A9">
        <w:t>Peoples</w:t>
      </w:r>
      <w:r w:rsidR="00A33279">
        <w:t>’</w:t>
      </w:r>
      <w:r w:rsidR="005100A9" w:rsidRPr="005100A9">
        <w:t xml:space="preserve"> </w:t>
      </w:r>
      <w:r w:rsidRPr="005100A9">
        <w:t>Organizations.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six</w:t>
      </w:r>
      <w:r w:rsidR="005100A9" w:rsidRPr="005100A9">
        <w:t xml:space="preserve"> </w:t>
      </w:r>
      <w:r w:rsidRPr="005100A9">
        <w:t>ans</w:t>
      </w:r>
      <w:r w:rsidR="005100A9" w:rsidRPr="005100A9">
        <w:t xml:space="preserve"> </w:t>
      </w:r>
      <w:r w:rsidRPr="005100A9">
        <w:t>après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dépôt,</w:t>
      </w:r>
      <w:r w:rsidR="005100A9" w:rsidRPr="005100A9">
        <w:t xml:space="preserve"> </w:t>
      </w:r>
      <w:r w:rsidRPr="005100A9">
        <w:t>elle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encore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attente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examen</w:t>
      </w:r>
      <w:r w:rsidR="005100A9" w:rsidRPr="005100A9">
        <w:t xml:space="preserve"> </w:t>
      </w:r>
      <w:r w:rsidRPr="005100A9">
        <w:t>(voir</w:t>
      </w:r>
      <w:r w:rsidR="005100A9" w:rsidRPr="005100A9">
        <w:t xml:space="preserve"> </w:t>
      </w:r>
      <w:r w:rsidRPr="005100A9">
        <w:t>ci-dessus</w:t>
      </w:r>
      <w:r w:rsidR="005100A9" w:rsidRPr="005100A9">
        <w:t xml:space="preserve"> </w:t>
      </w:r>
      <w:r w:rsidRPr="005100A9">
        <w:t>par.</w:t>
      </w:r>
      <w:r w:rsidR="008C6FE3">
        <w:t> </w:t>
      </w:r>
      <w:r w:rsidRPr="005100A9">
        <w:t>2.6).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affirme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durée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généralement</w:t>
      </w:r>
      <w:r w:rsidR="005100A9" w:rsidRPr="005100A9">
        <w:t xml:space="preserve"> </w:t>
      </w:r>
      <w:r w:rsidRPr="005100A9">
        <w:t>excessive</w:t>
      </w:r>
      <w:r w:rsidR="005100A9" w:rsidRPr="005100A9">
        <w:t xml:space="preserve"> </w:t>
      </w:r>
      <w:r w:rsidRPr="005100A9">
        <w:t>car,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bon</w:t>
      </w:r>
      <w:r w:rsidR="005100A9" w:rsidRPr="005100A9">
        <w:t xml:space="preserve"> </w:t>
      </w:r>
      <w:r w:rsidRPr="005100A9">
        <w:t>nombre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antennes</w:t>
      </w:r>
      <w:r w:rsidR="005100A9" w:rsidRPr="005100A9">
        <w:t xml:space="preserve"> </w:t>
      </w:r>
      <w:r w:rsidRPr="005100A9">
        <w:t>régionales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nombre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magistrats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retreint,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rend</w:t>
      </w:r>
      <w:r w:rsidR="005100A9" w:rsidRPr="005100A9">
        <w:t xml:space="preserve"> </w:t>
      </w:r>
      <w:r w:rsidRPr="005100A9">
        <w:t>difficile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constitution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collège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juges.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donc</w:t>
      </w:r>
      <w:r w:rsidR="005100A9" w:rsidRPr="005100A9">
        <w:t xml:space="preserve"> </w:t>
      </w:r>
      <w:r w:rsidRPr="005100A9">
        <w:t>accusé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retard</w:t>
      </w:r>
      <w:r w:rsidR="005100A9" w:rsidRPr="005100A9">
        <w:t xml:space="preserve"> </w:t>
      </w:r>
      <w:r w:rsidRPr="005100A9">
        <w:t>indu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excédé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délais</w:t>
      </w:r>
      <w:r w:rsidR="005100A9" w:rsidRPr="005100A9">
        <w:t xml:space="preserve"> </w:t>
      </w:r>
      <w:r w:rsidRPr="005100A9">
        <w:t>raisonnables</w:t>
      </w:r>
      <w:r w:rsidRPr="005100A9">
        <w:rPr>
          <w:rStyle w:val="Appelnotedebasdep"/>
        </w:rPr>
        <w:footnoteReference w:id="16"/>
      </w:r>
      <w:r w:rsidRPr="005100A9">
        <w:t>,</w:t>
      </w:r>
      <w:r w:rsidR="005100A9" w:rsidRPr="005100A9">
        <w:t xml:space="preserve"> </w:t>
      </w:r>
      <w:r w:rsidRPr="005100A9">
        <w:t>raison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</w:t>
      </w:r>
      <w:r w:rsidR="005100A9" w:rsidRPr="005100A9">
        <w:t xml:space="preserve"> </w:t>
      </w:r>
      <w:r w:rsidRPr="005100A9">
        <w:t>devant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disponible.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5.8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répète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depuis</w:t>
      </w:r>
      <w:r w:rsidR="005100A9" w:rsidRPr="005100A9">
        <w:t xml:space="preserve"> </w:t>
      </w:r>
      <w:r w:rsidRPr="005100A9">
        <w:t>2000,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agressions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multipliées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répandues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beaucoup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agressions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ont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signalées.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affirme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toujours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engagé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poursuites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cas</w:t>
      </w:r>
      <w:r w:rsidR="005100A9" w:rsidRPr="005100A9">
        <w:t xml:space="preserve"> </w:t>
      </w:r>
      <w:r w:rsidRPr="005100A9">
        <w:t>dénoncés</w:t>
      </w:r>
      <w:r w:rsidRPr="005100A9">
        <w:rPr>
          <w:rStyle w:val="Appelnotedebasdep"/>
        </w:rPr>
        <w:footnoteReference w:id="17"/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système</w:t>
      </w:r>
      <w:r w:rsidR="005100A9" w:rsidRPr="005100A9">
        <w:t xml:space="preserve"> </w:t>
      </w:r>
      <w:r w:rsidRPr="005100A9">
        <w:t>judiciaire</w:t>
      </w:r>
      <w:r w:rsidR="005100A9" w:rsidRPr="005100A9">
        <w:t xml:space="preserve"> </w:t>
      </w:r>
      <w:r w:rsidRPr="005100A9">
        <w:t>tanzanien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doté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ressources</w:t>
      </w:r>
      <w:r w:rsidR="005100A9" w:rsidRPr="005100A9">
        <w:t xml:space="preserve"> </w:t>
      </w:r>
      <w:r w:rsidRPr="005100A9">
        <w:t>suffisantes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traiter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nombre</w:t>
      </w:r>
      <w:r w:rsidR="005100A9" w:rsidRPr="005100A9">
        <w:t xml:space="preserve"> </w:t>
      </w:r>
      <w:r w:rsidRPr="005100A9">
        <w:t>considérable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affaires</w:t>
      </w:r>
      <w:r w:rsidR="005100A9" w:rsidRPr="005100A9">
        <w:t xml:space="preserve"> </w:t>
      </w:r>
      <w:r w:rsidRPr="005100A9">
        <w:t>portant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Pr="005100A9">
        <w:rPr>
          <w:rStyle w:val="Appelnotedebasdep"/>
        </w:rPr>
        <w:footnoteReference w:id="18"/>
      </w:r>
      <w:r w:rsidRPr="005100A9">
        <w:t>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renvoie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jurisprudence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Commission</w:t>
      </w:r>
      <w:r w:rsidR="005100A9" w:rsidRPr="005100A9">
        <w:t xml:space="preserve"> </w:t>
      </w:r>
      <w:r w:rsidRPr="005100A9">
        <w:t>africaine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peuples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après</w:t>
      </w:r>
      <w:r w:rsidR="005100A9" w:rsidRPr="005100A9">
        <w:t xml:space="preserve"> </w:t>
      </w:r>
      <w:r w:rsidRPr="005100A9">
        <w:t>laquelle,</w:t>
      </w:r>
      <w:r w:rsidR="005100A9" w:rsidRPr="005100A9">
        <w:t xml:space="preserve"> </w:t>
      </w:r>
      <w:r w:rsidRPr="005100A9">
        <w:t>lorsqu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État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courant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existence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violations</w:t>
      </w:r>
      <w:r w:rsidR="005100A9" w:rsidRPr="005100A9">
        <w:t xml:space="preserve"> </w:t>
      </w:r>
      <w:r w:rsidR="008C6FE3">
        <w:t>« </w:t>
      </w:r>
      <w:r w:rsidRPr="005100A9">
        <w:t>massives</w:t>
      </w:r>
      <w:r w:rsidR="008C6FE3">
        <w:t> »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="008C6FE3">
        <w:t>« </w:t>
      </w:r>
      <w:r w:rsidRPr="005100A9">
        <w:t>graves</w:t>
      </w:r>
      <w:r w:rsidR="008C6FE3">
        <w:t> »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censé</w:t>
      </w:r>
      <w:r w:rsidR="005100A9" w:rsidRPr="005100A9">
        <w:t xml:space="preserve"> </w:t>
      </w:r>
      <w:r w:rsidRPr="005100A9">
        <w:t>prendre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voulues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prévenir</w:t>
      </w:r>
      <w:r w:rsidRPr="005100A9">
        <w:rPr>
          <w:rStyle w:val="Appelnotedebasdep"/>
        </w:rPr>
        <w:footnoteReference w:id="19"/>
      </w:r>
      <w:r w:rsidRPr="005100A9">
        <w:t>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affirme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en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espèce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informé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graves</w:t>
      </w:r>
      <w:r w:rsidR="005100A9" w:rsidRPr="005100A9">
        <w:t xml:space="preserve"> </w:t>
      </w:r>
      <w:r w:rsidRPr="005100A9">
        <w:t>violations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victime,</w:t>
      </w:r>
      <w:r w:rsidR="005100A9" w:rsidRPr="005100A9">
        <w:t xml:space="preserve"> </w:t>
      </w:r>
      <w:r w:rsidRPr="005100A9">
        <w:t>mais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ont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pris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imposaient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enquêter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faits,</w:t>
      </w:r>
      <w:r w:rsidR="005100A9" w:rsidRPr="005100A9">
        <w:t xml:space="preserve"> </w:t>
      </w:r>
      <w:r w:rsidRPr="005100A9">
        <w:t>poursuivre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punir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sorte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nature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soient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jamais</w:t>
      </w:r>
      <w:r w:rsidR="005100A9" w:rsidRPr="005100A9">
        <w:t xml:space="preserve"> </w:t>
      </w:r>
      <w:r w:rsidRPr="005100A9">
        <w:t>infligés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République-Unie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Tanzanie.</w:t>
      </w:r>
      <w:r w:rsidR="005100A9" w:rsidRPr="005100A9">
        <w:t xml:space="preserve"> </w:t>
      </w:r>
    </w:p>
    <w:p w:rsidR="00B55750" w:rsidRPr="005100A9" w:rsidRDefault="00B55750" w:rsidP="00C726E7">
      <w:pPr>
        <w:pStyle w:val="SingleTxtG"/>
      </w:pPr>
      <w:r w:rsidRPr="005100A9">
        <w:t>5.9</w:t>
      </w:r>
      <w:r w:rsidRPr="005100A9">
        <w:tab/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affirme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voie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peut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considérée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utile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si</w:t>
      </w:r>
      <w:r w:rsidR="005100A9" w:rsidRPr="005100A9">
        <w:t xml:space="preserve"> </w:t>
      </w:r>
      <w:r w:rsidRPr="005100A9">
        <w:t>elle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accessible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théorie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pratique</w:t>
      </w:r>
      <w:r w:rsidRPr="005100A9">
        <w:rPr>
          <w:rStyle w:val="Appelnotedebasdep"/>
        </w:rPr>
        <w:footnoteReference w:id="20"/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elle</w:t>
      </w:r>
      <w:r w:rsidR="005100A9" w:rsidRPr="005100A9">
        <w:t xml:space="preserve"> </w:t>
      </w:r>
      <w:r w:rsidRPr="005100A9">
        <w:t>peut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="008C6FE3">
        <w:t>« </w:t>
      </w:r>
      <w:r w:rsidRPr="005100A9">
        <w:t>utilisée</w:t>
      </w:r>
      <w:r w:rsidR="005100A9" w:rsidRPr="005100A9">
        <w:t xml:space="preserve"> </w:t>
      </w:r>
      <w:r w:rsidRPr="005100A9">
        <w:t>sans</w:t>
      </w:r>
      <w:r w:rsidR="005100A9" w:rsidRPr="005100A9">
        <w:t xml:space="preserve"> </w:t>
      </w:r>
      <w:r w:rsidRPr="005100A9">
        <w:t>obstacle</w:t>
      </w:r>
      <w:r w:rsidR="008C6FE3">
        <w:t> »</w:t>
      </w:r>
      <w:r w:rsidRPr="005100A9">
        <w:rPr>
          <w:rStyle w:val="Appelnotedebasdep"/>
        </w:rPr>
        <w:footnoteReference w:id="21"/>
      </w:r>
      <w:r w:rsidRPr="005100A9">
        <w:t>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outre,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voies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peuvent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qualifiées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efficaces</w:t>
      </w:r>
      <w:r w:rsidR="005100A9" w:rsidRPr="005100A9">
        <w:t xml:space="preserve"> </w:t>
      </w:r>
      <w:r w:rsidRPr="005100A9">
        <w:t>lorsqu</w:t>
      </w:r>
      <w:r w:rsidR="00A33279">
        <w:t>’</w:t>
      </w:r>
      <w:r w:rsidRPr="005100A9">
        <w:t>elles</w:t>
      </w:r>
      <w:r w:rsidR="005100A9" w:rsidRPr="005100A9">
        <w:t xml:space="preserve"> </w:t>
      </w:r>
      <w:r w:rsidRPr="005100A9">
        <w:t>offrent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perspectives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réussite,</w:t>
      </w:r>
      <w:r w:rsidR="005100A9" w:rsidRPr="005100A9">
        <w:t xml:space="preserve"> </w:t>
      </w:r>
      <w:r w:rsidRPr="005100A9">
        <w:t>notamment</w:t>
      </w:r>
      <w:r w:rsidR="005100A9" w:rsidRPr="005100A9">
        <w:t xml:space="preserve"> </w:t>
      </w:r>
      <w:r w:rsidRPr="005100A9">
        <w:t>sous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forme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réparation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violations</w:t>
      </w:r>
      <w:r w:rsidR="005100A9" w:rsidRPr="005100A9">
        <w:t xml:space="preserve"> </w:t>
      </w:r>
      <w:r w:rsidRPr="005100A9">
        <w:t>alléguées.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cas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violations</w:t>
      </w:r>
      <w:r w:rsidR="005100A9" w:rsidRPr="005100A9">
        <w:t xml:space="preserve"> </w:t>
      </w:r>
      <w:r w:rsidRPr="005100A9">
        <w:t>graves,</w:t>
      </w:r>
      <w:r w:rsidR="005100A9" w:rsidRPr="005100A9">
        <w:t xml:space="preserve"> </w:t>
      </w:r>
      <w:r w:rsidRPr="005100A9">
        <w:t>notamment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violations</w:t>
      </w:r>
      <w:r w:rsidR="005100A9" w:rsidRPr="005100A9">
        <w:t xml:space="preserve"> </w:t>
      </w:r>
      <w:r w:rsidRPr="005100A9">
        <w:t>présumées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droit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vie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interdiction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torture,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ordre</w:t>
      </w:r>
      <w:r w:rsidR="005100A9" w:rsidRPr="005100A9">
        <w:t xml:space="preserve"> </w:t>
      </w:r>
      <w:r w:rsidRPr="005100A9">
        <w:t>purement</w:t>
      </w:r>
      <w:r w:rsidR="005100A9" w:rsidRPr="005100A9">
        <w:t xml:space="preserve"> </w:t>
      </w:r>
      <w:r w:rsidRPr="005100A9">
        <w:t>administratif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lastRenderedPageBreak/>
        <w:t>disciplinaire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peuvent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considérés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suffisants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utiles</w:t>
      </w:r>
      <w:r w:rsidRPr="005100A9">
        <w:rPr>
          <w:rStyle w:val="Appelnotedebasdep"/>
        </w:rPr>
        <w:footnoteReference w:id="22"/>
      </w:r>
      <w:r w:rsidRPr="005100A9">
        <w:t>.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doivent</w:t>
      </w:r>
      <w:r w:rsidR="005100A9" w:rsidRPr="005100A9">
        <w:t xml:space="preserve"> </w:t>
      </w:r>
      <w:r w:rsidRPr="005100A9">
        <w:t>donc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judiciaires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États</w:t>
      </w:r>
      <w:r w:rsidR="005100A9" w:rsidRPr="005100A9">
        <w:t xml:space="preserve"> </w:t>
      </w:r>
      <w:r w:rsidRPr="005100A9">
        <w:t>devraient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établir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responsabilité</w:t>
      </w:r>
      <w:r w:rsidR="005100A9" w:rsidRPr="005100A9">
        <w:t xml:space="preserve"> </w:t>
      </w:r>
      <w:r w:rsidRPr="005100A9">
        <w:t>pénale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auxquelles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violations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imputées.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renvoie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jurisprudence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européenne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selon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requérants</w:t>
      </w:r>
      <w:r w:rsidR="005100A9" w:rsidRPr="005100A9">
        <w:t xml:space="preserve"> </w:t>
      </w:r>
      <w:r w:rsidRPr="005100A9">
        <w:t>peuvent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dispensés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obligation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épuiser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="00DA5908">
        <w:t>« </w:t>
      </w:r>
      <w:r w:rsidRPr="005100A9">
        <w:t>lorsqu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prouvée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existence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pratique</w:t>
      </w:r>
      <w:r w:rsidR="005100A9" w:rsidRPr="005100A9">
        <w:t xml:space="preserve"> </w:t>
      </w:r>
      <w:r w:rsidRPr="005100A9">
        <w:t>administrative</w:t>
      </w:r>
      <w:r w:rsidR="005100A9" w:rsidRPr="005100A9">
        <w:t xml:space="preserve"> </w:t>
      </w:r>
      <w:r w:rsidRPr="005100A9">
        <w:t>consistant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répétition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actes</w:t>
      </w:r>
      <w:r w:rsidR="005100A9" w:rsidRPr="005100A9">
        <w:t xml:space="preserve"> </w:t>
      </w:r>
      <w:r w:rsidRPr="005100A9">
        <w:t>interdits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tolérance</w:t>
      </w:r>
      <w:r w:rsidR="005100A9" w:rsidRPr="005100A9">
        <w:t xml:space="preserve"> </w:t>
      </w:r>
      <w:r w:rsidRPr="005100A9">
        <w:t>officielle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cela</w:t>
      </w:r>
      <w:r w:rsidR="005100A9" w:rsidRPr="005100A9">
        <w:t xml:space="preserve"> </w:t>
      </w:r>
      <w:r w:rsidRPr="005100A9">
        <w:t>rend</w:t>
      </w:r>
      <w:r w:rsidR="005100A9" w:rsidRPr="005100A9">
        <w:t xml:space="preserve"> </w:t>
      </w:r>
      <w:r w:rsidRPr="005100A9">
        <w:t>toute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vaine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ineffective</w:t>
      </w:r>
      <w:r w:rsidR="00DA5908">
        <w:t> »</w:t>
      </w:r>
      <w:r w:rsidRPr="005100A9">
        <w:rPr>
          <w:rStyle w:val="Appelnotedebasdep"/>
        </w:rPr>
        <w:footnoteReference w:id="23"/>
      </w:r>
      <w:r w:rsidRPr="005100A9">
        <w:t>.</w:t>
      </w:r>
    </w:p>
    <w:p w:rsidR="00B55750" w:rsidRPr="005100A9" w:rsidRDefault="00B55750" w:rsidP="00C726E7">
      <w:pPr>
        <w:pStyle w:val="SingleTxtG"/>
      </w:pPr>
      <w:r w:rsidRPr="005100A9">
        <w:t>5.10</w:t>
      </w:r>
      <w:r w:rsidRPr="005100A9">
        <w:tab/>
        <w:t>En</w:t>
      </w:r>
      <w:r w:rsidR="005100A9" w:rsidRPr="005100A9">
        <w:t xml:space="preserve"> </w:t>
      </w:r>
      <w:r w:rsidRPr="005100A9">
        <w:t>conséquence,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circonstances</w:t>
      </w:r>
      <w:r w:rsidR="005100A9" w:rsidRPr="005100A9">
        <w:t xml:space="preserve"> </w:t>
      </w:r>
      <w:r w:rsidRPr="005100A9">
        <w:t>particulières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espèce,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disponibles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quand</w:t>
      </w:r>
      <w:r w:rsidR="005100A9" w:rsidRPr="005100A9">
        <w:t xml:space="preserve"> </w:t>
      </w:r>
      <w:r w:rsidRPr="005100A9">
        <w:t>bien</w:t>
      </w:r>
      <w:r w:rsidR="005100A9" w:rsidRPr="005100A9">
        <w:t xml:space="preserve"> </w:t>
      </w:r>
      <w:r w:rsidRPr="005100A9">
        <w:t>même</w:t>
      </w:r>
      <w:r w:rsidR="005100A9" w:rsidRPr="005100A9">
        <w:t xml:space="preserve"> </w:t>
      </w:r>
      <w:r w:rsidRPr="005100A9">
        <w:t>ils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seraient,</w:t>
      </w:r>
      <w:r w:rsidR="005100A9" w:rsidRPr="005100A9">
        <w:t xml:space="preserve"> </w:t>
      </w:r>
      <w:r w:rsidRPr="005100A9">
        <w:t>ils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seraient</w:t>
      </w:r>
      <w:r w:rsidR="005100A9" w:rsidRPr="005100A9">
        <w:t xml:space="preserve"> </w:t>
      </w:r>
      <w:r w:rsidRPr="005100A9">
        <w:t>ni</w:t>
      </w:r>
      <w:r w:rsidR="005100A9" w:rsidRPr="005100A9">
        <w:t xml:space="preserve"> </w:t>
      </w:r>
      <w:r w:rsidRPr="005100A9">
        <w:t>utiles</w:t>
      </w:r>
      <w:r w:rsidR="005100A9" w:rsidRPr="005100A9">
        <w:t xml:space="preserve"> </w:t>
      </w:r>
      <w:r w:rsidRPr="005100A9">
        <w:t>ni</w:t>
      </w:r>
      <w:r w:rsidR="005100A9" w:rsidRPr="005100A9">
        <w:t xml:space="preserve"> </w:t>
      </w:r>
      <w:r w:rsidRPr="005100A9">
        <w:t>satisfaisants</w:t>
      </w:r>
      <w:r w:rsidRPr="005100A9">
        <w:rPr>
          <w:rStyle w:val="Appelnotedebasdep"/>
        </w:rPr>
        <w:footnoteReference w:id="24"/>
      </w:r>
      <w:r w:rsidRPr="005100A9">
        <w:t>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prie</w:t>
      </w:r>
      <w:r w:rsidR="005100A9" w:rsidRPr="005100A9">
        <w:t xml:space="preserve"> </w:t>
      </w:r>
      <w:r w:rsidRPr="005100A9">
        <w:t>donc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examiner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affaire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fond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répète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absence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sujet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absence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poursuites</w:t>
      </w:r>
      <w:r w:rsidR="005100A9" w:rsidRPr="005100A9">
        <w:t xml:space="preserve"> </w:t>
      </w:r>
      <w:r w:rsidRPr="005100A9">
        <w:t>contre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="005100A9" w:rsidRPr="005100A9">
        <w:t xml:space="preserve"> </w:t>
      </w:r>
      <w:r w:rsidRPr="005100A9">
        <w:t>constituent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violation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tient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articles</w:t>
      </w:r>
      <w:r w:rsidR="005100A9" w:rsidRPr="005100A9">
        <w:t xml:space="preserve"> </w:t>
      </w:r>
      <w:r w:rsidRPr="005100A9">
        <w:t>5,</w:t>
      </w:r>
      <w:r w:rsidR="005100A9" w:rsidRPr="005100A9">
        <w:t xml:space="preserve"> </w:t>
      </w:r>
      <w:r w:rsidRPr="005100A9">
        <w:t>15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17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Convention.</w:t>
      </w:r>
      <w:r w:rsidR="005100A9" w:rsidRPr="005100A9">
        <w:t xml:space="preserve"> </w:t>
      </w:r>
    </w:p>
    <w:p w:rsidR="00B55750" w:rsidRPr="005100A9" w:rsidRDefault="00C726E7" w:rsidP="00C726E7">
      <w:pPr>
        <w:pStyle w:val="H23G"/>
      </w:pPr>
      <w:r>
        <w:tab/>
      </w:r>
      <w:r w:rsidR="00B55750" w:rsidRPr="005100A9">
        <w:tab/>
        <w:t>Absence</w:t>
      </w:r>
      <w:r w:rsidR="005100A9" w:rsidRPr="005100A9">
        <w:t xml:space="preserve"> </w:t>
      </w:r>
      <w:r w:rsidR="00B55750" w:rsidRPr="005100A9">
        <w:t>de</w:t>
      </w:r>
      <w:r w:rsidR="005100A9" w:rsidRPr="005100A9">
        <w:t xml:space="preserve"> </w:t>
      </w:r>
      <w:r w:rsidR="00B55750" w:rsidRPr="005100A9">
        <w:t>réponse</w:t>
      </w:r>
      <w:r w:rsidR="005100A9" w:rsidRPr="005100A9">
        <w:t xml:space="preserve"> </w:t>
      </w:r>
      <w:r w:rsidR="00B55750" w:rsidRPr="005100A9">
        <w:t>de</w:t>
      </w:r>
      <w:r w:rsidR="005100A9" w:rsidRPr="005100A9">
        <w:t xml:space="preserve"> </w:t>
      </w:r>
      <w:r w:rsidR="00B55750" w:rsidRPr="005100A9">
        <w:t>l</w:t>
      </w:r>
      <w:r w:rsidR="00A33279">
        <w:t>’</w:t>
      </w:r>
      <w:r w:rsidR="00B55750" w:rsidRPr="005100A9">
        <w:t>État</w:t>
      </w:r>
      <w:r w:rsidR="005100A9" w:rsidRPr="005100A9">
        <w:t xml:space="preserve"> </w:t>
      </w:r>
      <w:r w:rsidR="00B55750" w:rsidRPr="005100A9">
        <w:t>partie</w:t>
      </w:r>
      <w:r w:rsidR="005100A9" w:rsidRPr="005100A9">
        <w:t xml:space="preserve"> </w:t>
      </w:r>
      <w:r w:rsidR="00B55750" w:rsidRPr="005100A9">
        <w:t>sur</w:t>
      </w:r>
      <w:r w:rsidR="005100A9" w:rsidRPr="005100A9">
        <w:t xml:space="preserve"> </w:t>
      </w:r>
      <w:r w:rsidR="00B55750" w:rsidRPr="005100A9">
        <w:t>le</w:t>
      </w:r>
      <w:r w:rsidR="005100A9" w:rsidRPr="005100A9">
        <w:t xml:space="preserve"> </w:t>
      </w:r>
      <w:r w:rsidR="00B55750" w:rsidRPr="005100A9">
        <w:t>fond</w:t>
      </w:r>
      <w:r w:rsidR="005100A9" w:rsidRPr="005100A9">
        <w:t xml:space="preserve"> </w:t>
      </w:r>
      <w:r w:rsidR="00B55750" w:rsidRPr="005100A9">
        <w:t>de</w:t>
      </w:r>
      <w:r w:rsidR="005100A9" w:rsidRPr="005100A9">
        <w:t xml:space="preserve"> </w:t>
      </w:r>
      <w:r w:rsidR="00B55750" w:rsidRPr="005100A9">
        <w:t>la</w:t>
      </w:r>
      <w:r w:rsidR="005100A9" w:rsidRPr="005100A9">
        <w:t xml:space="preserve"> </w:t>
      </w:r>
      <w:r w:rsidR="00B55750" w:rsidRPr="005100A9">
        <w:t>communication</w:t>
      </w:r>
    </w:p>
    <w:p w:rsidR="00B55750" w:rsidRPr="005100A9" w:rsidRDefault="00B55750" w:rsidP="00C726E7">
      <w:pPr>
        <w:pStyle w:val="SingleTxtG"/>
      </w:pPr>
      <w:r w:rsidRPr="005100A9">
        <w:t>6.</w:t>
      </w:r>
      <w:r w:rsidRPr="005100A9">
        <w:tab/>
        <w:t>Dans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lettres</w:t>
      </w:r>
      <w:r w:rsidR="005100A9" w:rsidRPr="005100A9">
        <w:t xml:space="preserve"> </w:t>
      </w:r>
      <w:r w:rsidRPr="005100A9">
        <w:t>datées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12</w:t>
      </w:r>
      <w:r w:rsidR="005B1346">
        <w:t> </w:t>
      </w:r>
      <w:r w:rsidRPr="005100A9">
        <w:t>mai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27</w:t>
      </w:r>
      <w:r w:rsidR="005B1346">
        <w:t> </w:t>
      </w:r>
      <w:r w:rsidRPr="005100A9">
        <w:t>novembre</w:t>
      </w:r>
      <w:r w:rsidR="005100A9" w:rsidRPr="005100A9">
        <w:t xml:space="preserve"> </w:t>
      </w:r>
      <w:r w:rsidRPr="005100A9">
        <w:t>2015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4</w:t>
      </w:r>
      <w:r w:rsidR="005B1346">
        <w:t> </w:t>
      </w:r>
      <w:r w:rsidRPr="005100A9">
        <w:t>mars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9</w:t>
      </w:r>
      <w:r w:rsidR="005B1346">
        <w:t> </w:t>
      </w:r>
      <w:r w:rsidRPr="005100A9">
        <w:t>mai</w:t>
      </w:r>
      <w:r w:rsidR="005100A9" w:rsidRPr="005100A9">
        <w:t xml:space="preserve"> </w:t>
      </w:r>
      <w:r w:rsidRPr="005100A9">
        <w:t>2016,</w:t>
      </w:r>
      <w:r w:rsidR="005100A9" w:rsidRPr="005100A9">
        <w:t xml:space="preserve"> </w:t>
      </w:r>
      <w:r w:rsidRPr="005100A9">
        <w:t>respectivement,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invité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soumettre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observations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fond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communication.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constate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regret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aucune</w:t>
      </w:r>
      <w:r w:rsidR="005100A9" w:rsidRPr="005100A9">
        <w:t xml:space="preserve"> </w:t>
      </w:r>
      <w:r w:rsidRPr="005100A9">
        <w:t>information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reçue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tanzaniennes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propos.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absence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réponse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doit</w:t>
      </w:r>
      <w:r w:rsidR="005100A9" w:rsidRPr="005100A9">
        <w:t xml:space="preserve"> </w:t>
      </w:r>
      <w:r w:rsidRPr="005100A9">
        <w:t>accorder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crédit</w:t>
      </w:r>
      <w:r w:rsidR="005100A9" w:rsidRPr="005100A9">
        <w:t xml:space="preserve"> </w:t>
      </w:r>
      <w:r w:rsidRPr="005100A9">
        <w:t>voulu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allégations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où</w:t>
      </w:r>
      <w:r w:rsidR="005100A9" w:rsidRPr="005100A9">
        <w:t xml:space="preserve"> </w:t>
      </w:r>
      <w:r w:rsidRPr="005100A9">
        <w:t>elles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étayées</w:t>
      </w:r>
      <w:r w:rsidRPr="005100A9">
        <w:rPr>
          <w:rStyle w:val="Appelnotedebasdep"/>
        </w:rPr>
        <w:footnoteReference w:id="25"/>
      </w:r>
      <w:r w:rsidRPr="005100A9">
        <w:t>.</w:t>
      </w:r>
    </w:p>
    <w:p w:rsidR="00B55750" w:rsidRPr="005100A9" w:rsidRDefault="00C726E7" w:rsidP="00C726E7">
      <w:pPr>
        <w:pStyle w:val="H1G"/>
      </w:pPr>
      <w:r>
        <w:tab/>
      </w:r>
      <w:r w:rsidR="00B55750" w:rsidRPr="005100A9">
        <w:t>B.</w:t>
      </w:r>
      <w:r w:rsidR="00B55750" w:rsidRPr="005100A9">
        <w:tab/>
        <w:t>Examen</w:t>
      </w:r>
      <w:r w:rsidR="005100A9" w:rsidRPr="005100A9">
        <w:t xml:space="preserve"> </w:t>
      </w:r>
      <w:r w:rsidR="00B55750" w:rsidRPr="005100A9">
        <w:t>de</w:t>
      </w:r>
      <w:r w:rsidR="005100A9" w:rsidRPr="005100A9">
        <w:t xml:space="preserve"> </w:t>
      </w:r>
      <w:r w:rsidR="00B55750" w:rsidRPr="005100A9">
        <w:t>la</w:t>
      </w:r>
      <w:r w:rsidR="005100A9" w:rsidRPr="005100A9">
        <w:t xml:space="preserve"> </w:t>
      </w:r>
      <w:r w:rsidR="00B55750" w:rsidRPr="005100A9">
        <w:t>recevabilité</w:t>
      </w:r>
      <w:r w:rsidR="005100A9" w:rsidRPr="005100A9">
        <w:t xml:space="preserve"> </w:t>
      </w:r>
      <w:r w:rsidR="00B55750" w:rsidRPr="005100A9">
        <w:t>et</w:t>
      </w:r>
      <w:r w:rsidR="005100A9" w:rsidRPr="005100A9">
        <w:t xml:space="preserve"> </w:t>
      </w:r>
      <w:r w:rsidR="00B55750" w:rsidRPr="005100A9">
        <w:t>examen</w:t>
      </w:r>
      <w:r w:rsidR="005100A9" w:rsidRPr="005100A9">
        <w:t xml:space="preserve"> </w:t>
      </w:r>
      <w:r w:rsidR="00B55750" w:rsidRPr="005100A9">
        <w:t>au</w:t>
      </w:r>
      <w:r w:rsidR="005100A9" w:rsidRPr="005100A9">
        <w:t xml:space="preserve"> </w:t>
      </w:r>
      <w:r w:rsidR="00B55750" w:rsidRPr="005100A9">
        <w:t>fond</w:t>
      </w:r>
    </w:p>
    <w:p w:rsidR="00B55750" w:rsidRPr="005100A9" w:rsidRDefault="00C726E7" w:rsidP="00C726E7">
      <w:pPr>
        <w:pStyle w:val="H4G"/>
      </w:pPr>
      <w:r>
        <w:tab/>
      </w:r>
      <w:r w:rsidR="00B55750" w:rsidRPr="005100A9">
        <w:tab/>
        <w:t>Examen</w:t>
      </w:r>
      <w:r w:rsidR="005100A9" w:rsidRPr="005100A9">
        <w:t xml:space="preserve"> </w:t>
      </w:r>
      <w:r w:rsidR="00B55750" w:rsidRPr="005100A9">
        <w:t>de</w:t>
      </w:r>
      <w:r w:rsidR="005100A9" w:rsidRPr="005100A9">
        <w:t xml:space="preserve"> </w:t>
      </w:r>
      <w:r w:rsidR="00B55750" w:rsidRPr="005100A9">
        <w:t>la</w:t>
      </w:r>
      <w:r w:rsidR="005100A9" w:rsidRPr="005100A9">
        <w:t xml:space="preserve"> </w:t>
      </w:r>
      <w:r w:rsidR="00B55750" w:rsidRPr="005100A9">
        <w:t>recevabilité</w:t>
      </w:r>
      <w:r w:rsidR="005100A9" w:rsidRPr="005100A9">
        <w:t xml:space="preserve"> </w:t>
      </w:r>
    </w:p>
    <w:p w:rsidR="00B55750" w:rsidRPr="005100A9" w:rsidRDefault="00B55750" w:rsidP="00E63416">
      <w:pPr>
        <w:pStyle w:val="SingleTxtG"/>
      </w:pPr>
      <w:r w:rsidRPr="005100A9">
        <w:t>7.1</w:t>
      </w:r>
      <w:r w:rsidRPr="005100A9">
        <w:tab/>
        <w:t>Avant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examiner</w:t>
      </w:r>
      <w:r w:rsidR="005100A9" w:rsidRPr="005100A9">
        <w:t xml:space="preserve"> </w:t>
      </w:r>
      <w:r w:rsidRPr="005100A9">
        <w:t>tout</w:t>
      </w:r>
      <w:r w:rsidR="005100A9" w:rsidRPr="005100A9">
        <w:t xml:space="preserve"> </w:t>
      </w:r>
      <w:r w:rsidRPr="005100A9">
        <w:t>grief</w:t>
      </w:r>
      <w:r w:rsidR="005100A9" w:rsidRPr="005100A9">
        <w:t xml:space="preserve"> </w:t>
      </w:r>
      <w:r w:rsidRPr="005100A9">
        <w:t>formulé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communication,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doit,</w:t>
      </w:r>
      <w:r w:rsidR="005100A9" w:rsidRPr="005100A9">
        <w:t xml:space="preserve"> </w:t>
      </w:r>
      <w:r w:rsidRPr="005100A9">
        <w:t>conformément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2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65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règlement</w:t>
      </w:r>
      <w:r w:rsidR="005100A9" w:rsidRPr="005100A9">
        <w:t xml:space="preserve"> </w:t>
      </w:r>
      <w:r w:rsidRPr="005100A9">
        <w:t>intérieur,</w:t>
      </w:r>
      <w:r w:rsidR="005100A9" w:rsidRPr="005100A9">
        <w:t xml:space="preserve"> </w:t>
      </w:r>
      <w:r w:rsidRPr="005100A9">
        <w:t>déterminer</w:t>
      </w:r>
      <w:r w:rsidR="005100A9" w:rsidRPr="005100A9">
        <w:t xml:space="preserve"> </w:t>
      </w:r>
      <w:r w:rsidRPr="005100A9">
        <w:t>si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recevable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facultatif.</w:t>
      </w:r>
    </w:p>
    <w:p w:rsidR="00B55750" w:rsidRPr="005100A9" w:rsidRDefault="00B55750" w:rsidP="00E63416">
      <w:pPr>
        <w:pStyle w:val="SingleTxtG"/>
      </w:pPr>
      <w:r w:rsidRPr="005100A9">
        <w:t>7.2</w:t>
      </w:r>
      <w:r w:rsidRPr="005100A9">
        <w:tab/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assuré,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tenu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conformément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dispositions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alinéa</w:t>
      </w:r>
      <w:r w:rsidR="005100A9" w:rsidRPr="005100A9">
        <w:t xml:space="preserve"> </w:t>
      </w:r>
      <w:r w:rsidRPr="005100A9">
        <w:t>c)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2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facultatif,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même</w:t>
      </w:r>
      <w:r w:rsidR="005100A9" w:rsidRPr="005100A9">
        <w:t xml:space="preserve"> </w:t>
      </w:r>
      <w:r w:rsidRPr="005100A9">
        <w:t>question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avait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déjà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examinée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elle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avait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déjà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examinée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était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cours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examen</w:t>
      </w:r>
      <w:r w:rsidR="005100A9" w:rsidRPr="005100A9">
        <w:t xml:space="preserve"> </w:t>
      </w:r>
      <w:r w:rsidRPr="005100A9">
        <w:t>devant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autre</w:t>
      </w:r>
      <w:r w:rsidR="005100A9" w:rsidRPr="005100A9">
        <w:t xml:space="preserve"> </w:t>
      </w:r>
      <w:r w:rsidRPr="005100A9">
        <w:t>instance</w:t>
      </w:r>
      <w:r w:rsidR="005100A9" w:rsidRPr="005100A9">
        <w:t xml:space="preserve"> </w:t>
      </w:r>
      <w:r w:rsidRPr="005100A9">
        <w:t>internationale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règlement.</w:t>
      </w:r>
    </w:p>
    <w:p w:rsidR="00B55750" w:rsidRPr="005100A9" w:rsidRDefault="00B55750" w:rsidP="00E63416">
      <w:pPr>
        <w:pStyle w:val="SingleTxtG"/>
      </w:pPr>
      <w:r w:rsidRPr="005100A9">
        <w:t>7.3</w:t>
      </w:r>
      <w:r w:rsidRPr="005100A9">
        <w:tab/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prend</w:t>
      </w:r>
      <w:r w:rsidR="005100A9" w:rsidRPr="005100A9">
        <w:t xml:space="preserve"> </w:t>
      </w:r>
      <w:r w:rsidRPr="005100A9">
        <w:t>note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argument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estime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devrait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déclarée</w:t>
      </w:r>
      <w:r w:rsidR="005100A9" w:rsidRPr="005100A9">
        <w:t xml:space="preserve"> </w:t>
      </w:r>
      <w:r w:rsidRPr="005100A9">
        <w:t>irrecevable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alinéa</w:t>
      </w:r>
      <w:r w:rsidR="005100A9" w:rsidRPr="005100A9">
        <w:t xml:space="preserve"> </w:t>
      </w:r>
      <w:r w:rsidRPr="005100A9">
        <w:t>d)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2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non-épuisement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valoir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particulier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prévalu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devoirs</w:t>
      </w:r>
      <w:r w:rsidR="005100A9" w:rsidRPr="005100A9">
        <w:t xml:space="preserve"> </w:t>
      </w:r>
      <w:r w:rsidRPr="005100A9">
        <w:t>fondamentaux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porter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affaire</w:t>
      </w:r>
      <w:r w:rsidR="005100A9" w:rsidRPr="005100A9">
        <w:t xml:space="preserve"> </w:t>
      </w:r>
      <w:r w:rsidRPr="005100A9">
        <w:t>devant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tribunaux</w:t>
      </w:r>
      <w:r w:rsidR="005100A9" w:rsidRPr="005100A9">
        <w:t xml:space="preserve"> </w:t>
      </w:r>
      <w:r w:rsidRPr="005100A9">
        <w:t>nationaux.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également</w:t>
      </w:r>
      <w:r w:rsidR="005100A9" w:rsidRPr="005100A9">
        <w:t xml:space="preserve"> </w:t>
      </w:r>
      <w:r w:rsidRPr="005100A9">
        <w:t>valoir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constitué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civile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réclamer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dommages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intérêts.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propos,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prend</w:t>
      </w:r>
      <w:r w:rsidR="005100A9" w:rsidRPr="005100A9">
        <w:t xml:space="preserve"> </w:t>
      </w:r>
      <w:r w:rsidRPr="005100A9">
        <w:t>note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objection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soutient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possibilité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intenter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action</w:t>
      </w:r>
      <w:r w:rsidR="005100A9" w:rsidRPr="005100A9">
        <w:t xml:space="preserve"> </w:t>
      </w:r>
      <w:r w:rsidRPr="005100A9">
        <w:t>civile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engager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citation</w:t>
      </w:r>
      <w:r w:rsidR="005100A9" w:rsidRPr="005100A9">
        <w:t xml:space="preserve"> </w:t>
      </w:r>
      <w:r w:rsidRPr="005100A9">
        <w:t>directe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constituent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utiles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espèce.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relève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outre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déposé</w:t>
      </w:r>
      <w:r w:rsidR="005100A9" w:rsidRPr="005100A9">
        <w:t xml:space="preserve"> </w:t>
      </w:r>
      <w:r w:rsidRPr="005100A9">
        <w:t>plainte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police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jour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agression,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10</w:t>
      </w:r>
      <w:r w:rsidR="005B1346">
        <w:t> </w:t>
      </w:r>
      <w:r w:rsidRPr="005100A9">
        <w:t>avril</w:t>
      </w:r>
      <w:r w:rsidR="005100A9" w:rsidRPr="005100A9">
        <w:t xml:space="preserve"> </w:t>
      </w:r>
      <w:r w:rsidRPr="005100A9">
        <w:t>2010,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poursuites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abandonnées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98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pénale</w:t>
      </w:r>
      <w:r w:rsidR="005100A9" w:rsidRPr="005100A9">
        <w:t xml:space="preserve"> </w:t>
      </w:r>
      <w:r w:rsidRPr="005100A9">
        <w:t>après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savoir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accusé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était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ses</w:t>
      </w:r>
      <w:r w:rsidR="005100A9" w:rsidRPr="005100A9">
        <w:t xml:space="preserve"> </w:t>
      </w:r>
      <w:r w:rsidRPr="005100A9">
        <w:t>agresseurs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depuis,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jamais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informé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adoption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éventuelles</w:t>
      </w:r>
      <w:r w:rsidR="005100A9" w:rsidRPr="005100A9">
        <w:t xml:space="preserve"> </w:t>
      </w:r>
      <w:r w:rsidRPr="005100A9">
        <w:t>nouvelles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visant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lumière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affaire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traduire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justice.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rappelle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conformément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pénale</w:t>
      </w:r>
      <w:r w:rsidR="005100A9" w:rsidRPr="005100A9">
        <w:t xml:space="preserve"> </w:t>
      </w:r>
      <w:r w:rsidRPr="005100A9">
        <w:t>tanzanienne,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magistrat</w:t>
      </w:r>
      <w:r w:rsidR="005100A9" w:rsidRPr="005100A9">
        <w:t xml:space="preserve"> </w:t>
      </w:r>
      <w:r w:rsidRPr="005100A9">
        <w:t>chargé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instruire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juger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affaire</w:t>
      </w:r>
      <w:r w:rsidR="005100A9" w:rsidRPr="005100A9">
        <w:t xml:space="preserve"> </w:t>
      </w:r>
      <w:r w:rsidRPr="005100A9">
        <w:t>peut</w:t>
      </w:r>
      <w:r w:rsidR="005100A9" w:rsidRPr="005100A9">
        <w:t xml:space="preserve"> </w:t>
      </w:r>
      <w:r w:rsidRPr="005100A9">
        <w:t>autoriser</w:t>
      </w:r>
      <w:r w:rsidR="005100A9" w:rsidRPr="005100A9">
        <w:t xml:space="preserve"> </w:t>
      </w:r>
      <w:r w:rsidRPr="005100A9">
        <w:t>toute</w:t>
      </w:r>
      <w:r w:rsidR="005100A9" w:rsidRPr="005100A9">
        <w:t xml:space="preserve"> </w:t>
      </w:r>
      <w:r w:rsidRPr="005100A9">
        <w:lastRenderedPageBreak/>
        <w:t>personne,</w:t>
      </w:r>
      <w:r w:rsidR="005100A9" w:rsidRPr="005100A9">
        <w:t xml:space="preserve"> </w:t>
      </w:r>
      <w:r w:rsidRPr="005100A9">
        <w:t>y</w:t>
      </w:r>
      <w:r w:rsidR="005100A9" w:rsidRPr="005100A9">
        <w:t xml:space="preserve"> </w:t>
      </w:r>
      <w:r w:rsidRPr="005100A9">
        <w:t>compris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victime,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intenter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poursuites</w:t>
      </w:r>
      <w:r w:rsidRPr="005100A9">
        <w:rPr>
          <w:rStyle w:val="Appelnotedebasdep"/>
        </w:rPr>
        <w:footnoteReference w:id="26"/>
      </w:r>
      <w:r w:rsidRPr="005100A9">
        <w:t>.</w:t>
      </w:r>
      <w:r w:rsidR="005100A9" w:rsidRPr="005100A9">
        <w:t xml:space="preserve"> </w:t>
      </w:r>
      <w:r w:rsidRPr="005100A9">
        <w:t>Cependant,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affaires</w:t>
      </w:r>
      <w:r w:rsidR="005100A9" w:rsidRPr="005100A9">
        <w:t xml:space="preserve"> </w:t>
      </w:r>
      <w:r w:rsidRPr="005100A9">
        <w:t>portant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violations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gravité</w:t>
      </w:r>
      <w:r w:rsidR="005100A9" w:rsidRPr="005100A9">
        <w:t xml:space="preserve"> </w:t>
      </w:r>
      <w:r w:rsidRPr="005100A9">
        <w:t>aussi</w:t>
      </w:r>
      <w:r w:rsidR="005100A9" w:rsidRPr="005100A9">
        <w:t xml:space="preserve"> </w:t>
      </w:r>
      <w:r w:rsidRPr="005100A9">
        <w:t>considérable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celles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victime,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responsabilité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déclencher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poursuites</w:t>
      </w:r>
      <w:r w:rsidR="005100A9" w:rsidRPr="005100A9">
        <w:t xml:space="preserve"> </w:t>
      </w:r>
      <w:r w:rsidRPr="005100A9">
        <w:t>incombe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premier</w:t>
      </w:r>
      <w:r w:rsidR="005100A9" w:rsidRPr="005100A9">
        <w:t xml:space="preserve"> </w:t>
      </w:r>
      <w:r w:rsidRPr="005100A9">
        <w:t>chef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Pr="005100A9">
        <w:rPr>
          <w:rStyle w:val="Appelnotedebasdep"/>
        </w:rPr>
        <w:footnoteReference w:id="27"/>
      </w:r>
      <w:r w:rsidRPr="005100A9">
        <w:t>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obligation</w:t>
      </w:r>
      <w:r w:rsidR="005100A9" w:rsidRPr="005100A9">
        <w:t xml:space="preserve"> </w:t>
      </w:r>
      <w:r w:rsidRPr="005100A9">
        <w:t>non</w:t>
      </w:r>
      <w:r w:rsidR="005100A9" w:rsidRPr="005100A9">
        <w:t xml:space="preserve"> </w:t>
      </w:r>
      <w:r w:rsidRPr="005100A9">
        <w:t>transférable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ouvrir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enquête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poursuivre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punir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Pr="005100A9">
        <w:rPr>
          <w:rStyle w:val="Appelnotedebasdep"/>
        </w:rPr>
        <w:footnoteReference w:id="28"/>
      </w:r>
      <w:r w:rsidRPr="005100A9">
        <w:t>.</w:t>
      </w:r>
    </w:p>
    <w:p w:rsidR="00B55750" w:rsidRPr="005100A9" w:rsidRDefault="00B55750" w:rsidP="00E63416">
      <w:pPr>
        <w:pStyle w:val="SingleTxtG"/>
      </w:pPr>
      <w:r w:rsidRPr="005100A9">
        <w:t>7.4</w:t>
      </w:r>
      <w:r w:rsidRPr="005100A9">
        <w:tab/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relève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20</w:t>
      </w:r>
      <w:r w:rsidR="002363C4">
        <w:t> </w:t>
      </w:r>
      <w:r w:rsidRPr="005100A9">
        <w:t>mars</w:t>
      </w:r>
      <w:r w:rsidR="005100A9" w:rsidRPr="005100A9">
        <w:t xml:space="preserve"> </w:t>
      </w:r>
      <w:r w:rsidRPr="005100A9">
        <w:t>2009,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autres</w:t>
      </w:r>
      <w:r w:rsidR="005100A9" w:rsidRPr="005100A9">
        <w:t xml:space="preserve"> </w:t>
      </w:r>
      <w:r w:rsidRPr="005100A9">
        <w:t>victimes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analogues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saisi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constitutionnelle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République-Unie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Tanzanie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titre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devoirs</w:t>
      </w:r>
      <w:r w:rsidR="005100A9" w:rsidRPr="005100A9">
        <w:t xml:space="preserve"> </w:t>
      </w:r>
      <w:r w:rsidRPr="005100A9">
        <w:t>fondamentaux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au</w:t>
      </w:r>
      <w:r w:rsidR="005100A9" w:rsidRPr="005100A9">
        <w:t xml:space="preserve"> </w:t>
      </w:r>
      <w:r w:rsidRPr="005100A9">
        <w:t>moment</w:t>
      </w:r>
      <w:r w:rsidR="005100A9" w:rsidRPr="005100A9">
        <w:t xml:space="preserve"> </w:t>
      </w:r>
      <w:r w:rsidRPr="005100A9">
        <w:t>où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présente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était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examen,</w:t>
      </w:r>
      <w:r w:rsidR="005100A9" w:rsidRPr="005100A9">
        <w:t xml:space="preserve"> </w:t>
      </w:r>
      <w:r w:rsidRPr="005100A9">
        <w:t>soit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huit</w:t>
      </w:r>
      <w:r w:rsidR="005100A9" w:rsidRPr="005100A9">
        <w:t xml:space="preserve"> </w:t>
      </w:r>
      <w:r w:rsidRPr="005100A9">
        <w:t>ans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tard,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affaire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avait</w:t>
      </w:r>
      <w:r w:rsidR="005100A9" w:rsidRPr="005100A9">
        <w:t xml:space="preserve"> </w:t>
      </w:r>
      <w:r w:rsidRPr="005100A9">
        <w:t>toujours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jugée.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relève</w:t>
      </w:r>
      <w:r w:rsidR="005100A9" w:rsidRPr="005100A9">
        <w:t xml:space="preserve"> </w:t>
      </w:r>
      <w:r w:rsidRPr="005100A9">
        <w:t>également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longue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engagée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devant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judiciaires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toujours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abouti.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propos,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prend</w:t>
      </w:r>
      <w:r w:rsidR="005100A9" w:rsidRPr="005100A9">
        <w:t xml:space="preserve"> </w:t>
      </w:r>
      <w:r w:rsidRPr="005100A9">
        <w:t>acte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difficulté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représente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constitution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collège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trois</w:t>
      </w:r>
      <w:r w:rsidR="005100A9" w:rsidRPr="005100A9">
        <w:t xml:space="preserve"> </w:t>
      </w:r>
      <w:r w:rsidRPr="005100A9">
        <w:t>juges</w:t>
      </w:r>
      <w:r w:rsidR="005100A9" w:rsidRPr="005100A9">
        <w:t xml:space="preserve"> </w:t>
      </w:r>
      <w:r w:rsidRPr="005100A9">
        <w:t>chargé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statuer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fond,</w:t>
      </w:r>
      <w:r w:rsidR="005100A9" w:rsidRPr="005100A9">
        <w:t xml:space="preserve"> </w:t>
      </w:r>
      <w:r w:rsidRPr="005100A9">
        <w:t>chaque</w:t>
      </w:r>
      <w:r w:rsidR="005100A9" w:rsidRPr="005100A9">
        <w:t xml:space="preserve"> </w:t>
      </w:r>
      <w:r w:rsidRPr="005100A9">
        <w:t>fois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requête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soumise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titre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devoirs</w:t>
      </w:r>
      <w:r w:rsidR="005100A9" w:rsidRPr="005100A9">
        <w:t xml:space="preserve"> </w:t>
      </w:r>
      <w:r w:rsidRPr="005100A9">
        <w:t>fondamentaux.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circonstances,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estime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était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raisonnable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attendre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engage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nouvelle</w:t>
      </w:r>
      <w:r w:rsidR="005100A9" w:rsidRPr="005100A9">
        <w:t xml:space="preserve"> </w:t>
      </w:r>
      <w:r w:rsidRPr="005100A9">
        <w:t>procédure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durée</w:t>
      </w:r>
      <w:r w:rsidR="005100A9" w:rsidRPr="005100A9">
        <w:t xml:space="preserve"> </w:t>
      </w:r>
      <w:r w:rsidRPr="005100A9">
        <w:t>serait</w:t>
      </w:r>
      <w:r w:rsidR="005100A9" w:rsidRPr="005100A9">
        <w:t xml:space="preserve"> </w:t>
      </w:r>
      <w:r w:rsidRPr="005100A9">
        <w:t>imprévisible,</w:t>
      </w:r>
      <w:r w:rsidR="005100A9" w:rsidRPr="005100A9">
        <w:t xml:space="preserve"> </w:t>
      </w:r>
      <w:r w:rsidRPr="005100A9">
        <w:t>notamment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introduise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action</w:t>
      </w:r>
      <w:r w:rsidR="005100A9" w:rsidRPr="005100A9">
        <w:t xml:space="preserve"> </w:t>
      </w:r>
      <w:r w:rsidRPr="005100A9">
        <w:t>civile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soumette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requête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Haute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titre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relative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devoirs</w:t>
      </w:r>
      <w:r w:rsidR="005100A9" w:rsidRPr="005100A9">
        <w:t xml:space="preserve"> </w:t>
      </w:r>
      <w:r w:rsidRPr="005100A9">
        <w:t>fondamentaux.</w:t>
      </w:r>
      <w:r w:rsidR="005100A9" w:rsidRPr="005100A9">
        <w:t xml:space="preserve"> </w:t>
      </w:r>
    </w:p>
    <w:p w:rsidR="00B55750" w:rsidRPr="005100A9" w:rsidRDefault="00B55750" w:rsidP="00E63416">
      <w:pPr>
        <w:pStyle w:val="SingleTxtG"/>
      </w:pPr>
      <w:r w:rsidRPr="005100A9">
        <w:t>7.5</w:t>
      </w:r>
      <w:r w:rsidRPr="005100A9">
        <w:tab/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circonstances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espèce,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action</w:t>
      </w:r>
      <w:r w:rsidR="005100A9" w:rsidRPr="005100A9">
        <w:t xml:space="preserve"> </w:t>
      </w:r>
      <w:r w:rsidRPr="005100A9">
        <w:t>civile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indemnisation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constitueraient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soi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utile.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vu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précède,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conclut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internes</w:t>
      </w:r>
      <w:r w:rsidR="005100A9" w:rsidRPr="005100A9">
        <w:t xml:space="preserve"> </w:t>
      </w:r>
      <w:r w:rsidRPr="005100A9">
        <w:t>cités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auraient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utiles.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conséquence,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est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empêché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dispositions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alinéa</w:t>
      </w:r>
      <w:r w:rsidR="005100A9" w:rsidRPr="005100A9">
        <w:t xml:space="preserve"> </w:t>
      </w:r>
      <w:r w:rsidRPr="005100A9">
        <w:t>d)</w:t>
      </w:r>
      <w:r w:rsidR="005100A9" w:rsidRPr="005100A9">
        <w:t xml:space="preserve"> </w:t>
      </w:r>
      <w:r w:rsidRPr="005100A9">
        <w:t>paragraphe</w:t>
      </w:r>
      <w:r w:rsidR="005100A9" w:rsidRPr="005100A9">
        <w:t xml:space="preserve"> </w:t>
      </w:r>
      <w:r w:rsidRPr="005100A9">
        <w:t>2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examiner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présente</w:t>
      </w:r>
      <w:r w:rsidR="005100A9" w:rsidRPr="005100A9">
        <w:t xml:space="preserve"> </w:t>
      </w:r>
      <w:r w:rsidRPr="005100A9">
        <w:t>communication.</w:t>
      </w:r>
    </w:p>
    <w:p w:rsidR="00B55750" w:rsidRPr="005100A9" w:rsidRDefault="00B55750" w:rsidP="00E63416">
      <w:pPr>
        <w:pStyle w:val="SingleTxtG"/>
      </w:pPr>
      <w:r w:rsidRPr="005100A9">
        <w:t>7.6</w:t>
      </w:r>
      <w:r w:rsidRPr="005100A9">
        <w:tab/>
        <w:t>Par</w:t>
      </w:r>
      <w:r w:rsidR="005100A9" w:rsidRPr="005100A9">
        <w:t xml:space="preserve"> </w:t>
      </w:r>
      <w:r w:rsidRPr="005100A9">
        <w:t>ailleurs,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rappelle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premier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Convention,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handicapées,</w:t>
      </w:r>
      <w:r w:rsidR="005100A9" w:rsidRPr="005100A9">
        <w:t xml:space="preserve"> </w:t>
      </w:r>
      <w:r w:rsidRPr="005100A9">
        <w:t>on</w:t>
      </w:r>
      <w:r w:rsidR="005100A9" w:rsidRPr="005100A9">
        <w:t xml:space="preserve"> </w:t>
      </w:r>
      <w:r w:rsidRPr="005100A9">
        <w:t>entend</w:t>
      </w:r>
      <w:r w:rsidR="005100A9" w:rsidRPr="005100A9">
        <w:t xml:space="preserve"> </w:t>
      </w:r>
      <w:r w:rsidRPr="005100A9">
        <w:t>notamment,</w:t>
      </w:r>
      <w:r w:rsidR="005100A9" w:rsidRPr="005100A9">
        <w:t xml:space="preserve"> </w:t>
      </w:r>
      <w:r w:rsidRPr="005100A9">
        <w:t>mais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seulement,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présentent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incapacités</w:t>
      </w:r>
      <w:r w:rsidR="005100A9" w:rsidRPr="005100A9">
        <w:t xml:space="preserve"> </w:t>
      </w:r>
      <w:r w:rsidRPr="005100A9">
        <w:t>physiques,</w:t>
      </w:r>
      <w:r w:rsidR="005100A9" w:rsidRPr="005100A9">
        <w:t xml:space="preserve"> </w:t>
      </w:r>
      <w:r w:rsidRPr="005100A9">
        <w:t>mentales,</w:t>
      </w:r>
      <w:r w:rsidR="005100A9" w:rsidRPr="005100A9">
        <w:t xml:space="preserve"> </w:t>
      </w:r>
      <w:r w:rsidRPr="005100A9">
        <w:t>intellectuelles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sensorielles</w:t>
      </w:r>
      <w:r w:rsidR="005100A9" w:rsidRPr="005100A9">
        <w:t xml:space="preserve"> </w:t>
      </w:r>
      <w:r w:rsidRPr="005100A9">
        <w:t>durables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interaction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diverses</w:t>
      </w:r>
      <w:r w:rsidR="005100A9" w:rsidRPr="005100A9">
        <w:t xml:space="preserve"> </w:t>
      </w:r>
      <w:r w:rsidRPr="005100A9">
        <w:t>barrières</w:t>
      </w:r>
      <w:r w:rsidR="005100A9" w:rsidRPr="005100A9">
        <w:t xml:space="preserve"> </w:t>
      </w:r>
      <w:r w:rsidRPr="005100A9">
        <w:t>peut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obstacle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pleine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effective</w:t>
      </w:r>
      <w:r w:rsidR="005100A9" w:rsidRPr="005100A9">
        <w:t xml:space="preserve"> </w:t>
      </w:r>
      <w:r w:rsidRPr="005100A9">
        <w:t>participation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société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base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égalité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autres.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renvoie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outre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définition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donnée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Expert</w:t>
      </w:r>
      <w:r w:rsidR="005100A9" w:rsidRPr="005100A9">
        <w:t xml:space="preserve"> </w:t>
      </w:r>
      <w:r w:rsidRPr="005100A9">
        <w:t>indépendant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albinisme,</w:t>
      </w:r>
      <w:r w:rsidR="005100A9" w:rsidRPr="005100A9">
        <w:t xml:space="preserve"> </w:t>
      </w:r>
      <w:r w:rsidRPr="005100A9">
        <w:t>selon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maladie</w:t>
      </w:r>
      <w:r w:rsidR="005100A9" w:rsidRPr="005100A9">
        <w:t xml:space="preserve"> </w:t>
      </w:r>
      <w:r w:rsidRPr="005100A9">
        <w:t>génétique</w:t>
      </w:r>
      <w:r w:rsidR="005100A9" w:rsidRPr="005100A9">
        <w:t xml:space="preserve"> </w:t>
      </w:r>
      <w:r w:rsidRPr="005100A9">
        <w:t>relativement</w:t>
      </w:r>
      <w:r w:rsidR="005100A9" w:rsidRPr="005100A9">
        <w:t xml:space="preserve"> </w:t>
      </w:r>
      <w:r w:rsidRPr="005100A9">
        <w:t>rare,</w:t>
      </w:r>
      <w:r w:rsidR="005100A9" w:rsidRPr="005100A9">
        <w:t xml:space="preserve"> </w:t>
      </w:r>
      <w:r w:rsidRPr="005100A9">
        <w:t>non</w:t>
      </w:r>
      <w:r w:rsidR="005100A9" w:rsidRPr="005100A9">
        <w:t xml:space="preserve"> </w:t>
      </w:r>
      <w:r w:rsidRPr="005100A9">
        <w:t>contagieuse,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touche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monde</w:t>
      </w:r>
      <w:r w:rsidR="005100A9" w:rsidRPr="005100A9">
        <w:t xml:space="preserve"> </w:t>
      </w:r>
      <w:r w:rsidRPr="005100A9">
        <w:t>entier,</w:t>
      </w:r>
      <w:r w:rsidR="005100A9" w:rsidRPr="005100A9">
        <w:t xml:space="preserve"> </w:t>
      </w:r>
      <w:r w:rsidRPr="005100A9">
        <w:t>indépendamment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appartenance</w:t>
      </w:r>
      <w:r w:rsidR="005100A9" w:rsidRPr="005100A9">
        <w:t xml:space="preserve"> </w:t>
      </w:r>
      <w:r w:rsidRPr="005100A9">
        <w:t>ethnique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sexe,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résulte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important</w:t>
      </w:r>
      <w:r w:rsidR="005100A9" w:rsidRPr="005100A9">
        <w:t xml:space="preserve"> </w:t>
      </w:r>
      <w:r w:rsidRPr="005100A9">
        <w:t>déficit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production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mélanine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caractérise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absence</w:t>
      </w:r>
      <w:r w:rsidR="005100A9" w:rsidRPr="005100A9">
        <w:t xml:space="preserve"> </w:t>
      </w:r>
      <w:r w:rsidRPr="005100A9">
        <w:t>partielle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totale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pigments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peau,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cheveux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yeux.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type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courant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visible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oculo-cutané,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touche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peau,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cheveux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yeux.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absence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mélanine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yeux</w:t>
      </w:r>
      <w:r w:rsidR="005100A9" w:rsidRPr="005100A9">
        <w:t xml:space="preserve"> </w:t>
      </w:r>
      <w:r w:rsidRPr="005100A9">
        <w:t>rend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personne</w:t>
      </w:r>
      <w:r w:rsidR="005100A9" w:rsidRPr="005100A9">
        <w:t xml:space="preserve"> </w:t>
      </w:r>
      <w:r w:rsidRPr="005100A9">
        <w:t>très</w:t>
      </w:r>
      <w:r w:rsidR="005100A9" w:rsidRPr="005100A9">
        <w:t xml:space="preserve"> </w:t>
      </w:r>
      <w:r w:rsidRPr="005100A9">
        <w:t>sensible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lumière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entraîne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importants</w:t>
      </w:r>
      <w:r w:rsidR="005100A9" w:rsidRPr="005100A9">
        <w:t xml:space="preserve"> </w:t>
      </w:r>
      <w:r w:rsidRPr="005100A9">
        <w:t>problèmes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vue,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gravité</w:t>
      </w:r>
      <w:r w:rsidR="005100A9" w:rsidRPr="005100A9">
        <w:t xml:space="preserve"> </w:t>
      </w:r>
      <w:r w:rsidRPr="005100A9">
        <w:t>varie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individu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autre.</w:t>
      </w:r>
      <w:r w:rsidR="005100A9" w:rsidRPr="005100A9">
        <w:t xml:space="preserve"> </w:t>
      </w:r>
      <w:r w:rsidRPr="005100A9">
        <w:t>Souvent,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problèmes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vue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peuvent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complètement</w:t>
      </w:r>
      <w:r w:rsidR="005100A9" w:rsidRPr="005100A9">
        <w:t xml:space="preserve"> </w:t>
      </w:r>
      <w:r w:rsidRPr="005100A9">
        <w:t>corrigés.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surcroît,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problèmes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santé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graves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connaissent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vulnérabilité</w:t>
      </w:r>
      <w:r w:rsidR="005100A9" w:rsidRPr="005100A9">
        <w:t xml:space="preserve"> </w:t>
      </w:r>
      <w:r w:rsidRPr="005100A9">
        <w:t>face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cancer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peau,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reste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elles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maladie</w:t>
      </w:r>
      <w:r w:rsidR="005100A9" w:rsidRPr="005100A9">
        <w:t xml:space="preserve"> </w:t>
      </w:r>
      <w:r w:rsidRPr="005100A9">
        <w:t>mortelle</w:t>
      </w:r>
      <w:r w:rsidRPr="005100A9">
        <w:rPr>
          <w:rStyle w:val="Appelnotedebasdep"/>
        </w:rPr>
        <w:footnoteReference w:id="29"/>
      </w:r>
      <w:r w:rsidRPr="005100A9">
        <w:t>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souligne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approche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handicap</w:t>
      </w:r>
      <w:r w:rsidR="005100A9" w:rsidRPr="005100A9">
        <w:t xml:space="preserve"> </w:t>
      </w:r>
      <w:r w:rsidRPr="005100A9">
        <w:t>fondée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exige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prendre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considération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diversité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handicapées</w:t>
      </w:r>
      <w:r w:rsidR="005100A9" w:rsidRPr="005100A9">
        <w:t xml:space="preserve"> </w:t>
      </w:r>
      <w:r w:rsidR="002363C4">
        <w:t>(al. </w:t>
      </w:r>
      <w:r w:rsidRPr="005100A9">
        <w:t>i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préambule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Convention)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reconnaître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interaction</w:t>
      </w:r>
      <w:r w:rsidR="005100A9" w:rsidRPr="005100A9">
        <w:t xml:space="preserve"> </w:t>
      </w:r>
      <w:r w:rsidRPr="005100A9">
        <w:t>entre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présentant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déficiences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barrières</w:t>
      </w:r>
      <w:r w:rsidR="005100A9" w:rsidRPr="005100A9">
        <w:t xml:space="preserve"> </w:t>
      </w:r>
      <w:r w:rsidRPr="005100A9">
        <w:t>liées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attitudes</w:t>
      </w:r>
      <w:r w:rsidR="005100A9" w:rsidRPr="005100A9">
        <w:t xml:space="preserve"> </w:t>
      </w:r>
      <w:r w:rsidRPr="005100A9">
        <w:lastRenderedPageBreak/>
        <w:t>et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environnement</w:t>
      </w:r>
      <w:r w:rsidR="005100A9" w:rsidRPr="005100A9">
        <w:t xml:space="preserve"> </w:t>
      </w:r>
      <w:r w:rsidRPr="005100A9">
        <w:t>(al</w:t>
      </w:r>
      <w:r w:rsidR="00B842C6">
        <w:t>. </w:t>
      </w:r>
      <w:r w:rsidRPr="005100A9">
        <w:t>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préambule)</w:t>
      </w:r>
      <w:r w:rsidRPr="005100A9">
        <w:rPr>
          <w:rStyle w:val="Appelnotedebasdep"/>
        </w:rPr>
        <w:footnoteReference w:id="30"/>
      </w:r>
      <w:r w:rsidRPr="005100A9">
        <w:t>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conséquence,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compte</w:t>
      </w:r>
      <w:r w:rsidR="005100A9" w:rsidRPr="005100A9">
        <w:t xml:space="preserve"> </w:t>
      </w:r>
      <w:r w:rsidRPr="005100A9">
        <w:t>tenu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remet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question</w:t>
      </w:r>
      <w:r w:rsidR="005100A9" w:rsidRPr="005100A9">
        <w:t xml:space="preserve"> </w:t>
      </w:r>
      <w:r w:rsidRPr="005100A9">
        <w:t>sa</w:t>
      </w:r>
      <w:r w:rsidR="005100A9" w:rsidRPr="005100A9">
        <w:t xml:space="preserve"> </w:t>
      </w:r>
      <w:r w:rsidRPr="005100A9">
        <w:t>compétence</w:t>
      </w:r>
      <w:r w:rsidR="005100A9" w:rsidRPr="005100A9">
        <w:t xml:space="preserve"> </w:t>
      </w:r>
      <w:r w:rsidRPr="005100A9">
        <w:rPr>
          <w:i/>
          <w:iCs/>
        </w:rPr>
        <w:t>ratione</w:t>
      </w:r>
      <w:r w:rsidR="005100A9" w:rsidRPr="005100A9">
        <w:rPr>
          <w:i/>
          <w:iCs/>
        </w:rPr>
        <w:t xml:space="preserve"> </w:t>
      </w:r>
      <w:r w:rsidRPr="005100A9">
        <w:rPr>
          <w:i/>
          <w:iCs/>
        </w:rPr>
        <w:t>materiae</w:t>
      </w:r>
      <w:r w:rsidR="005100A9" w:rsidRPr="005100A9">
        <w:rPr>
          <w:i/>
          <w:iCs/>
        </w:rPr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examiner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plainte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tient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préciser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entre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champ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définition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handicap</w:t>
      </w:r>
      <w:r w:rsidR="005100A9" w:rsidRPr="005100A9">
        <w:t xml:space="preserve"> </w:t>
      </w:r>
      <w:r w:rsidRPr="005100A9">
        <w:t>telle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elle</w:t>
      </w:r>
      <w:r w:rsidR="005100A9" w:rsidRPr="005100A9">
        <w:t xml:space="preserve"> </w:t>
      </w:r>
      <w:r w:rsidRPr="005100A9">
        <w:t>figure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premier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Convention.</w:t>
      </w:r>
    </w:p>
    <w:p w:rsidR="00B55750" w:rsidRPr="005100A9" w:rsidRDefault="00B55750" w:rsidP="00E63416">
      <w:pPr>
        <w:pStyle w:val="SingleTxtG"/>
      </w:pPr>
      <w:r w:rsidRPr="005100A9">
        <w:t>7.7</w:t>
      </w:r>
      <w:r w:rsidRPr="005100A9">
        <w:tab/>
        <w:t>Constatant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y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autre</w:t>
      </w:r>
      <w:r w:rsidR="005100A9" w:rsidRPr="005100A9">
        <w:t xml:space="preserve"> </w:t>
      </w:r>
      <w:r w:rsidRPr="005100A9">
        <w:t>obstacle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recevabilité,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recevable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procède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examen</w:t>
      </w:r>
      <w:r w:rsidR="005100A9" w:rsidRPr="005100A9">
        <w:t xml:space="preserve"> </w:t>
      </w:r>
      <w:r w:rsidRPr="005100A9">
        <w:t>quant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fond.</w:t>
      </w:r>
      <w:r w:rsidR="005100A9" w:rsidRPr="005100A9">
        <w:t xml:space="preserve"> </w:t>
      </w:r>
    </w:p>
    <w:p w:rsidR="00B55750" w:rsidRPr="005100A9" w:rsidRDefault="00E63416" w:rsidP="00E63416">
      <w:pPr>
        <w:pStyle w:val="H4G"/>
      </w:pPr>
      <w:r>
        <w:tab/>
      </w:r>
      <w:r w:rsidR="00B55750" w:rsidRPr="005100A9">
        <w:tab/>
        <w:t>Examen</w:t>
      </w:r>
      <w:r w:rsidR="005100A9" w:rsidRPr="005100A9">
        <w:t xml:space="preserve"> </w:t>
      </w:r>
      <w:r w:rsidR="00B55750" w:rsidRPr="005100A9">
        <w:t>au</w:t>
      </w:r>
      <w:r w:rsidR="005100A9" w:rsidRPr="005100A9">
        <w:t xml:space="preserve"> </w:t>
      </w:r>
      <w:r w:rsidR="00B55750" w:rsidRPr="005100A9">
        <w:t>fond</w:t>
      </w:r>
    </w:p>
    <w:p w:rsidR="00B55750" w:rsidRPr="005100A9" w:rsidRDefault="00B55750" w:rsidP="00E63416">
      <w:pPr>
        <w:pStyle w:val="SingleTxtG"/>
      </w:pPr>
      <w:r w:rsidRPr="005100A9">
        <w:t>8.1</w:t>
      </w:r>
      <w:r w:rsidRPr="005100A9">
        <w:tab/>
        <w:t>Conformément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5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paragraphe</w:t>
      </w:r>
      <w:r w:rsidR="005100A9" w:rsidRPr="005100A9">
        <w:t xml:space="preserve"> </w:t>
      </w:r>
      <w:r w:rsidRPr="005100A9">
        <w:t>1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73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règlement</w:t>
      </w:r>
      <w:r w:rsidR="005100A9" w:rsidRPr="005100A9">
        <w:t xml:space="preserve"> </w:t>
      </w:r>
      <w:r w:rsidRPr="005100A9">
        <w:t>intérieur,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examiné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présente</w:t>
      </w:r>
      <w:r w:rsidR="005100A9" w:rsidRPr="005100A9">
        <w:t xml:space="preserve"> </w:t>
      </w:r>
      <w:r w:rsidRPr="005100A9">
        <w:t>communication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tenant</w:t>
      </w:r>
      <w:r w:rsidR="005100A9" w:rsidRPr="005100A9">
        <w:t xml:space="preserve"> </w:t>
      </w:r>
      <w:r w:rsidRPr="005100A9">
        <w:t>compte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toutes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informations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communiquées.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ayant</w:t>
      </w:r>
      <w:r w:rsidR="005100A9" w:rsidRPr="005100A9">
        <w:t xml:space="preserve"> </w:t>
      </w:r>
      <w:r w:rsidRPr="005100A9">
        <w:t>soumis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observation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fond,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estime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convient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accorder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crédit</w:t>
      </w:r>
      <w:r w:rsidR="005100A9" w:rsidRPr="005100A9">
        <w:t xml:space="preserve"> </w:t>
      </w:r>
      <w:r w:rsidRPr="005100A9">
        <w:t>voulu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griefs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où</w:t>
      </w:r>
      <w:r w:rsidR="005100A9" w:rsidRPr="005100A9">
        <w:t xml:space="preserve"> </w:t>
      </w:r>
      <w:r w:rsidRPr="005100A9">
        <w:t>ils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étayés</w:t>
      </w:r>
      <w:r w:rsidRPr="005100A9">
        <w:rPr>
          <w:rStyle w:val="Appelnotedebasdep"/>
        </w:rPr>
        <w:footnoteReference w:id="31"/>
      </w:r>
      <w:r w:rsidRPr="005100A9">
        <w:t>.</w:t>
      </w:r>
    </w:p>
    <w:p w:rsidR="00B55750" w:rsidRPr="005100A9" w:rsidRDefault="00B55750" w:rsidP="00E63416">
      <w:pPr>
        <w:pStyle w:val="SingleTxtG"/>
      </w:pPr>
      <w:r w:rsidRPr="005100A9">
        <w:t>8.2</w:t>
      </w:r>
      <w:r w:rsidRPr="005100A9">
        <w:tab/>
        <w:t>En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concerne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grief</w:t>
      </w:r>
      <w:r w:rsidR="005100A9" w:rsidRPr="005100A9">
        <w:t xml:space="preserve"> </w:t>
      </w:r>
      <w:r w:rsidRPr="005100A9">
        <w:t>tiré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5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prend</w:t>
      </w:r>
      <w:r w:rsidR="005100A9" w:rsidRPr="005100A9">
        <w:t xml:space="preserve"> </w:t>
      </w:r>
      <w:r w:rsidRPr="005100A9">
        <w:t>note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argument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selon</w:t>
      </w:r>
      <w:r w:rsidR="005100A9" w:rsidRPr="005100A9">
        <w:t xml:space="preserve"> </w:t>
      </w:r>
      <w:r w:rsidRPr="005100A9">
        <w:t>lequel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discrimination</w:t>
      </w:r>
      <w:r w:rsidR="005100A9" w:rsidRPr="005100A9">
        <w:t xml:space="preserve"> </w:t>
      </w:r>
      <w:r w:rsidRPr="005100A9">
        <w:t>fondée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handicap,</w:t>
      </w:r>
      <w:r w:rsidR="005100A9" w:rsidRPr="005100A9">
        <w:t xml:space="preserve"> </w:t>
      </w:r>
      <w:r w:rsidRPr="005100A9">
        <w:t>car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infligés</w:t>
      </w:r>
      <w:r w:rsidR="005100A9" w:rsidRPr="005100A9">
        <w:t xml:space="preserve"> </w:t>
      </w:r>
      <w:r w:rsidRPr="005100A9">
        <w:t>font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phénomène</w:t>
      </w:r>
      <w:r w:rsidR="005100A9" w:rsidRPr="005100A9">
        <w:t xml:space="preserve"> </w:t>
      </w:r>
      <w:r w:rsidRPr="005100A9">
        <w:t>généralisé</w:t>
      </w:r>
      <w:r w:rsidR="005100A9" w:rsidRPr="005100A9">
        <w:t xml:space="preserve"> </w:t>
      </w:r>
      <w:r w:rsidRPr="005100A9">
        <w:t>sévissant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concerne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prend</w:t>
      </w:r>
      <w:r w:rsidR="005100A9" w:rsidRPr="005100A9">
        <w:t xml:space="preserve"> </w:t>
      </w:r>
      <w:r w:rsidRPr="005100A9">
        <w:t>également</w:t>
      </w:r>
      <w:r w:rsidR="005100A9" w:rsidRPr="005100A9">
        <w:t xml:space="preserve"> </w:t>
      </w:r>
      <w:r w:rsidRPr="005100A9">
        <w:t>note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argument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soutient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également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discrimination</w:t>
      </w:r>
      <w:r w:rsidR="005100A9" w:rsidRPr="005100A9">
        <w:t xml:space="preserve"> </w:t>
      </w:r>
      <w:r w:rsidRPr="005100A9">
        <w:t>fondée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handicap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raison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impunité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continuent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jouir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subis.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propos,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souligne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impunité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dénominateur</w:t>
      </w:r>
      <w:r w:rsidR="005100A9" w:rsidRPr="005100A9">
        <w:t xml:space="preserve"> </w:t>
      </w:r>
      <w:r w:rsidRPr="005100A9">
        <w:t>commun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plupart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perpétrés</w:t>
      </w:r>
      <w:r w:rsidR="005100A9" w:rsidRPr="005100A9">
        <w:t xml:space="preserve"> </w:t>
      </w:r>
      <w:r w:rsidRPr="005100A9">
        <w:t>contre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elle</w:t>
      </w:r>
      <w:r w:rsidR="005100A9" w:rsidRPr="005100A9">
        <w:t xml:space="preserve"> </w:t>
      </w:r>
      <w:r w:rsidRPr="005100A9">
        <w:t>résulte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tanzaniennes</w:t>
      </w:r>
      <w:r w:rsidR="005100A9" w:rsidRPr="005100A9">
        <w:t xml:space="preserve"> </w:t>
      </w:r>
      <w:r w:rsidRPr="005100A9">
        <w:t>considèrent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liés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sorcellerie,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celle-ci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généralement</w:t>
      </w:r>
      <w:r w:rsidR="005100A9" w:rsidRPr="005100A9">
        <w:t xml:space="preserve"> </w:t>
      </w:r>
      <w:r w:rsidRPr="005100A9">
        <w:t>acceptée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beaucoup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préjugés</w:t>
      </w:r>
      <w:r w:rsidR="005100A9" w:rsidRPr="005100A9">
        <w:t xml:space="preserve"> </w:t>
      </w:r>
      <w:r w:rsidRPr="005100A9">
        <w:t>subsistent</w:t>
      </w:r>
      <w:r w:rsidR="005100A9" w:rsidRPr="005100A9">
        <w:t xml:space="preserve"> </w:t>
      </w:r>
      <w:r w:rsidRPr="005100A9">
        <w:t>encore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sujet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société</w:t>
      </w:r>
      <w:r w:rsidR="005100A9" w:rsidRPr="005100A9">
        <w:t xml:space="preserve"> </w:t>
      </w:r>
      <w:r w:rsidRPr="005100A9">
        <w:t>tanzanienne.</w:t>
      </w:r>
      <w:r w:rsidR="005100A9" w:rsidRPr="005100A9">
        <w:t xml:space="preserve"> </w:t>
      </w:r>
      <w:r w:rsidRPr="005100A9">
        <w:t>Enfin,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constate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ont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pris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voulues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garantir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enquête</w:t>
      </w:r>
      <w:r w:rsidR="005100A9" w:rsidRPr="005100A9">
        <w:t xml:space="preserve"> </w:t>
      </w:r>
      <w:r w:rsidRPr="005100A9">
        <w:t>efficace,</w:t>
      </w:r>
      <w:r w:rsidR="005100A9" w:rsidRPr="005100A9">
        <w:t xml:space="preserve"> </w:t>
      </w:r>
      <w:r w:rsidRPr="005100A9">
        <w:t>approfondie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impartiale</w:t>
      </w:r>
      <w:r w:rsidR="005100A9" w:rsidRPr="005100A9">
        <w:t xml:space="preserve"> </w:t>
      </w:r>
      <w:r w:rsidRPr="005100A9">
        <w:t>soit</w:t>
      </w:r>
      <w:r w:rsidR="005100A9" w:rsidRPr="005100A9">
        <w:t xml:space="preserve"> </w:t>
      </w:r>
      <w:r w:rsidRPr="005100A9">
        <w:t>menée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="005100A9" w:rsidRPr="005100A9">
        <w:t xml:space="preserve"> </w:t>
      </w:r>
      <w:r w:rsidRPr="005100A9">
        <w:t>soient</w:t>
      </w:r>
      <w:r w:rsidR="005100A9" w:rsidRPr="005100A9">
        <w:t xml:space="preserve"> </w:t>
      </w:r>
      <w:r w:rsidRPr="005100A9">
        <w:t>poursuivis,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aucune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prévention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protection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adoptée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combattre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égard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albinisme.</w:t>
      </w:r>
      <w:r w:rsidR="005100A9" w:rsidRPr="005100A9">
        <w:t xml:space="preserve"> </w:t>
      </w:r>
    </w:p>
    <w:p w:rsidR="00B55750" w:rsidRPr="005100A9" w:rsidRDefault="00B55750" w:rsidP="00E63416">
      <w:pPr>
        <w:pStyle w:val="SingleTxtG"/>
      </w:pPr>
      <w:r w:rsidRPr="005100A9">
        <w:t>8.3</w:t>
      </w:r>
      <w:r w:rsidRPr="005100A9">
        <w:tab/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rappelle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paragraphes</w:t>
      </w:r>
      <w:r w:rsidR="005100A9" w:rsidRPr="005100A9">
        <w:t xml:space="preserve"> </w:t>
      </w:r>
      <w:r w:rsidRPr="005100A9">
        <w:t>1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3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5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</w:t>
      </w:r>
      <w:r w:rsidR="005100A9" w:rsidRPr="005100A9">
        <w:t xml:space="preserve"> </w:t>
      </w:r>
      <w:r w:rsidRPr="005100A9">
        <w:t>disposent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États</w:t>
      </w:r>
      <w:r w:rsidR="005100A9" w:rsidRPr="005100A9">
        <w:t xml:space="preserve"> </w:t>
      </w:r>
      <w:r w:rsidRPr="005100A9">
        <w:t>parties</w:t>
      </w:r>
      <w:r w:rsidR="005100A9" w:rsidRPr="005100A9">
        <w:t xml:space="preserve"> </w:t>
      </w:r>
      <w:r w:rsidRPr="005100A9">
        <w:t>reconnaissent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toutes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égales</w:t>
      </w:r>
      <w:r w:rsidR="005100A9" w:rsidRPr="005100A9">
        <w:t xml:space="preserve"> </w:t>
      </w:r>
      <w:r w:rsidRPr="005100A9">
        <w:t>devant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celle-ci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droit</w:t>
      </w:r>
      <w:r w:rsidR="005100A9" w:rsidRPr="005100A9">
        <w:t xml:space="preserve"> </w:t>
      </w:r>
      <w:r w:rsidRPr="005100A9">
        <w:t>sans</w:t>
      </w:r>
      <w:r w:rsidR="005100A9" w:rsidRPr="005100A9">
        <w:t xml:space="preserve"> </w:t>
      </w:r>
      <w:r w:rsidRPr="005100A9">
        <w:t>discrimination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égale</w:t>
      </w:r>
      <w:r w:rsidR="005100A9" w:rsidRPr="005100A9">
        <w:t xml:space="preserve"> </w:t>
      </w:r>
      <w:r w:rsidRPr="005100A9">
        <w:t>protection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égal</w:t>
      </w:r>
      <w:r w:rsidR="005100A9" w:rsidRPr="005100A9">
        <w:t xml:space="preserve"> </w:t>
      </w:r>
      <w:r w:rsidRPr="005100A9">
        <w:t>bénéfice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loi,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ils</w:t>
      </w:r>
      <w:r w:rsidR="005100A9" w:rsidRPr="005100A9">
        <w:t xml:space="preserve"> </w:t>
      </w:r>
      <w:r w:rsidRPr="005100A9">
        <w:t>doivent</w:t>
      </w:r>
      <w:r w:rsidR="005100A9" w:rsidRPr="005100A9">
        <w:t xml:space="preserve"> </w:t>
      </w:r>
      <w:r w:rsidRPr="005100A9">
        <w:t>prendre</w:t>
      </w:r>
      <w:r w:rsidR="005100A9" w:rsidRPr="005100A9">
        <w:t xml:space="preserve"> </w:t>
      </w:r>
      <w:r w:rsidRPr="005100A9">
        <w:t>toutes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appropriées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sorte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aménagements</w:t>
      </w:r>
      <w:r w:rsidR="005100A9" w:rsidRPr="005100A9">
        <w:t xml:space="preserve"> </w:t>
      </w:r>
      <w:r w:rsidRPr="005100A9">
        <w:t>raisonnables</w:t>
      </w:r>
      <w:r w:rsidR="005100A9" w:rsidRPr="005100A9">
        <w:t xml:space="preserve"> </w:t>
      </w:r>
      <w:r w:rsidRPr="005100A9">
        <w:t>soient</w:t>
      </w:r>
      <w:r w:rsidR="005100A9" w:rsidRPr="005100A9">
        <w:t xml:space="preserve"> </w:t>
      </w:r>
      <w:r w:rsidRPr="005100A9">
        <w:t>apportés</w:t>
      </w:r>
      <w:r w:rsidR="005100A9" w:rsidRPr="005100A9">
        <w:t xml:space="preserve"> </w:t>
      </w:r>
      <w:r w:rsidRPr="005100A9">
        <w:t>afin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promouvoir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égalité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éliminer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discrimination.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discrimination</w:t>
      </w:r>
      <w:r w:rsidR="005100A9" w:rsidRPr="005100A9">
        <w:t xml:space="preserve"> </w:t>
      </w:r>
      <w:r w:rsidRPr="005100A9">
        <w:t>peut</w:t>
      </w:r>
      <w:r w:rsidR="005100A9" w:rsidRPr="005100A9">
        <w:t xml:space="preserve"> </w:t>
      </w:r>
      <w:r w:rsidRPr="005100A9">
        <w:t>résulter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effet</w:t>
      </w:r>
      <w:r w:rsidR="005100A9" w:rsidRPr="005100A9">
        <w:t xml:space="preserve"> </w:t>
      </w:r>
      <w:r w:rsidRPr="005100A9">
        <w:t>discriminatoire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règle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dénuée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toute</w:t>
      </w:r>
      <w:r w:rsidR="005100A9" w:rsidRPr="005100A9">
        <w:t xml:space="preserve"> </w:t>
      </w:r>
      <w:r w:rsidRPr="005100A9">
        <w:t>intention</w:t>
      </w:r>
      <w:r w:rsidR="005100A9" w:rsidRPr="005100A9">
        <w:t xml:space="preserve"> </w:t>
      </w:r>
      <w:r w:rsidRPr="005100A9">
        <w:t>discriminatoire,</w:t>
      </w:r>
      <w:r w:rsidR="005100A9" w:rsidRPr="005100A9">
        <w:t xml:space="preserve"> </w:t>
      </w:r>
      <w:r w:rsidRPr="005100A9">
        <w:t>mais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touche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manière</w:t>
      </w:r>
      <w:r w:rsidR="005100A9" w:rsidRPr="005100A9">
        <w:t xml:space="preserve"> </w:t>
      </w:r>
      <w:r w:rsidRPr="005100A9">
        <w:t>disproportionnée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handicapées</w:t>
      </w:r>
      <w:r w:rsidRPr="005100A9">
        <w:rPr>
          <w:rStyle w:val="Appelnotedebasdep"/>
        </w:rPr>
        <w:footnoteReference w:id="32"/>
      </w:r>
      <w:r w:rsidRPr="005100A9">
        <w:t>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espèce,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relève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crime</w:t>
      </w:r>
      <w:r w:rsidR="005100A9" w:rsidRPr="005100A9">
        <w:t xml:space="preserve"> </w:t>
      </w:r>
      <w:r w:rsidRPr="005100A9">
        <w:t>violent</w:t>
      </w:r>
      <w:r w:rsidR="005100A9" w:rsidRPr="005100A9">
        <w:t xml:space="preserve"> </w:t>
      </w:r>
      <w:r w:rsidRPr="005100A9">
        <w:t>présentant</w:t>
      </w:r>
      <w:r w:rsidR="005100A9" w:rsidRPr="005100A9">
        <w:t xml:space="preserve"> </w:t>
      </w:r>
      <w:r w:rsidRPr="005100A9">
        <w:t>toutes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caractéristiques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pratique</w:t>
      </w:r>
      <w:r w:rsidR="005100A9" w:rsidRPr="005100A9">
        <w:t xml:space="preserve"> </w:t>
      </w:r>
      <w:r w:rsidRPr="005100A9">
        <w:t>visant</w:t>
      </w:r>
      <w:r w:rsidR="005100A9" w:rsidRPr="005100A9">
        <w:t xml:space="preserve"> </w:t>
      </w:r>
      <w:r w:rsidRPr="005100A9">
        <w:t>exclusivement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faits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étant</w:t>
      </w:r>
      <w:r w:rsidR="005100A9" w:rsidRPr="005100A9">
        <w:t xml:space="preserve"> </w:t>
      </w:r>
      <w:r w:rsidRPr="005100A9">
        <w:t>déroulés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suit</w:t>
      </w:r>
      <w:r w:rsidR="00E63416">
        <w:t> :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10</w:t>
      </w:r>
      <w:r w:rsidR="00B842C6">
        <w:t> </w:t>
      </w:r>
      <w:r w:rsidRPr="005100A9">
        <w:t>avril</w:t>
      </w:r>
      <w:r w:rsidR="005100A9" w:rsidRPr="005100A9">
        <w:t xml:space="preserve"> </w:t>
      </w:r>
      <w:r w:rsidRPr="005100A9">
        <w:t>2010,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attaqué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deux</w:t>
      </w:r>
      <w:r w:rsidR="005100A9" w:rsidRPr="005100A9">
        <w:t xml:space="preserve"> </w:t>
      </w:r>
      <w:r w:rsidRPr="005100A9">
        <w:t>hommes</w:t>
      </w:r>
      <w:r w:rsidR="005100A9" w:rsidRPr="005100A9">
        <w:t xml:space="preserve"> </w:t>
      </w:r>
      <w:r w:rsidRPr="005100A9">
        <w:t>alors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ramassait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bois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chauffage</w:t>
      </w:r>
      <w:r w:rsidR="00E63416">
        <w:t> ;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individus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ont</w:t>
      </w:r>
      <w:r w:rsidR="005100A9" w:rsidRPr="005100A9">
        <w:t xml:space="preserve"> </w:t>
      </w:r>
      <w:r w:rsidRPr="005100A9">
        <w:t>assommé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massues</w:t>
      </w:r>
      <w:r w:rsidR="00E63416">
        <w:t> ;</w:t>
      </w:r>
      <w:r w:rsidR="005100A9" w:rsidRPr="005100A9">
        <w:t xml:space="preserve"> </w:t>
      </w:r>
      <w:r w:rsidRPr="005100A9">
        <w:t>ils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sectionné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bras</w:t>
      </w:r>
      <w:r w:rsidR="005100A9" w:rsidRPr="005100A9">
        <w:t xml:space="preserve"> </w:t>
      </w:r>
      <w:r w:rsidRPr="005100A9">
        <w:t>gauche</w:t>
      </w:r>
      <w:r w:rsidR="005100A9" w:rsidRPr="005100A9">
        <w:t xml:space="preserve"> </w:t>
      </w:r>
      <w:r w:rsidRPr="005100A9">
        <w:t>au-dessous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coude</w:t>
      </w:r>
      <w:r w:rsidR="00E63416">
        <w:t> ;</w:t>
      </w:r>
      <w:r w:rsidR="005100A9" w:rsidRPr="005100A9">
        <w:t xml:space="preserve"> </w:t>
      </w:r>
      <w:r w:rsidRPr="005100A9">
        <w:t>puis</w:t>
      </w:r>
      <w:r w:rsidR="005100A9" w:rsidRPr="005100A9">
        <w:t xml:space="preserve"> </w:t>
      </w:r>
      <w:r w:rsidRPr="005100A9">
        <w:t>ils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partis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emportant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membre.</w:t>
      </w:r>
      <w:r w:rsidR="005100A9" w:rsidRPr="005100A9">
        <w:t xml:space="preserve"> </w:t>
      </w:r>
      <w:r w:rsidRPr="005100A9">
        <w:t>Depuis,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eu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accès</w:t>
      </w:r>
      <w:r w:rsidR="005100A9" w:rsidRPr="005100A9">
        <w:t xml:space="preserve"> </w:t>
      </w:r>
      <w:r w:rsidRPr="005100A9">
        <w:t>extrêmement</w:t>
      </w:r>
      <w:r w:rsidR="005100A9" w:rsidRPr="005100A9">
        <w:t xml:space="preserve"> </w:t>
      </w:r>
      <w:r w:rsidRPr="005100A9">
        <w:t>restreint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justice</w:t>
      </w:r>
      <w:r w:rsidR="005100A9" w:rsidRPr="005100A9">
        <w:t xml:space="preserve"> </w:t>
      </w:r>
      <w:r w:rsidRPr="005100A9">
        <w:t>car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enquête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semble</w:t>
      </w:r>
      <w:r w:rsidR="005100A9" w:rsidRPr="005100A9">
        <w:t xml:space="preserve"> </w:t>
      </w:r>
      <w:r w:rsidRPr="005100A9">
        <w:t>avoir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prise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compétentes</w:t>
      </w:r>
      <w:r w:rsidR="005100A9" w:rsidRPr="005100A9">
        <w:t xml:space="preserve"> </w:t>
      </w:r>
      <w:r w:rsidRPr="005100A9">
        <w:t>après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abandon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poursuites</w:t>
      </w:r>
      <w:r w:rsidR="005100A9" w:rsidRPr="005100A9">
        <w:t xml:space="preserve"> </w:t>
      </w:r>
      <w:r w:rsidRPr="005100A9">
        <w:t>initialement</w:t>
      </w:r>
      <w:r w:rsidR="005100A9" w:rsidRPr="005100A9">
        <w:t xml:space="preserve"> </w:t>
      </w:r>
      <w:r w:rsidRPr="005100A9">
        <w:t>intentées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cette</w:t>
      </w:r>
      <w:r w:rsidR="005100A9" w:rsidRPr="005100A9">
        <w:t xml:space="preserve"> </w:t>
      </w:r>
      <w:r w:rsidRPr="005100A9">
        <w:t>attaque</w:t>
      </w:r>
      <w:r w:rsidR="005100A9" w:rsidRPr="005100A9">
        <w:t xml:space="preserve"> </w:t>
      </w:r>
      <w:r w:rsidRPr="005100A9">
        <w:t>criminelle</w:t>
      </w:r>
      <w:r w:rsidR="005100A9" w:rsidRPr="005100A9">
        <w:t xml:space="preserve"> </w:t>
      </w:r>
      <w:r w:rsidRPr="005100A9">
        <w:t>continuent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jouir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impunité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totale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huit</w:t>
      </w:r>
      <w:r w:rsidR="005100A9" w:rsidRPr="005100A9">
        <w:t xml:space="preserve"> </w:t>
      </w:r>
      <w:r w:rsidRPr="005100A9">
        <w:t>ans</w:t>
      </w:r>
      <w:r w:rsidR="005100A9" w:rsidRPr="005100A9">
        <w:t xml:space="preserve"> </w:t>
      </w:r>
      <w:r w:rsidRPr="005100A9">
        <w:t>après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faits.</w:t>
      </w:r>
    </w:p>
    <w:p w:rsidR="00B55750" w:rsidRPr="005100A9" w:rsidRDefault="00B55750" w:rsidP="00E63416">
      <w:pPr>
        <w:pStyle w:val="SingleTxtG"/>
      </w:pPr>
      <w:r w:rsidRPr="005100A9">
        <w:t>8.4</w:t>
      </w:r>
      <w:r w:rsidRPr="005100A9">
        <w:tab/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estime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saurait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soustraire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obligations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incombent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invoquant</w:t>
      </w:r>
      <w:r w:rsidR="005100A9" w:rsidRPr="005100A9">
        <w:t xml:space="preserve"> </w:t>
      </w:r>
      <w:r w:rsidRPr="005100A9">
        <w:t>simplement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certaines</w:t>
      </w:r>
      <w:r w:rsidR="005100A9" w:rsidRPr="005100A9">
        <w:t xml:space="preserve"> </w:t>
      </w:r>
      <w:r w:rsidRPr="005100A9">
        <w:t>juridictions</w:t>
      </w:r>
      <w:r w:rsidR="005100A9" w:rsidRPr="005100A9">
        <w:t xml:space="preserve"> </w:t>
      </w:r>
      <w:r w:rsidRPr="005100A9">
        <w:t>internes,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tribunal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district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Morogoro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Cour</w:t>
      </w:r>
      <w:r w:rsidR="005100A9" w:rsidRPr="005100A9">
        <w:t xml:space="preserve"> </w:t>
      </w:r>
      <w:r w:rsidRPr="005100A9">
        <w:t>constitutionnelle,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déjà</w:t>
      </w:r>
      <w:r w:rsidR="005100A9" w:rsidRPr="005100A9">
        <w:t xml:space="preserve"> </w:t>
      </w:r>
      <w:r w:rsidRPr="005100A9">
        <w:t>examiné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encore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train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examiner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affaire,</w:t>
      </w:r>
      <w:r w:rsidR="005100A9" w:rsidRPr="005100A9">
        <w:t xml:space="preserve"> </w:t>
      </w:r>
      <w:r w:rsidRPr="005100A9">
        <w:t>alors</w:t>
      </w:r>
      <w:r w:rsidR="005100A9" w:rsidRPr="005100A9">
        <w:t xml:space="preserve"> </w:t>
      </w:r>
      <w:r w:rsidRPr="005100A9">
        <w:t>même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manifeste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procédures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encore</w:t>
      </w:r>
      <w:r w:rsidR="005100A9" w:rsidRPr="005100A9">
        <w:t xml:space="preserve"> </w:t>
      </w:r>
      <w:r w:rsidRPr="005100A9">
        <w:t>pendantes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excédé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délais</w:t>
      </w:r>
      <w:r w:rsidR="005100A9" w:rsidRPr="005100A9">
        <w:t xml:space="preserve"> </w:t>
      </w:r>
      <w:r w:rsidRPr="005100A9">
        <w:t>raisonnables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semblent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avoir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chance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aboutir.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outre,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relève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autorités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ont</w:t>
      </w:r>
      <w:r w:rsidR="005100A9" w:rsidRPr="005100A9">
        <w:t xml:space="preserve"> </w:t>
      </w:r>
      <w:r w:rsidRPr="005100A9">
        <w:t>fourni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aide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afin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puisse</w:t>
      </w:r>
      <w:r w:rsidR="005100A9" w:rsidRPr="005100A9">
        <w:t xml:space="preserve"> </w:t>
      </w:r>
      <w:r w:rsidRPr="005100A9">
        <w:t>retrouver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lastRenderedPageBreak/>
        <w:t>autonomie</w:t>
      </w:r>
      <w:r w:rsidR="005100A9" w:rsidRPr="005100A9">
        <w:t xml:space="preserve"> </w:t>
      </w:r>
      <w:r w:rsidRPr="005100A9">
        <w:t>après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perte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bras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généralement,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adopté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empêcher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soient</w:t>
      </w:r>
      <w:r w:rsidR="005100A9" w:rsidRPr="005100A9">
        <w:t xml:space="preserve"> </w:t>
      </w:r>
      <w:r w:rsidRPr="005100A9">
        <w:t>victimes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type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leur</w:t>
      </w:r>
      <w:r w:rsidR="005100A9" w:rsidRPr="005100A9">
        <w:t xml:space="preserve"> </w:t>
      </w:r>
      <w:r w:rsidRPr="005100A9">
        <w:t>offrir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protection</w:t>
      </w:r>
      <w:r w:rsidR="005100A9" w:rsidRPr="005100A9">
        <w:t xml:space="preserve"> </w:t>
      </w:r>
      <w:r w:rsidRPr="005100A9">
        <w:t>contre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actes.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ayant</w:t>
      </w:r>
      <w:r w:rsidR="005100A9" w:rsidRPr="005100A9">
        <w:t xml:space="preserve"> </w:t>
      </w:r>
      <w:r w:rsidRPr="005100A9">
        <w:t>fourni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explication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sujet,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forme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ciblant</w:t>
      </w:r>
      <w:r w:rsidR="005100A9" w:rsidRPr="005100A9">
        <w:t xml:space="preserve"> </w:t>
      </w:r>
      <w:r w:rsidRPr="005100A9">
        <w:t>exclusivement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albinisme.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outre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inaction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partie,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ni</w:t>
      </w:r>
      <w:r w:rsidR="005100A9" w:rsidRPr="005100A9">
        <w:t xml:space="preserve"> </w:t>
      </w:r>
      <w:r w:rsidRPr="005100A9">
        <w:t>empêché</w:t>
      </w:r>
      <w:r w:rsidR="005100A9" w:rsidRPr="005100A9">
        <w:t xml:space="preserve"> </w:t>
      </w:r>
      <w:r w:rsidRPr="005100A9">
        <w:t>ni</w:t>
      </w:r>
      <w:r w:rsidR="005100A9" w:rsidRPr="005100A9">
        <w:t xml:space="preserve"> </w:t>
      </w:r>
      <w:r w:rsidRPr="005100A9">
        <w:t>réprimé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actes,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eu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effet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rendre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autres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particulièrement</w:t>
      </w:r>
      <w:r w:rsidR="005100A9" w:rsidRPr="005100A9">
        <w:t xml:space="preserve"> </w:t>
      </w:r>
      <w:r w:rsidRPr="005100A9">
        <w:t>vulnérables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empêcher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participer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société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base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égalité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autres.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conséquence,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conclut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discrimination</w:t>
      </w:r>
      <w:r w:rsidR="005100A9" w:rsidRPr="005100A9">
        <w:t xml:space="preserve"> </w:t>
      </w:r>
      <w:r w:rsidRPr="005100A9">
        <w:t>directe</w:t>
      </w:r>
      <w:r w:rsidR="005100A9" w:rsidRPr="005100A9">
        <w:t xml:space="preserve"> </w:t>
      </w:r>
      <w:r w:rsidRPr="005100A9">
        <w:t>fondée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handicap,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constitue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violation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5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Convention.</w:t>
      </w:r>
    </w:p>
    <w:p w:rsidR="00B55750" w:rsidRPr="005100A9" w:rsidRDefault="00B55750" w:rsidP="00E63416">
      <w:pPr>
        <w:pStyle w:val="SingleTxtG"/>
      </w:pPr>
      <w:r w:rsidRPr="005100A9">
        <w:t>8.5</w:t>
      </w:r>
      <w:r w:rsidRPr="005100A9">
        <w:tab/>
        <w:t>En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concerne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griefs</w:t>
      </w:r>
      <w:r w:rsidR="005100A9" w:rsidRPr="005100A9">
        <w:t xml:space="preserve"> </w:t>
      </w:r>
      <w:r w:rsidRPr="005100A9">
        <w:t>tirés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15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prend</w:t>
      </w:r>
      <w:r w:rsidR="005100A9" w:rsidRPr="005100A9">
        <w:t xml:space="preserve"> </w:t>
      </w:r>
      <w:r w:rsidRPr="005100A9">
        <w:t>note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argument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selon</w:t>
      </w:r>
      <w:r w:rsidR="005100A9" w:rsidRPr="005100A9">
        <w:t xml:space="preserve"> </w:t>
      </w:r>
      <w:r w:rsidRPr="005100A9">
        <w:t>lequel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infligés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constitué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forme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torture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porté</w:t>
      </w:r>
      <w:r w:rsidR="005100A9" w:rsidRPr="005100A9">
        <w:t xml:space="preserve"> </w:t>
      </w:r>
      <w:r w:rsidRPr="005100A9">
        <w:t>atteinte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intégrité</w:t>
      </w:r>
      <w:r w:rsidR="005100A9" w:rsidRPr="005100A9">
        <w:t xml:space="preserve"> </w:t>
      </w:r>
      <w:r w:rsidRPr="005100A9">
        <w:t>physique.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rappelle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aux</w:t>
      </w:r>
      <w:r w:rsidR="005100A9" w:rsidRPr="005100A9">
        <w:t xml:space="preserve"> </w:t>
      </w:r>
      <w:r w:rsidRPr="005100A9">
        <w:t>termes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paragraphes</w:t>
      </w:r>
      <w:r w:rsidR="005100A9" w:rsidRPr="005100A9">
        <w:t xml:space="preserve"> </w:t>
      </w:r>
      <w:r w:rsidRPr="005100A9">
        <w:t>1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2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15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Convention,</w:t>
      </w:r>
      <w:r w:rsidR="005100A9" w:rsidRPr="005100A9">
        <w:t xml:space="preserve"> </w:t>
      </w:r>
      <w:r w:rsidRPr="005100A9">
        <w:t>nul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sera</w:t>
      </w:r>
      <w:r w:rsidR="005100A9" w:rsidRPr="005100A9">
        <w:t xml:space="preserve"> </w:t>
      </w:r>
      <w:r w:rsidRPr="005100A9">
        <w:t>soumis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torture</w:t>
      </w:r>
      <w:r w:rsidR="005100A9" w:rsidRPr="005100A9">
        <w:t xml:space="preserve"> </w:t>
      </w:r>
      <w:r w:rsidRPr="005100A9">
        <w:t>ni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peines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traitements</w:t>
      </w:r>
      <w:r w:rsidR="005100A9" w:rsidRPr="005100A9">
        <w:t xml:space="preserve"> </w:t>
      </w:r>
      <w:r w:rsidRPr="005100A9">
        <w:t>cruels,</w:t>
      </w:r>
      <w:r w:rsidR="005100A9" w:rsidRPr="005100A9">
        <w:t xml:space="preserve"> </w:t>
      </w:r>
      <w:r w:rsidRPr="005100A9">
        <w:t>inhumains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dégradants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États</w:t>
      </w:r>
      <w:r w:rsidR="005100A9" w:rsidRPr="005100A9">
        <w:t xml:space="preserve"> </w:t>
      </w:r>
      <w:r w:rsidRPr="005100A9">
        <w:t>parties</w:t>
      </w:r>
      <w:r w:rsidR="005100A9" w:rsidRPr="005100A9">
        <w:t xml:space="preserve"> </w:t>
      </w:r>
      <w:r w:rsidRPr="005100A9">
        <w:t>prennent</w:t>
      </w:r>
      <w:r w:rsidR="005100A9" w:rsidRPr="005100A9">
        <w:t xml:space="preserve"> </w:t>
      </w:r>
      <w:r w:rsidRPr="005100A9">
        <w:t>toutes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législatives,</w:t>
      </w:r>
      <w:r w:rsidR="005100A9" w:rsidRPr="005100A9">
        <w:t xml:space="preserve"> </w:t>
      </w:r>
      <w:r w:rsidRPr="005100A9">
        <w:t>administratives,</w:t>
      </w:r>
      <w:r w:rsidR="005100A9" w:rsidRPr="005100A9">
        <w:t xml:space="preserve"> </w:t>
      </w:r>
      <w:r w:rsidRPr="005100A9">
        <w:t>judiciaires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autres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efficaces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empêcher,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base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égalité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autres,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handicapées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soient</w:t>
      </w:r>
      <w:r w:rsidR="005100A9" w:rsidRPr="005100A9">
        <w:t xml:space="preserve"> </w:t>
      </w:r>
      <w:r w:rsidRPr="005100A9">
        <w:t>soumises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torture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peines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traitements</w:t>
      </w:r>
      <w:r w:rsidR="005100A9" w:rsidRPr="005100A9">
        <w:t xml:space="preserve"> </w:t>
      </w:r>
      <w:r w:rsidRPr="005100A9">
        <w:t>cruels,</w:t>
      </w:r>
      <w:r w:rsidR="005100A9" w:rsidRPr="005100A9">
        <w:t xml:space="preserve"> </w:t>
      </w:r>
      <w:r w:rsidRPr="005100A9">
        <w:t>inhumains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dégradants.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rappelle</w:t>
      </w:r>
      <w:r w:rsidR="005100A9" w:rsidRPr="005100A9">
        <w:t xml:space="preserve"> </w:t>
      </w:r>
      <w:r w:rsidRPr="005100A9">
        <w:t>également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premier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</w:t>
      </w:r>
      <w:r w:rsidR="005100A9" w:rsidRPr="005100A9">
        <w:t xml:space="preserve"> </w:t>
      </w:r>
      <w:r w:rsidRPr="005100A9">
        <w:t>contre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torture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autres</w:t>
      </w:r>
      <w:r w:rsidR="005100A9" w:rsidRPr="005100A9">
        <w:t xml:space="preserve"> </w:t>
      </w:r>
      <w:r w:rsidRPr="005100A9">
        <w:t>peines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traitements</w:t>
      </w:r>
      <w:r w:rsidR="005100A9" w:rsidRPr="005100A9">
        <w:t xml:space="preserve"> </w:t>
      </w:r>
      <w:r w:rsidRPr="005100A9">
        <w:t>cruels,</w:t>
      </w:r>
      <w:r w:rsidR="005100A9" w:rsidRPr="005100A9">
        <w:t xml:space="preserve"> </w:t>
      </w:r>
      <w:r w:rsidRPr="005100A9">
        <w:t>inhumains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dégradants,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terme</w:t>
      </w:r>
      <w:r w:rsidR="005100A9" w:rsidRPr="005100A9">
        <w:t xml:space="preserve"> </w:t>
      </w:r>
      <w:r w:rsidRPr="005100A9">
        <w:t>«</w:t>
      </w:r>
      <w:r w:rsidR="00A36332">
        <w:t> </w:t>
      </w:r>
      <w:r w:rsidRPr="005100A9">
        <w:t>torture</w:t>
      </w:r>
      <w:r w:rsidR="00A36332">
        <w:t> </w:t>
      </w:r>
      <w:r w:rsidRPr="005100A9">
        <w:t>»</w:t>
      </w:r>
      <w:r w:rsidR="005100A9" w:rsidRPr="005100A9">
        <w:t xml:space="preserve"> </w:t>
      </w:r>
      <w:r w:rsidRPr="005100A9">
        <w:t>désigne</w:t>
      </w:r>
      <w:r w:rsidR="005100A9" w:rsidRPr="005100A9">
        <w:t xml:space="preserve"> </w:t>
      </w:r>
      <w:r w:rsidRPr="005100A9">
        <w:t>tout</w:t>
      </w:r>
      <w:r w:rsidR="005100A9" w:rsidRPr="005100A9">
        <w:t xml:space="preserve"> </w:t>
      </w:r>
      <w:r w:rsidRPr="005100A9">
        <w:t>acte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lequel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douleur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souffrances</w:t>
      </w:r>
      <w:r w:rsidR="005100A9" w:rsidRPr="005100A9">
        <w:t xml:space="preserve"> </w:t>
      </w:r>
      <w:r w:rsidRPr="005100A9">
        <w:t>aiguës,</w:t>
      </w:r>
      <w:r w:rsidR="005100A9" w:rsidRPr="005100A9">
        <w:t xml:space="preserve"> </w:t>
      </w:r>
      <w:r w:rsidRPr="005100A9">
        <w:t>physiques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mentales,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intentionnellement</w:t>
      </w:r>
      <w:r w:rsidR="005100A9" w:rsidRPr="005100A9">
        <w:t xml:space="preserve"> </w:t>
      </w:r>
      <w:r w:rsidRPr="005100A9">
        <w:t>infligées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personne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fins</w:t>
      </w:r>
      <w:r w:rsidR="005100A9" w:rsidRPr="005100A9">
        <w:t xml:space="preserve"> </w:t>
      </w:r>
      <w:r w:rsidRPr="005100A9">
        <w:t>notamment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obtenir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elle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tierce</w:t>
      </w:r>
      <w:r w:rsidR="005100A9" w:rsidRPr="005100A9">
        <w:t xml:space="preserve"> </w:t>
      </w:r>
      <w:r w:rsidRPr="005100A9">
        <w:t>personne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renseignements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aveux,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punir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acte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elle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tierce</w:t>
      </w:r>
      <w:r w:rsidR="005100A9" w:rsidRPr="005100A9">
        <w:t xml:space="preserve"> </w:t>
      </w:r>
      <w:r w:rsidRPr="005100A9">
        <w:t>personne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commis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soupçonnée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avoir</w:t>
      </w:r>
      <w:r w:rsidR="005100A9" w:rsidRPr="005100A9">
        <w:t xml:space="preserve"> </w:t>
      </w:r>
      <w:r w:rsidRPr="005100A9">
        <w:t>commis,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intimider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pression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elle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intimider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faire</w:t>
      </w:r>
      <w:r w:rsidR="005100A9" w:rsidRPr="005100A9">
        <w:t xml:space="preserve"> </w:t>
      </w:r>
      <w:r w:rsidRPr="005100A9">
        <w:t>pression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tierce</w:t>
      </w:r>
      <w:r w:rsidR="005100A9" w:rsidRPr="005100A9">
        <w:t xml:space="preserve"> </w:t>
      </w:r>
      <w:r w:rsidRPr="005100A9">
        <w:t>personne,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tout</w:t>
      </w:r>
      <w:r w:rsidR="005100A9" w:rsidRPr="005100A9">
        <w:t xml:space="preserve"> </w:t>
      </w:r>
      <w:r w:rsidRPr="005100A9">
        <w:t>autre</w:t>
      </w:r>
      <w:r w:rsidR="005100A9" w:rsidRPr="005100A9">
        <w:t xml:space="preserve"> </w:t>
      </w:r>
      <w:r w:rsidRPr="005100A9">
        <w:t>motif</w:t>
      </w:r>
      <w:r w:rsidR="005100A9" w:rsidRPr="005100A9">
        <w:t xml:space="preserve"> </w:t>
      </w:r>
      <w:r w:rsidRPr="005100A9">
        <w:t>fondé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forme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discrimination</w:t>
      </w:r>
      <w:r w:rsidR="005100A9" w:rsidRPr="005100A9">
        <w:t xml:space="preserve"> </w:t>
      </w:r>
      <w:r w:rsidRPr="005100A9">
        <w:t>quelle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elle</w:t>
      </w:r>
      <w:r w:rsidR="005100A9" w:rsidRPr="005100A9">
        <w:t xml:space="preserve"> </w:t>
      </w:r>
      <w:r w:rsidRPr="005100A9">
        <w:t>soit,</w:t>
      </w:r>
      <w:r w:rsidR="005100A9" w:rsidRPr="005100A9">
        <w:t xml:space="preserve"> </w:t>
      </w:r>
      <w:r w:rsidRPr="005100A9">
        <w:t>lorsqu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telle</w:t>
      </w:r>
      <w:r w:rsidR="005100A9" w:rsidRPr="005100A9">
        <w:t xml:space="preserve"> </w:t>
      </w:r>
      <w:r w:rsidRPr="005100A9">
        <w:t>douleur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telles</w:t>
      </w:r>
      <w:r w:rsidR="005100A9" w:rsidRPr="005100A9">
        <w:t xml:space="preserve"> </w:t>
      </w:r>
      <w:r w:rsidRPr="005100A9">
        <w:t>souffrances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infligées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agent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fonction</w:t>
      </w:r>
      <w:r w:rsidR="005100A9" w:rsidRPr="005100A9">
        <w:t xml:space="preserve"> </w:t>
      </w:r>
      <w:r w:rsidRPr="005100A9">
        <w:t>publique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toute</w:t>
      </w:r>
      <w:r w:rsidR="005100A9" w:rsidRPr="005100A9">
        <w:t xml:space="preserve"> </w:t>
      </w:r>
      <w:r w:rsidRPr="005100A9">
        <w:t>autre</w:t>
      </w:r>
      <w:r w:rsidR="005100A9" w:rsidRPr="005100A9">
        <w:t xml:space="preserve"> </w:t>
      </w:r>
      <w:r w:rsidRPr="005100A9">
        <w:t>personne</w:t>
      </w:r>
      <w:r w:rsidR="005100A9" w:rsidRPr="005100A9">
        <w:t xml:space="preserve"> </w:t>
      </w:r>
      <w:r w:rsidRPr="005100A9">
        <w:t>agissant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titre</w:t>
      </w:r>
      <w:r w:rsidR="005100A9" w:rsidRPr="005100A9">
        <w:t xml:space="preserve"> </w:t>
      </w:r>
      <w:r w:rsidRPr="005100A9">
        <w:t>officiel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instigation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consentement</w:t>
      </w:r>
      <w:r w:rsidR="005100A9" w:rsidRPr="005100A9">
        <w:t xml:space="preserve"> </w:t>
      </w:r>
      <w:r w:rsidRPr="005100A9">
        <w:t>exprès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tacite.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ailleurs</w:t>
      </w:r>
      <w:r w:rsidR="005100A9" w:rsidRPr="005100A9">
        <w:t xml:space="preserve"> </w:t>
      </w:r>
      <w:r w:rsidRPr="005100A9">
        <w:t>observer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commis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particuliers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ils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constituent</w:t>
      </w:r>
      <w:r w:rsidR="005100A9" w:rsidRPr="005100A9">
        <w:t xml:space="preserve"> </w:t>
      </w:r>
      <w:r w:rsidRPr="005100A9">
        <w:t>donc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torture.</w:t>
      </w:r>
    </w:p>
    <w:p w:rsidR="00B55750" w:rsidRPr="005100A9" w:rsidRDefault="00B55750" w:rsidP="00E63416">
      <w:pPr>
        <w:pStyle w:val="SingleTxtG"/>
      </w:pPr>
      <w:r w:rsidRPr="005100A9">
        <w:t>8.6</w:t>
      </w:r>
      <w:r w:rsidRPr="005100A9">
        <w:tab/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souligne</w:t>
      </w:r>
      <w:r w:rsidR="005100A9" w:rsidRPr="005100A9">
        <w:t xml:space="preserve"> </w:t>
      </w:r>
      <w:r w:rsidRPr="005100A9">
        <w:t>néanmoins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obligation</w:t>
      </w:r>
      <w:r w:rsidR="005100A9" w:rsidRPr="005100A9">
        <w:t xml:space="preserve"> </w:t>
      </w:r>
      <w:r w:rsidRPr="005100A9">
        <w:t>incombant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États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prévenir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réprimer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torture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traitements</w:t>
      </w:r>
      <w:r w:rsidR="005100A9" w:rsidRPr="005100A9">
        <w:t xml:space="preserve"> </w:t>
      </w:r>
      <w:r w:rsidRPr="005100A9">
        <w:t>inhumains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dégradants</w:t>
      </w:r>
      <w:r w:rsidR="005100A9" w:rsidRPr="005100A9">
        <w:t xml:space="preserve"> </w:t>
      </w:r>
      <w:r w:rsidRPr="005100A9">
        <w:t>vaut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non</w:t>
      </w:r>
      <w:r w:rsidR="005100A9" w:rsidRPr="005100A9">
        <w:t xml:space="preserve"> </w:t>
      </w:r>
      <w:r w:rsidRPr="005100A9">
        <w:t>seulement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commis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acteurs</w:t>
      </w:r>
      <w:r w:rsidR="005100A9" w:rsidRPr="005100A9">
        <w:t xml:space="preserve"> </w:t>
      </w:r>
      <w:r w:rsidRPr="005100A9">
        <w:t>étatiques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ceux</w:t>
      </w:r>
      <w:r w:rsidR="005100A9" w:rsidRPr="005100A9">
        <w:t xml:space="preserve"> </w:t>
      </w:r>
      <w:r w:rsidRPr="005100A9">
        <w:t>perpétrés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acteurs</w:t>
      </w:r>
      <w:r w:rsidR="005100A9" w:rsidRPr="005100A9">
        <w:t xml:space="preserve"> </w:t>
      </w:r>
      <w:r w:rsidRPr="005100A9">
        <w:t>non</w:t>
      </w:r>
      <w:r w:rsidR="005100A9" w:rsidRPr="005100A9">
        <w:t xml:space="preserve"> </w:t>
      </w:r>
      <w:r w:rsidRPr="005100A9">
        <w:t>étatiques</w:t>
      </w:r>
      <w:r w:rsidRPr="005100A9">
        <w:rPr>
          <w:rStyle w:val="Appelnotedebasdep"/>
        </w:rPr>
        <w:footnoteReference w:id="33"/>
      </w:r>
      <w:r w:rsidRPr="005100A9">
        <w:t>.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rapidité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utilité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sont</w:t>
      </w:r>
      <w:r w:rsidR="005100A9" w:rsidRPr="005100A9">
        <w:t xml:space="preserve"> </w:t>
      </w:r>
      <w:r w:rsidRPr="005100A9">
        <w:t>encore</w:t>
      </w:r>
      <w:r w:rsidR="005100A9" w:rsidRPr="005100A9">
        <w:t xml:space="preserve"> </w:t>
      </w:r>
      <w:r w:rsidRPr="005100A9">
        <w:t>plus</w:t>
      </w:r>
      <w:r w:rsidR="005100A9" w:rsidRPr="005100A9">
        <w:t xml:space="preserve"> </w:t>
      </w:r>
      <w:r w:rsidRPr="005100A9">
        <w:t>importantes</w:t>
      </w:r>
      <w:r w:rsidR="005100A9" w:rsidRPr="005100A9">
        <w:t xml:space="preserve"> </w:t>
      </w:r>
      <w:r w:rsidRPr="005100A9">
        <w:t>lorsqu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s</w:t>
      </w:r>
      <w:r w:rsidR="00A33279">
        <w:t>’</w:t>
      </w:r>
      <w:r w:rsidRPr="005100A9">
        <w:t>agit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infractions</w:t>
      </w:r>
      <w:r w:rsidR="005100A9" w:rsidRPr="005100A9">
        <w:t xml:space="preserve"> </w:t>
      </w:r>
      <w:r w:rsidRPr="005100A9">
        <w:t>telles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celles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font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objet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présente</w:t>
      </w:r>
      <w:r w:rsidR="005100A9" w:rsidRPr="005100A9">
        <w:t xml:space="preserve"> </w:t>
      </w:r>
      <w:r w:rsidRPr="005100A9">
        <w:t>communication.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souffrances</w:t>
      </w:r>
      <w:r w:rsidR="005100A9" w:rsidRPr="005100A9">
        <w:t xml:space="preserve"> </w:t>
      </w:r>
      <w:r w:rsidRPr="005100A9">
        <w:t>endurées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pris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poursuivre</w:t>
      </w:r>
      <w:r w:rsidR="005100A9" w:rsidRPr="005100A9">
        <w:t xml:space="preserve"> </w:t>
      </w:r>
      <w:r w:rsidRPr="005100A9">
        <w:t>efficacement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="005100A9" w:rsidRPr="005100A9">
        <w:t xml:space="preserve"> </w:t>
      </w:r>
      <w:r w:rsidRPr="005100A9">
        <w:t>présumés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infraction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causé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traumatisme</w:t>
      </w:r>
      <w:r w:rsidR="005100A9" w:rsidRPr="005100A9">
        <w:t xml:space="preserve"> </w:t>
      </w:r>
      <w:r w:rsidRPr="005100A9">
        <w:t>supplémentaire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constituent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forme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torture</w:t>
      </w:r>
      <w:r w:rsidR="005100A9" w:rsidRPr="005100A9">
        <w:t xml:space="preserve"> </w:t>
      </w:r>
      <w:r w:rsidRPr="005100A9">
        <w:t>et/ou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mauvais</w:t>
      </w:r>
      <w:r w:rsidR="005100A9" w:rsidRPr="005100A9">
        <w:t xml:space="preserve"> </w:t>
      </w:r>
      <w:r w:rsidRPr="005100A9">
        <w:t>traitements</w:t>
      </w:r>
      <w:r w:rsidR="005100A9" w:rsidRPr="005100A9">
        <w:t xml:space="preserve"> </w:t>
      </w:r>
      <w:r w:rsidRPr="005100A9">
        <w:t>psychologiques</w:t>
      </w:r>
      <w:r w:rsidRPr="005100A9">
        <w:rPr>
          <w:rStyle w:val="Appelnotedebasdep"/>
        </w:rPr>
        <w:footnoteReference w:id="34"/>
      </w:r>
      <w:r w:rsidRPr="005100A9">
        <w:t>.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tous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motifs,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conclut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circonstances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espèce,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violé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15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Convention.</w:t>
      </w:r>
      <w:r w:rsidR="005100A9" w:rsidRPr="005100A9">
        <w:t xml:space="preserve"> </w:t>
      </w:r>
    </w:p>
    <w:p w:rsidR="00B55750" w:rsidRPr="005100A9" w:rsidRDefault="00B55750" w:rsidP="00E63416">
      <w:pPr>
        <w:pStyle w:val="SingleTxtG"/>
      </w:pPr>
      <w:r w:rsidRPr="005100A9">
        <w:t>8.7</w:t>
      </w:r>
      <w:r w:rsidRPr="005100A9">
        <w:tab/>
        <w:t>En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concerne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grief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tire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17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rappelle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toute</w:t>
      </w:r>
      <w:r w:rsidR="005100A9" w:rsidRPr="005100A9">
        <w:t xml:space="preserve"> </w:t>
      </w:r>
      <w:r w:rsidRPr="005100A9">
        <w:t>personne</w:t>
      </w:r>
      <w:r w:rsidR="005100A9" w:rsidRPr="005100A9">
        <w:t xml:space="preserve"> </w:t>
      </w:r>
      <w:r w:rsidRPr="005100A9">
        <w:t>handicapée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droit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respect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intégrité</w:t>
      </w:r>
      <w:r w:rsidR="005100A9" w:rsidRPr="005100A9">
        <w:t xml:space="preserve"> </w:t>
      </w:r>
      <w:r w:rsidRPr="005100A9">
        <w:t>physique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mentale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base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égalité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autres.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droit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intégrité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personne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fondé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signifie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fait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être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humain</w:t>
      </w:r>
      <w:r w:rsidR="00E63416">
        <w:t> ;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lié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notion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dignité</w:t>
      </w:r>
      <w:r w:rsidR="005100A9" w:rsidRPr="005100A9">
        <w:t xml:space="preserve"> </w:t>
      </w:r>
      <w:r w:rsidRPr="005100A9">
        <w:t>humaine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principe</w:t>
      </w:r>
      <w:r w:rsidR="005100A9" w:rsidRPr="005100A9">
        <w:t xml:space="preserve"> </w:t>
      </w:r>
      <w:r w:rsidRPr="005100A9">
        <w:t>selon</w:t>
      </w:r>
      <w:r w:rsidR="005100A9" w:rsidRPr="005100A9">
        <w:t xml:space="preserve"> </w:t>
      </w:r>
      <w:r w:rsidRPr="005100A9">
        <w:t>lequel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espace</w:t>
      </w:r>
      <w:r w:rsidR="005100A9" w:rsidRPr="005100A9">
        <w:t xml:space="preserve"> </w:t>
      </w:r>
      <w:r w:rsidRPr="005100A9">
        <w:t>physique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psychologique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tout</w:t>
      </w:r>
      <w:r w:rsidR="005100A9" w:rsidRPr="005100A9">
        <w:t xml:space="preserve"> </w:t>
      </w:r>
      <w:r w:rsidRPr="005100A9">
        <w:t>individu</w:t>
      </w:r>
      <w:r w:rsidR="005100A9" w:rsidRPr="005100A9">
        <w:t xml:space="preserve"> </w:t>
      </w:r>
      <w:r w:rsidRPr="005100A9">
        <w:t>doit</w:t>
      </w:r>
      <w:r w:rsidR="005100A9" w:rsidRPr="005100A9">
        <w:t xml:space="preserve"> </w:t>
      </w:r>
      <w:r w:rsidRPr="005100A9">
        <w:t>être</w:t>
      </w:r>
      <w:r w:rsidR="005100A9" w:rsidRPr="005100A9">
        <w:t xml:space="preserve"> </w:t>
      </w:r>
      <w:r w:rsidRPr="005100A9">
        <w:t>protégé</w:t>
      </w:r>
      <w:r w:rsidR="00E63416">
        <w:t> ;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englobe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interdiction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torture</w:t>
      </w:r>
      <w:r w:rsidR="005100A9" w:rsidRPr="005100A9">
        <w:t xml:space="preserve"> </w:t>
      </w:r>
      <w:r w:rsidRPr="005100A9">
        <w:t>physique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mentale,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peines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traitements</w:t>
      </w:r>
      <w:r w:rsidR="005100A9" w:rsidRPr="005100A9">
        <w:t xml:space="preserve"> </w:t>
      </w:r>
      <w:r w:rsidRPr="005100A9">
        <w:t>inhumains</w:t>
      </w:r>
      <w:r w:rsidR="005100A9" w:rsidRPr="005100A9">
        <w:t xml:space="preserve"> </w:t>
      </w:r>
      <w:r w:rsidRPr="005100A9">
        <w:t>ou</w:t>
      </w:r>
      <w:r w:rsidR="005100A9" w:rsidRPr="005100A9">
        <w:t xml:space="preserve"> </w:t>
      </w:r>
      <w:r w:rsidRPr="005100A9">
        <w:t>dégradants</w:t>
      </w:r>
      <w:r w:rsidR="005100A9" w:rsidRPr="005100A9">
        <w:t xml:space="preserve"> </w:t>
      </w:r>
      <w:r w:rsidRPr="005100A9">
        <w:t>ainsi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toute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série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atteintes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moindre</w:t>
      </w:r>
      <w:r w:rsidR="005100A9" w:rsidRPr="005100A9">
        <w:t xml:space="preserve"> </w:t>
      </w:r>
      <w:r w:rsidRPr="005100A9">
        <w:t>gravité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intégrité</w:t>
      </w:r>
      <w:r w:rsidR="005100A9" w:rsidRPr="005100A9">
        <w:t xml:space="preserve"> </w:t>
      </w:r>
      <w:r w:rsidRPr="005100A9">
        <w:t>physique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psychologique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</w:t>
      </w:r>
      <w:r w:rsidR="005100A9" w:rsidRPr="005100A9">
        <w:t xml:space="preserve"> </w:t>
      </w:r>
      <w:r w:rsidRPr="005100A9">
        <w:t>individu.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infligés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relèvent</w:t>
      </w:r>
      <w:r w:rsidR="005100A9" w:rsidRPr="005100A9">
        <w:t xml:space="preserve"> </w:t>
      </w:r>
      <w:r w:rsidRPr="005100A9">
        <w:t>clairement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intégrité</w:t>
      </w:r>
      <w:r w:rsidR="005100A9" w:rsidRPr="005100A9">
        <w:t xml:space="preserve"> </w:t>
      </w:r>
      <w:r w:rsidRPr="005100A9">
        <w:t>physique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mentale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personne.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ajoute</w:t>
      </w:r>
      <w:r w:rsidR="005100A9" w:rsidRPr="005100A9">
        <w:t xml:space="preserve"> </w:t>
      </w:r>
      <w:r w:rsidRPr="005100A9">
        <w:t>que,</w:t>
      </w:r>
      <w:r w:rsidR="005100A9" w:rsidRPr="005100A9">
        <w:t xml:space="preserve"> </w:t>
      </w:r>
      <w:r w:rsidRPr="005100A9">
        <w:t>conformément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4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États</w:t>
      </w:r>
      <w:r w:rsidR="005100A9" w:rsidRPr="005100A9">
        <w:t xml:space="preserve"> </w:t>
      </w:r>
      <w:r w:rsidRPr="005100A9">
        <w:t>parties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obligation</w:t>
      </w:r>
      <w:r w:rsidR="005100A9" w:rsidRPr="005100A9">
        <w:t xml:space="preserve"> </w:t>
      </w:r>
      <w:r w:rsidRPr="005100A9">
        <w:t>générale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garantir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promouvoir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plein</w:t>
      </w:r>
      <w:r w:rsidR="005100A9" w:rsidRPr="005100A9">
        <w:t xml:space="preserve"> </w:t>
      </w:r>
      <w:r w:rsidRPr="005100A9">
        <w:t>exercice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tous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homme,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droit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intégrité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personne.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espèce,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n</w:t>
      </w:r>
      <w:r w:rsidR="00A33279">
        <w:t>’</w:t>
      </w:r>
      <w:r w:rsidRPr="005100A9">
        <w:t>a</w:t>
      </w:r>
      <w:r w:rsidR="005100A9" w:rsidRPr="005100A9">
        <w:t xml:space="preserve"> </w:t>
      </w:r>
      <w:r w:rsidRPr="005100A9">
        <w:t>pris</w:t>
      </w:r>
      <w:r w:rsidR="005100A9" w:rsidRPr="005100A9">
        <w:t xml:space="preserve"> </w:t>
      </w:r>
      <w:r w:rsidRPr="005100A9">
        <w:t>aucune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lastRenderedPageBreak/>
        <w:t>prévenir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réprimer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offrir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assistance</w:t>
      </w:r>
      <w:r w:rsidR="005100A9" w:rsidRPr="005100A9">
        <w:t xml:space="preserve"> </w:t>
      </w:r>
      <w:r w:rsidRPr="005100A9">
        <w:t>afin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puisse</w:t>
      </w:r>
      <w:r w:rsidR="005100A9" w:rsidRPr="005100A9">
        <w:t xml:space="preserve"> </w:t>
      </w:r>
      <w:r w:rsidRPr="005100A9">
        <w:t>retrouver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autonomie</w:t>
      </w:r>
      <w:r w:rsidR="005100A9" w:rsidRPr="005100A9">
        <w:t xml:space="preserve"> </w:t>
      </w:r>
      <w:r w:rsidRPr="005100A9">
        <w:t>après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perte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bras.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outre,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jour,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jouissent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totale</w:t>
      </w:r>
      <w:r w:rsidR="005100A9" w:rsidRPr="005100A9">
        <w:t xml:space="preserve"> </w:t>
      </w:r>
      <w:r w:rsidRPr="005100A9">
        <w:t>impunité.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conséquence,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en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prenant</w:t>
      </w:r>
      <w:r w:rsidR="005100A9" w:rsidRPr="005100A9">
        <w:t xml:space="preserve"> </w:t>
      </w:r>
      <w:r w:rsidRPr="005100A9">
        <w:t>pas</w:t>
      </w:r>
      <w:r w:rsidR="005100A9" w:rsidRPr="005100A9">
        <w:t xml:space="preserve"> </w:t>
      </w:r>
      <w:r w:rsidRPr="005100A9">
        <w:t>toutes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voulues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prévenir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violence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type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ceux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ont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infligés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et,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espèce,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enquêter</w:t>
      </w:r>
      <w:r w:rsidR="005100A9" w:rsidRPr="005100A9">
        <w:t xml:space="preserve"> </w:t>
      </w:r>
      <w:r w:rsidRPr="005100A9">
        <w:t>efficacement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ces</w:t>
      </w:r>
      <w:r w:rsidR="005100A9" w:rsidRPr="005100A9">
        <w:t xml:space="preserve"> </w:t>
      </w:r>
      <w:r w:rsidRPr="005100A9">
        <w:t>actes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réprimer,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violé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</w:t>
      </w:r>
      <w:r w:rsidR="005100A9" w:rsidRPr="005100A9">
        <w:t xml:space="preserve"> </w:t>
      </w:r>
      <w:r w:rsidRPr="005100A9">
        <w:t>tient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17,</w:t>
      </w:r>
      <w:r w:rsidR="005100A9" w:rsidRPr="005100A9">
        <w:t xml:space="preserve"> </w:t>
      </w:r>
      <w:r w:rsidRPr="005100A9">
        <w:t>lu</w:t>
      </w:r>
      <w:r w:rsidR="005100A9" w:rsidRPr="005100A9">
        <w:t xml:space="preserve"> </w:t>
      </w:r>
      <w:r w:rsidRPr="005100A9">
        <w:t>conjointement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4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Convention.</w:t>
      </w:r>
      <w:r w:rsidR="005100A9" w:rsidRPr="005100A9">
        <w:t xml:space="preserve"> </w:t>
      </w:r>
    </w:p>
    <w:p w:rsidR="00B55750" w:rsidRPr="005100A9" w:rsidRDefault="00E63416" w:rsidP="00E63416">
      <w:pPr>
        <w:pStyle w:val="H1G"/>
      </w:pPr>
      <w:r>
        <w:tab/>
      </w:r>
      <w:r w:rsidR="00B55750" w:rsidRPr="005100A9">
        <w:t>C.</w:t>
      </w:r>
      <w:r w:rsidR="00B55750" w:rsidRPr="005100A9">
        <w:tab/>
        <w:t>Conclusion</w:t>
      </w:r>
      <w:r w:rsidR="005100A9" w:rsidRPr="005100A9">
        <w:t xml:space="preserve"> </w:t>
      </w:r>
      <w:r w:rsidR="00B55750" w:rsidRPr="005100A9">
        <w:t>et</w:t>
      </w:r>
      <w:r w:rsidR="005100A9" w:rsidRPr="005100A9">
        <w:t xml:space="preserve"> </w:t>
      </w:r>
      <w:r w:rsidR="00B55750" w:rsidRPr="005100A9">
        <w:t>recommandations</w:t>
      </w:r>
    </w:p>
    <w:p w:rsidR="00B55750" w:rsidRPr="005100A9" w:rsidRDefault="00B55750" w:rsidP="00E63416">
      <w:pPr>
        <w:pStyle w:val="SingleTxtG"/>
      </w:pPr>
      <w:r w:rsidRPr="005100A9">
        <w:t>9.</w:t>
      </w:r>
      <w:r w:rsidRPr="005100A9">
        <w:tab/>
        <w:t>Le</w:t>
      </w:r>
      <w:r w:rsidR="005100A9" w:rsidRPr="005100A9">
        <w:t xml:space="preserve"> </w:t>
      </w:r>
      <w:r w:rsidRPr="005100A9">
        <w:t>Comité,</w:t>
      </w:r>
      <w:r w:rsidR="005100A9" w:rsidRPr="005100A9">
        <w:t xml:space="preserve"> </w:t>
      </w:r>
      <w:r w:rsidRPr="005100A9">
        <w:t>agissant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5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rapportant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Convention,</w:t>
      </w:r>
      <w:r w:rsidR="005100A9" w:rsidRPr="005100A9">
        <w:t xml:space="preserve"> </w:t>
      </w:r>
      <w:r w:rsidRPr="005100A9">
        <w:t>considère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manqué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obligations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lui</w:t>
      </w:r>
      <w:r w:rsidR="005100A9" w:rsidRPr="005100A9">
        <w:t xml:space="preserve"> </w:t>
      </w:r>
      <w:r w:rsidRPr="005100A9">
        <w:t>incombent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vertu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articles</w:t>
      </w:r>
      <w:r w:rsidR="005100A9" w:rsidRPr="005100A9">
        <w:t xml:space="preserve"> </w:t>
      </w:r>
      <w:r w:rsidRPr="005100A9">
        <w:t>5,</w:t>
      </w:r>
      <w:r w:rsidR="005100A9" w:rsidRPr="005100A9">
        <w:t xml:space="preserve"> </w:t>
      </w:r>
      <w:r w:rsidRPr="005100A9">
        <w:t>15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17,</w:t>
      </w:r>
      <w:r w:rsidR="005100A9" w:rsidRPr="005100A9">
        <w:t xml:space="preserve"> </w:t>
      </w:r>
      <w:r w:rsidRPr="005100A9">
        <w:t>lu</w:t>
      </w:r>
      <w:r w:rsidR="005100A9" w:rsidRPr="005100A9">
        <w:t xml:space="preserve"> </w:t>
      </w:r>
      <w:r w:rsidRPr="005100A9">
        <w:t>conjointement</w:t>
      </w:r>
      <w:r w:rsidR="005100A9" w:rsidRPr="005100A9">
        <w:t xml:space="preserve"> </w:t>
      </w:r>
      <w:r w:rsidRPr="005100A9">
        <w:t>avec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4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Convention.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conséquence,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adresse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recommandations</w:t>
      </w:r>
      <w:r w:rsidR="005100A9" w:rsidRPr="005100A9">
        <w:t xml:space="preserve"> </w:t>
      </w:r>
      <w:r w:rsidRPr="005100A9">
        <w:t>suivantes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E63416">
        <w:t> :</w:t>
      </w:r>
    </w:p>
    <w:p w:rsidR="00B55750" w:rsidRPr="005100A9" w:rsidRDefault="00B55750" w:rsidP="00994A86">
      <w:pPr>
        <w:pStyle w:val="SingleTxtG"/>
        <w:keepNext/>
        <w:ind w:firstLine="567"/>
      </w:pPr>
      <w:r w:rsidRPr="005100A9">
        <w:t>a)</w:t>
      </w:r>
      <w:r w:rsidRPr="005100A9">
        <w:tab/>
        <w:t>S</w:t>
      </w:r>
      <w:r w:rsidR="00A33279">
        <w:t>’</w:t>
      </w:r>
      <w:r w:rsidRPr="005100A9">
        <w:t>agissant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auteur,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obligation</w:t>
      </w:r>
      <w:r w:rsidR="005100A9" w:rsidRPr="005100A9">
        <w:t xml:space="preserve"> </w:t>
      </w:r>
      <w:r w:rsidRPr="005100A9">
        <w:t>de</w:t>
      </w:r>
      <w:r w:rsidR="00E63416">
        <w:t> :</w:t>
      </w:r>
    </w:p>
    <w:p w:rsidR="00B55750" w:rsidRPr="005100A9" w:rsidRDefault="00B55750" w:rsidP="00E63416">
      <w:pPr>
        <w:pStyle w:val="SingleTxtG"/>
        <w:ind w:left="1701"/>
      </w:pPr>
      <w:r w:rsidRPr="005100A9">
        <w:t>i)</w:t>
      </w:r>
      <w:r w:rsidRPr="005100A9">
        <w:tab/>
        <w:t>Lui</w:t>
      </w:r>
      <w:r w:rsidR="005100A9" w:rsidRPr="005100A9">
        <w:t xml:space="preserve"> </w:t>
      </w:r>
      <w:r w:rsidRPr="005100A9">
        <w:t>offrir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recours</w:t>
      </w:r>
      <w:r w:rsidR="005100A9" w:rsidRPr="005100A9">
        <w:t xml:space="preserve"> </w:t>
      </w:r>
      <w:r w:rsidRPr="005100A9">
        <w:t>utile,</w:t>
      </w:r>
      <w:r w:rsidR="005100A9" w:rsidRPr="005100A9">
        <w:t xml:space="preserve"> </w:t>
      </w:r>
      <w:r w:rsidRPr="005100A9">
        <w:t>y</w:t>
      </w:r>
      <w:r w:rsidR="005100A9" w:rsidRPr="005100A9">
        <w:t xml:space="preserve"> </w:t>
      </w:r>
      <w:r w:rsidRPr="005100A9">
        <w:t>compris</w:t>
      </w:r>
      <w:r w:rsidR="005100A9" w:rsidRPr="005100A9">
        <w:t xml:space="preserve"> </w:t>
      </w:r>
      <w:r w:rsidRPr="005100A9">
        <w:t>sous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forme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indemnisation,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réparation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préjudice</w:t>
      </w:r>
      <w:r w:rsidR="005100A9" w:rsidRPr="005100A9">
        <w:t xml:space="preserve"> </w:t>
      </w:r>
      <w:r w:rsidRPr="005100A9">
        <w:t>subi</w:t>
      </w:r>
      <w:r w:rsidR="005100A9" w:rsidRPr="005100A9">
        <w:t xml:space="preserve"> </w:t>
      </w:r>
      <w:r w:rsidRPr="005100A9">
        <w:t>ainsi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assistance</w:t>
      </w:r>
      <w:r w:rsidR="005100A9" w:rsidRPr="005100A9">
        <w:t xml:space="preserve"> </w:t>
      </w:r>
      <w:r w:rsidRPr="005100A9">
        <w:t>nécessaire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puisse</w:t>
      </w:r>
      <w:r w:rsidR="005100A9" w:rsidRPr="005100A9">
        <w:t xml:space="preserve"> </w:t>
      </w:r>
      <w:r w:rsidRPr="005100A9">
        <w:t>retrouver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autonomie</w:t>
      </w:r>
      <w:r w:rsidR="00E63416">
        <w:t> ;</w:t>
      </w:r>
    </w:p>
    <w:p w:rsidR="00B55750" w:rsidRPr="005100A9" w:rsidRDefault="00B55750" w:rsidP="00E63416">
      <w:pPr>
        <w:pStyle w:val="SingleTxtG"/>
        <w:ind w:left="1701"/>
      </w:pPr>
      <w:r w:rsidRPr="005100A9">
        <w:t>ii)</w:t>
      </w:r>
      <w:r w:rsidRPr="005100A9">
        <w:tab/>
        <w:t>Ouvrir</w:t>
      </w:r>
      <w:r w:rsidR="005100A9" w:rsidRPr="005100A9">
        <w:t xml:space="preserve"> </w:t>
      </w:r>
      <w:r w:rsidRPr="005100A9">
        <w:t>sans</w:t>
      </w:r>
      <w:r w:rsidR="005100A9" w:rsidRPr="005100A9">
        <w:t xml:space="preserve"> </w:t>
      </w:r>
      <w:r w:rsidRPr="005100A9">
        <w:t>délai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enquête</w:t>
      </w:r>
      <w:r w:rsidR="005100A9" w:rsidRPr="005100A9">
        <w:t xml:space="preserve"> </w:t>
      </w:r>
      <w:r w:rsidRPr="005100A9">
        <w:t>impartiale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efficace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agression</w:t>
      </w:r>
      <w:r w:rsidR="005100A9" w:rsidRPr="005100A9">
        <w:t xml:space="preserve"> </w:t>
      </w:r>
      <w:r w:rsidRPr="005100A9">
        <w:t>dont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a</w:t>
      </w:r>
      <w:r w:rsidR="005100A9" w:rsidRPr="005100A9">
        <w:t xml:space="preserve"> </w:t>
      </w:r>
      <w:r w:rsidRPr="005100A9">
        <w:t>été</w:t>
      </w:r>
      <w:r w:rsidR="005100A9" w:rsidRPr="005100A9">
        <w:t xml:space="preserve"> </w:t>
      </w:r>
      <w:r w:rsidRPr="005100A9">
        <w:t>victime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poursuivre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responsables</w:t>
      </w:r>
      <w:r w:rsidR="00E63416">
        <w:t> ;</w:t>
      </w:r>
      <w:r w:rsidR="005100A9" w:rsidRPr="005100A9">
        <w:t xml:space="preserve"> </w:t>
      </w:r>
    </w:p>
    <w:p w:rsidR="00B55750" w:rsidRPr="005100A9" w:rsidRDefault="00B55750" w:rsidP="00E63416">
      <w:pPr>
        <w:pStyle w:val="SingleTxtG"/>
        <w:ind w:left="1701"/>
      </w:pPr>
      <w:r w:rsidRPr="005100A9">
        <w:t>iii)</w:t>
      </w:r>
      <w:r w:rsidRPr="005100A9">
        <w:tab/>
        <w:t>Rendre</w:t>
      </w:r>
      <w:r w:rsidR="005100A9" w:rsidRPr="005100A9">
        <w:t xml:space="preserve"> </w:t>
      </w:r>
      <w:r w:rsidRPr="005100A9">
        <w:t>publiques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présentes</w:t>
      </w:r>
      <w:r w:rsidR="005100A9" w:rsidRPr="005100A9">
        <w:t xml:space="preserve"> </w:t>
      </w:r>
      <w:r w:rsidRPr="005100A9">
        <w:t>constatations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diffuser</w:t>
      </w:r>
      <w:r w:rsidR="005100A9" w:rsidRPr="005100A9">
        <w:t xml:space="preserve"> </w:t>
      </w:r>
      <w:r w:rsidRPr="005100A9">
        <w:t>largement,</w:t>
      </w:r>
      <w:r w:rsidR="005100A9" w:rsidRPr="005100A9">
        <w:t xml:space="preserve"> </w:t>
      </w:r>
      <w:r w:rsidRPr="005100A9">
        <w:t>sous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formes</w:t>
      </w:r>
      <w:r w:rsidR="005100A9" w:rsidRPr="005100A9">
        <w:t xml:space="preserve"> </w:t>
      </w:r>
      <w:r w:rsidRPr="005100A9">
        <w:t>accessibles,</w:t>
      </w:r>
      <w:r w:rsidR="005100A9" w:rsidRPr="005100A9">
        <w:t xml:space="preserve"> </w:t>
      </w:r>
      <w:r w:rsidRPr="005100A9">
        <w:t>auprès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tous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secteurs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="0096563E">
        <w:t>population ;</w:t>
      </w:r>
    </w:p>
    <w:p w:rsidR="00B55750" w:rsidRPr="005100A9" w:rsidRDefault="00B55750" w:rsidP="00994A86">
      <w:pPr>
        <w:pStyle w:val="SingleTxtG"/>
        <w:keepNext/>
        <w:ind w:firstLine="567"/>
      </w:pPr>
      <w:r w:rsidRPr="005100A9">
        <w:t>b)</w:t>
      </w:r>
      <w:r w:rsidRPr="005100A9">
        <w:tab/>
        <w:t>D</w:t>
      </w:r>
      <w:r w:rsidR="00A33279">
        <w:t>’</w:t>
      </w:r>
      <w:r w:rsidRPr="005100A9">
        <w:t>une</w:t>
      </w:r>
      <w:r w:rsidR="005100A9" w:rsidRPr="005100A9">
        <w:t xml:space="preserve"> </w:t>
      </w:r>
      <w:r w:rsidRPr="005100A9">
        <w:t>façon</w:t>
      </w:r>
      <w:r w:rsidR="005100A9" w:rsidRPr="005100A9">
        <w:t xml:space="preserve"> </w:t>
      </w:r>
      <w:r w:rsidRPr="005100A9">
        <w:t>générale,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tenu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prendre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empêcher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violations</w:t>
      </w:r>
      <w:r w:rsidR="005100A9" w:rsidRPr="005100A9">
        <w:t xml:space="preserve"> </w:t>
      </w:r>
      <w:r w:rsidRPr="005100A9">
        <w:t>analogues</w:t>
      </w:r>
      <w:r w:rsidR="005100A9" w:rsidRPr="005100A9">
        <w:t xml:space="preserve"> </w:t>
      </w:r>
      <w:r w:rsidRPr="005100A9">
        <w:t>ne</w:t>
      </w:r>
      <w:r w:rsidR="005100A9" w:rsidRPr="005100A9">
        <w:t xml:space="preserve"> </w:t>
      </w:r>
      <w:r w:rsidRPr="005100A9">
        <w:t>se</w:t>
      </w:r>
      <w:r w:rsidR="005100A9" w:rsidRPr="005100A9">
        <w:t xml:space="preserve"> </w:t>
      </w:r>
      <w:r w:rsidRPr="005100A9">
        <w:t>reproduisent.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propos,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Comité</w:t>
      </w:r>
      <w:r w:rsidR="005100A9" w:rsidRPr="005100A9">
        <w:t xml:space="preserve"> </w:t>
      </w:r>
      <w:r w:rsidRPr="005100A9">
        <w:t>renvoie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recommandations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Expert</w:t>
      </w:r>
      <w:r w:rsidR="005100A9" w:rsidRPr="005100A9">
        <w:t xml:space="preserve"> </w:t>
      </w:r>
      <w:r w:rsidRPr="005100A9">
        <w:t>indépendant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Pr="005100A9">
        <w:rPr>
          <w:rStyle w:val="Appelnotedebasdep"/>
        </w:rPr>
        <w:footnoteReference w:id="35"/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prie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prendre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mesures</w:t>
      </w:r>
      <w:r w:rsidR="005100A9" w:rsidRPr="005100A9">
        <w:t xml:space="preserve"> </w:t>
      </w:r>
      <w:r w:rsidRPr="005100A9">
        <w:t>ci-après</w:t>
      </w:r>
      <w:r w:rsidR="00E63416">
        <w:t> :</w:t>
      </w:r>
    </w:p>
    <w:p w:rsidR="00B55750" w:rsidRPr="005100A9" w:rsidRDefault="00B55750" w:rsidP="00E63416">
      <w:pPr>
        <w:pStyle w:val="SingleTxtG"/>
        <w:ind w:left="1701"/>
      </w:pPr>
      <w:r w:rsidRPr="005100A9">
        <w:t>i)</w:t>
      </w:r>
      <w:r w:rsidRPr="005100A9">
        <w:tab/>
        <w:t>Revoir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cadres</w:t>
      </w:r>
      <w:r w:rsidR="005100A9" w:rsidRPr="005100A9">
        <w:t xml:space="preserve"> </w:t>
      </w:r>
      <w:r w:rsidRPr="005100A9">
        <w:t>juridiques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adapter</w:t>
      </w:r>
      <w:r w:rsidR="005100A9" w:rsidRPr="005100A9">
        <w:t xml:space="preserve"> </w:t>
      </w:r>
      <w:r w:rsidRPr="005100A9">
        <w:t>selon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nécessaire</w:t>
      </w:r>
      <w:r w:rsidR="005100A9" w:rsidRPr="005100A9">
        <w:t xml:space="preserve"> </w:t>
      </w:r>
      <w:r w:rsidRPr="005100A9">
        <w:t>pour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ils</w:t>
      </w:r>
      <w:r w:rsidR="005100A9" w:rsidRPr="005100A9">
        <w:t xml:space="preserve"> </w:t>
      </w:r>
      <w:r w:rsidRPr="005100A9">
        <w:t>englobent</w:t>
      </w:r>
      <w:r w:rsidR="005100A9" w:rsidRPr="005100A9">
        <w:t xml:space="preserve"> </w:t>
      </w:r>
      <w:r w:rsidRPr="005100A9">
        <w:t>tous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aspects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agressions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albinisme,</w:t>
      </w:r>
      <w:r w:rsidR="005100A9" w:rsidRPr="005100A9">
        <w:t xml:space="preserve"> </w:t>
      </w:r>
      <w:r w:rsidRPr="005100A9">
        <w:t>notamment</w:t>
      </w:r>
      <w:r w:rsidR="005100A9" w:rsidRPr="005100A9">
        <w:t xml:space="preserve"> </w:t>
      </w:r>
      <w:r w:rsidRPr="005100A9">
        <w:t>en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qui</w:t>
      </w:r>
      <w:r w:rsidR="005100A9" w:rsidRPr="005100A9">
        <w:t xml:space="preserve"> </w:t>
      </w:r>
      <w:r w:rsidRPr="005100A9">
        <w:t>concerne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trafic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parties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corps</w:t>
      </w:r>
      <w:r w:rsidR="00E63416">
        <w:t> ;</w:t>
      </w:r>
      <w:r w:rsidR="005100A9" w:rsidRPr="005100A9">
        <w:t xml:space="preserve"> </w:t>
      </w:r>
    </w:p>
    <w:p w:rsidR="00B55750" w:rsidRPr="005100A9" w:rsidRDefault="00B55750" w:rsidP="00E63416">
      <w:pPr>
        <w:pStyle w:val="SingleTxtG"/>
        <w:ind w:left="1701"/>
      </w:pPr>
      <w:r w:rsidRPr="005100A9">
        <w:t>ii)</w:t>
      </w:r>
      <w:r w:rsidRPr="005100A9">
        <w:tab/>
        <w:t>Veiller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agressions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trafic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parties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corps</w:t>
      </w:r>
      <w:r w:rsidR="005100A9" w:rsidRPr="005100A9">
        <w:t xml:space="preserve"> </w:t>
      </w:r>
      <w:r w:rsidRPr="005100A9">
        <w:t>donnent</w:t>
      </w:r>
      <w:r w:rsidR="005100A9" w:rsidRPr="005100A9">
        <w:t xml:space="preserve"> </w:t>
      </w:r>
      <w:r w:rsidRPr="005100A9">
        <w:t>rapidement</w:t>
      </w:r>
      <w:r w:rsidR="005100A9" w:rsidRPr="005100A9">
        <w:t xml:space="preserve"> </w:t>
      </w:r>
      <w:r w:rsidRPr="005100A9">
        <w:t>lieu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enquêtes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poursuites</w:t>
      </w:r>
      <w:r w:rsidR="00E63416">
        <w:t> ;</w:t>
      </w:r>
      <w:r w:rsidR="005100A9" w:rsidRPr="005100A9">
        <w:t xml:space="preserve"> </w:t>
      </w:r>
    </w:p>
    <w:p w:rsidR="00B55750" w:rsidRPr="005100A9" w:rsidRDefault="00B55750" w:rsidP="00E63416">
      <w:pPr>
        <w:pStyle w:val="SingleTxtG"/>
        <w:ind w:left="1701"/>
      </w:pPr>
      <w:r w:rsidRPr="005100A9">
        <w:t>iii)</w:t>
      </w:r>
      <w:r w:rsidRPr="005100A9">
        <w:tab/>
        <w:t>Veiller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ce</w:t>
      </w:r>
      <w:r w:rsidR="005100A9" w:rsidRPr="005100A9">
        <w:t xml:space="preserve"> </w:t>
      </w:r>
      <w:r w:rsidRPr="005100A9">
        <w:t>que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utilisation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parties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corps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cadre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pratiques</w:t>
      </w:r>
      <w:r w:rsidR="005100A9" w:rsidRPr="005100A9">
        <w:t xml:space="preserve"> </w:t>
      </w:r>
      <w:r w:rsidRPr="005100A9">
        <w:t>liées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sorcellerie</w:t>
      </w:r>
      <w:r w:rsidR="005100A9" w:rsidRPr="005100A9">
        <w:t xml:space="preserve"> </w:t>
      </w:r>
      <w:r w:rsidRPr="005100A9">
        <w:t>soit</w:t>
      </w:r>
      <w:r w:rsidR="005100A9" w:rsidRPr="005100A9">
        <w:t xml:space="preserve"> </w:t>
      </w:r>
      <w:r w:rsidRPr="005100A9">
        <w:t>définie</w:t>
      </w:r>
      <w:r w:rsidR="005100A9" w:rsidRPr="005100A9">
        <w:t xml:space="preserve"> </w:t>
      </w:r>
      <w:r w:rsidRPr="005100A9">
        <w:t>adéquatement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sans</w:t>
      </w:r>
      <w:r w:rsidR="005100A9" w:rsidRPr="005100A9">
        <w:t xml:space="preserve"> </w:t>
      </w:r>
      <w:r w:rsidRPr="005100A9">
        <w:t>ambiguïté</w:t>
      </w:r>
      <w:r w:rsidR="005100A9" w:rsidRPr="005100A9">
        <w:t xml:space="preserve"> </w:t>
      </w:r>
      <w:r w:rsidRPr="005100A9">
        <w:t>comme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infraction</w:t>
      </w:r>
      <w:r w:rsidR="005100A9" w:rsidRPr="005100A9">
        <w:t xml:space="preserve"> </w:t>
      </w:r>
      <w:r w:rsidRPr="005100A9">
        <w:t>pénale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le</w:t>
      </w:r>
      <w:r w:rsidR="005100A9" w:rsidRPr="005100A9">
        <w:t xml:space="preserve"> </w:t>
      </w:r>
      <w:r w:rsidRPr="005100A9">
        <w:t>droit</w:t>
      </w:r>
      <w:r w:rsidR="005100A9" w:rsidRPr="005100A9">
        <w:t xml:space="preserve"> </w:t>
      </w:r>
      <w:r w:rsidRPr="005100A9">
        <w:t>interne</w:t>
      </w:r>
      <w:r w:rsidR="00E63416">
        <w:t> ;</w:t>
      </w:r>
      <w:r w:rsidR="005100A9" w:rsidRPr="005100A9">
        <w:t xml:space="preserve"> </w:t>
      </w:r>
    </w:p>
    <w:p w:rsidR="00B55750" w:rsidRPr="005100A9" w:rsidRDefault="00B55750" w:rsidP="00E63416">
      <w:pPr>
        <w:pStyle w:val="SingleTxtG"/>
        <w:ind w:left="1701"/>
      </w:pPr>
      <w:r w:rsidRPr="005100A9">
        <w:t>iv)</w:t>
      </w:r>
      <w:r w:rsidRPr="005100A9">
        <w:tab/>
        <w:t>Élaborer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lancer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campagnes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sensibilisation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long</w:t>
      </w:r>
      <w:r w:rsidR="005100A9" w:rsidRPr="005100A9">
        <w:t xml:space="preserve"> </w:t>
      </w:r>
      <w:r w:rsidRPr="005100A9">
        <w:t>terme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formations</w:t>
      </w:r>
      <w:r w:rsidR="005100A9" w:rsidRPr="005100A9">
        <w:t xml:space="preserve"> </w:t>
      </w:r>
      <w:r w:rsidRPr="005100A9">
        <w:t>reposant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approche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handicap</w:t>
      </w:r>
      <w:r w:rsidR="005100A9" w:rsidRPr="005100A9">
        <w:t xml:space="preserve"> </w:t>
      </w:r>
      <w:r w:rsidRPr="005100A9">
        <w:t>fondée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répondant</w:t>
      </w:r>
      <w:r w:rsidR="005100A9" w:rsidRPr="005100A9">
        <w:t xml:space="preserve"> </w:t>
      </w:r>
      <w:r w:rsidRPr="005100A9">
        <w:t>aux</w:t>
      </w:r>
      <w:r w:rsidR="005100A9" w:rsidRPr="005100A9">
        <w:t xml:space="preserve"> </w:t>
      </w:r>
      <w:r w:rsidRPr="005100A9">
        <w:t>obligations</w:t>
      </w:r>
      <w:r w:rsidR="005100A9" w:rsidRPr="005100A9">
        <w:t xml:space="preserve"> </w:t>
      </w:r>
      <w:r w:rsidRPr="005100A9">
        <w:t>prévues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8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Convention,</w:t>
      </w:r>
      <w:r w:rsidR="005100A9" w:rsidRPr="005100A9">
        <w:t xml:space="preserve"> </w:t>
      </w:r>
      <w:r w:rsidRPr="005100A9">
        <w:t>afin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lutter</w:t>
      </w:r>
      <w:r w:rsidR="005100A9" w:rsidRPr="005100A9">
        <w:t xml:space="preserve"> </w:t>
      </w:r>
      <w:r w:rsidRPr="005100A9">
        <w:t>contre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pratiques</w:t>
      </w:r>
      <w:r w:rsidR="005100A9" w:rsidRPr="005100A9">
        <w:t xml:space="preserve"> </w:t>
      </w:r>
      <w:r w:rsidRPr="005100A9">
        <w:t>néfastes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superstitions</w:t>
      </w:r>
      <w:r w:rsidR="005100A9" w:rsidRPr="005100A9">
        <w:t xml:space="preserve"> </w:t>
      </w:r>
      <w:r w:rsidRPr="005100A9">
        <w:t>répandues</w:t>
      </w:r>
      <w:r w:rsidR="005100A9" w:rsidRPr="005100A9">
        <w:t xml:space="preserve"> </w:t>
      </w:r>
      <w:r w:rsidRPr="005100A9">
        <w:t>entravant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exercice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droits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homme</w:t>
      </w:r>
      <w:r w:rsidR="005100A9" w:rsidRPr="005100A9">
        <w:t xml:space="preserve"> </w:t>
      </w:r>
      <w:r w:rsidRPr="005100A9">
        <w:t>par</w:t>
      </w:r>
      <w:r w:rsidR="005100A9" w:rsidRPr="005100A9">
        <w:t xml:space="preserve"> </w:t>
      </w:r>
      <w:r w:rsidRPr="005100A9">
        <w:t>les</w:t>
      </w:r>
      <w:r w:rsidR="005100A9" w:rsidRPr="005100A9">
        <w:t xml:space="preserve"> </w:t>
      </w:r>
      <w:r w:rsidRPr="005100A9">
        <w:t>personnes</w:t>
      </w:r>
      <w:r w:rsidR="005100A9" w:rsidRPr="005100A9">
        <w:t xml:space="preserve"> </w:t>
      </w:r>
      <w:r w:rsidRPr="005100A9">
        <w:t>atteintes</w:t>
      </w:r>
      <w:r w:rsidR="005100A9" w:rsidRPr="005100A9">
        <w:t xml:space="preserve"> </w:t>
      </w:r>
      <w:r w:rsidRPr="005100A9">
        <w:t>d</w:t>
      </w:r>
      <w:r w:rsidR="00A33279">
        <w:t>’</w:t>
      </w:r>
      <w:r w:rsidRPr="005100A9">
        <w:t>albinisme,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dispenser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formations</w:t>
      </w:r>
      <w:r w:rsidR="005100A9" w:rsidRPr="005100A9">
        <w:t xml:space="preserve"> </w:t>
      </w:r>
      <w:r w:rsidRPr="005100A9">
        <w:t>sur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portée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Convention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son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facultatif.</w:t>
      </w:r>
    </w:p>
    <w:p w:rsidR="00B55750" w:rsidRPr="005100A9" w:rsidRDefault="00B55750" w:rsidP="00E63416">
      <w:pPr>
        <w:pStyle w:val="SingleTxtG"/>
      </w:pPr>
      <w:r w:rsidRPr="005100A9">
        <w:t>10.</w:t>
      </w:r>
      <w:r w:rsidRPr="005100A9">
        <w:tab/>
        <w:t>Conformément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5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Protocole</w:t>
      </w:r>
      <w:r w:rsidR="005100A9" w:rsidRPr="005100A9">
        <w:t xml:space="preserve"> </w:t>
      </w:r>
      <w:r w:rsidRPr="005100A9">
        <w:t>facultatif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article</w:t>
      </w:r>
      <w:r w:rsidR="005100A9" w:rsidRPr="005100A9">
        <w:t xml:space="preserve"> </w:t>
      </w:r>
      <w:r w:rsidRPr="005100A9">
        <w:t>75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="00994A86" w:rsidRPr="005100A9">
        <w:t xml:space="preserve">Règlement </w:t>
      </w:r>
      <w:r w:rsidRPr="005100A9">
        <w:t>intérieur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Comité,</w:t>
      </w:r>
      <w:r w:rsidR="005100A9" w:rsidRPr="005100A9">
        <w:t xml:space="preserve"> </w:t>
      </w:r>
      <w:r w:rsidRPr="005100A9">
        <w:t>l</w:t>
      </w:r>
      <w:r w:rsidR="00A33279">
        <w:t>’</w:t>
      </w:r>
      <w:r w:rsidRPr="005100A9">
        <w:t>État</w:t>
      </w:r>
      <w:r w:rsidR="005100A9" w:rsidRPr="005100A9">
        <w:t xml:space="preserve"> </w:t>
      </w:r>
      <w:r w:rsidRPr="005100A9">
        <w:t>partie</w:t>
      </w:r>
      <w:r w:rsidR="005100A9" w:rsidRPr="005100A9">
        <w:t xml:space="preserve"> </w:t>
      </w:r>
      <w:r w:rsidRPr="005100A9">
        <w:t>est</w:t>
      </w:r>
      <w:r w:rsidR="005100A9" w:rsidRPr="005100A9">
        <w:t xml:space="preserve"> </w:t>
      </w:r>
      <w:r w:rsidRPr="005100A9">
        <w:t>invité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soumettre</w:t>
      </w:r>
      <w:r w:rsidR="005100A9" w:rsidRPr="005100A9">
        <w:t xml:space="preserve"> </w:t>
      </w:r>
      <w:r w:rsidRPr="005100A9">
        <w:t>au</w:t>
      </w:r>
      <w:r w:rsidR="005100A9" w:rsidRPr="005100A9">
        <w:t xml:space="preserve"> </w:t>
      </w:r>
      <w:r w:rsidRPr="005100A9">
        <w:t>Comité,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un</w:t>
      </w:r>
      <w:r w:rsidR="005100A9" w:rsidRPr="005100A9">
        <w:t xml:space="preserve"> </w:t>
      </w:r>
      <w:r w:rsidRPr="005100A9">
        <w:t>délai</w:t>
      </w:r>
      <w:r w:rsidR="005100A9" w:rsidRPr="005100A9">
        <w:t xml:space="preserve"> </w:t>
      </w:r>
      <w:r w:rsidRPr="005100A9">
        <w:t>de</w:t>
      </w:r>
      <w:r w:rsidR="005100A9" w:rsidRPr="005100A9">
        <w:t xml:space="preserve"> </w:t>
      </w:r>
      <w:r w:rsidRPr="005100A9">
        <w:t>six</w:t>
      </w:r>
      <w:r w:rsidR="005100A9" w:rsidRPr="005100A9">
        <w:t xml:space="preserve"> </w:t>
      </w:r>
      <w:r w:rsidRPr="005100A9">
        <w:t>mois,</w:t>
      </w:r>
      <w:r w:rsidR="005100A9" w:rsidRPr="005100A9">
        <w:t xml:space="preserve"> </w:t>
      </w:r>
      <w:r w:rsidRPr="005100A9">
        <w:t>une</w:t>
      </w:r>
      <w:r w:rsidR="005100A9" w:rsidRPr="005100A9">
        <w:t xml:space="preserve"> </w:t>
      </w:r>
      <w:r w:rsidRPr="005100A9">
        <w:t>réponse</w:t>
      </w:r>
      <w:r w:rsidR="005100A9" w:rsidRPr="005100A9">
        <w:t xml:space="preserve"> </w:t>
      </w:r>
      <w:r w:rsidRPr="005100A9">
        <w:t>écrite,</w:t>
      </w:r>
      <w:r w:rsidR="005100A9" w:rsidRPr="005100A9">
        <w:t xml:space="preserve"> </w:t>
      </w:r>
      <w:r w:rsidRPr="005100A9">
        <w:t>dans</w:t>
      </w:r>
      <w:r w:rsidR="005100A9" w:rsidRPr="005100A9">
        <w:t xml:space="preserve"> </w:t>
      </w:r>
      <w:r w:rsidRPr="005100A9">
        <w:t>laquelle</w:t>
      </w:r>
      <w:r w:rsidR="005100A9" w:rsidRPr="005100A9">
        <w:t xml:space="preserve"> </w:t>
      </w:r>
      <w:r w:rsidRPr="005100A9">
        <w:t>il</w:t>
      </w:r>
      <w:r w:rsidR="005100A9" w:rsidRPr="005100A9">
        <w:t xml:space="preserve"> </w:t>
      </w:r>
      <w:r w:rsidRPr="005100A9">
        <w:t>indiquera</w:t>
      </w:r>
      <w:r w:rsidR="005100A9" w:rsidRPr="005100A9">
        <w:t xml:space="preserve"> </w:t>
      </w:r>
      <w:r w:rsidRPr="005100A9">
        <w:t>toute</w:t>
      </w:r>
      <w:r w:rsidR="005100A9" w:rsidRPr="005100A9">
        <w:t xml:space="preserve"> </w:t>
      </w:r>
      <w:r w:rsidRPr="005100A9">
        <w:t>mesure</w:t>
      </w:r>
      <w:r w:rsidR="005100A9" w:rsidRPr="005100A9">
        <w:t xml:space="preserve"> </w:t>
      </w:r>
      <w:r w:rsidRPr="005100A9">
        <w:t>qu</w:t>
      </w:r>
      <w:r w:rsidR="00A33279">
        <w:t>’</w:t>
      </w:r>
      <w:r w:rsidRPr="005100A9">
        <w:t>il</w:t>
      </w:r>
      <w:r w:rsidR="005100A9" w:rsidRPr="005100A9">
        <w:t xml:space="preserve"> </w:t>
      </w:r>
      <w:r w:rsidRPr="005100A9">
        <w:t>aura</w:t>
      </w:r>
      <w:r w:rsidR="005100A9" w:rsidRPr="005100A9">
        <w:t xml:space="preserve"> </w:t>
      </w:r>
      <w:r w:rsidRPr="005100A9">
        <w:t>prise</w:t>
      </w:r>
      <w:r w:rsidR="005100A9" w:rsidRPr="005100A9">
        <w:t xml:space="preserve"> </w:t>
      </w:r>
      <w:r w:rsidRPr="005100A9">
        <w:t>à</w:t>
      </w:r>
      <w:r w:rsidR="005100A9" w:rsidRPr="005100A9">
        <w:t xml:space="preserve"> </w:t>
      </w:r>
      <w:r w:rsidRPr="005100A9">
        <w:t>la</w:t>
      </w:r>
      <w:r w:rsidR="005100A9" w:rsidRPr="005100A9">
        <w:t xml:space="preserve"> </w:t>
      </w:r>
      <w:r w:rsidRPr="005100A9">
        <w:t>lumière</w:t>
      </w:r>
      <w:r w:rsidR="005100A9" w:rsidRPr="005100A9">
        <w:t xml:space="preserve"> </w:t>
      </w:r>
      <w:r w:rsidRPr="005100A9">
        <w:t>des</w:t>
      </w:r>
      <w:r w:rsidR="005100A9" w:rsidRPr="005100A9">
        <w:t xml:space="preserve"> </w:t>
      </w:r>
      <w:r w:rsidRPr="005100A9">
        <w:t>présentes</w:t>
      </w:r>
      <w:r w:rsidR="005100A9" w:rsidRPr="005100A9">
        <w:t xml:space="preserve"> </w:t>
      </w:r>
      <w:r w:rsidRPr="005100A9">
        <w:t>constatations</w:t>
      </w:r>
      <w:r w:rsidR="005100A9" w:rsidRPr="005100A9">
        <w:t xml:space="preserve"> </w:t>
      </w:r>
      <w:r w:rsidRPr="005100A9">
        <w:t>et</w:t>
      </w:r>
      <w:r w:rsidR="005100A9" w:rsidRPr="005100A9">
        <w:t xml:space="preserve"> </w:t>
      </w:r>
      <w:r w:rsidRPr="005100A9">
        <w:t>recommandations</w:t>
      </w:r>
      <w:r w:rsidR="005100A9" w:rsidRPr="005100A9">
        <w:t xml:space="preserve"> </w:t>
      </w:r>
      <w:r w:rsidRPr="005100A9">
        <w:t>du</w:t>
      </w:r>
      <w:r w:rsidR="005100A9" w:rsidRPr="005100A9">
        <w:t xml:space="preserve"> </w:t>
      </w:r>
      <w:r w:rsidRPr="005100A9">
        <w:t>Comité.</w:t>
      </w:r>
    </w:p>
    <w:p w:rsidR="00055743" w:rsidRPr="005100A9" w:rsidRDefault="00B55750" w:rsidP="00B55750">
      <w:pPr>
        <w:pStyle w:val="SingleTxtG"/>
        <w:spacing w:before="240" w:after="0"/>
        <w:jc w:val="center"/>
        <w:rPr>
          <w:u w:val="single"/>
        </w:rPr>
      </w:pPr>
      <w:r w:rsidRPr="005100A9">
        <w:rPr>
          <w:u w:val="single"/>
        </w:rPr>
        <w:tab/>
      </w:r>
      <w:r w:rsidRPr="005100A9">
        <w:rPr>
          <w:u w:val="single"/>
        </w:rPr>
        <w:tab/>
      </w:r>
      <w:r w:rsidRPr="005100A9">
        <w:rPr>
          <w:u w:val="single"/>
        </w:rPr>
        <w:tab/>
      </w:r>
    </w:p>
    <w:sectPr w:rsidR="00055743" w:rsidRPr="005100A9" w:rsidSect="00D030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79" w:rsidRDefault="00A33279" w:rsidP="00F95C08">
      <w:pPr>
        <w:spacing w:line="240" w:lineRule="auto"/>
      </w:pPr>
    </w:p>
  </w:endnote>
  <w:endnote w:type="continuationSeparator" w:id="0">
    <w:p w:rsidR="00A33279" w:rsidRPr="00AC3823" w:rsidRDefault="00A33279" w:rsidP="00AC3823">
      <w:pPr>
        <w:pStyle w:val="Pieddepage"/>
      </w:pPr>
    </w:p>
  </w:endnote>
  <w:endnote w:type="continuationNotice" w:id="1">
    <w:p w:rsidR="00A33279" w:rsidRDefault="00A332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79" w:rsidRPr="00D03025" w:rsidRDefault="00A33279" w:rsidP="00D03025">
    <w:pPr>
      <w:pStyle w:val="Pieddepage"/>
      <w:tabs>
        <w:tab w:val="right" w:pos="9638"/>
      </w:tabs>
    </w:pPr>
    <w:r w:rsidRPr="00D03025">
      <w:rPr>
        <w:b/>
        <w:sz w:val="18"/>
      </w:rPr>
      <w:fldChar w:fldCharType="begin"/>
    </w:r>
    <w:r w:rsidRPr="00D03025">
      <w:rPr>
        <w:b/>
        <w:sz w:val="18"/>
      </w:rPr>
      <w:instrText xml:space="preserve"> PAGE  \* MERGEFORMAT </w:instrText>
    </w:r>
    <w:r w:rsidRPr="00D03025">
      <w:rPr>
        <w:b/>
        <w:sz w:val="18"/>
      </w:rPr>
      <w:fldChar w:fldCharType="separate"/>
    </w:r>
    <w:r w:rsidR="009C2976">
      <w:rPr>
        <w:b/>
        <w:noProof/>
        <w:sz w:val="18"/>
      </w:rPr>
      <w:t>2</w:t>
    </w:r>
    <w:r w:rsidRPr="00D03025">
      <w:rPr>
        <w:b/>
        <w:sz w:val="18"/>
      </w:rPr>
      <w:fldChar w:fldCharType="end"/>
    </w:r>
    <w:r>
      <w:rPr>
        <w:b/>
        <w:sz w:val="18"/>
      </w:rPr>
      <w:tab/>
    </w:r>
    <w:r>
      <w:t>GE.17-17526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79" w:rsidRPr="00D03025" w:rsidRDefault="00A33279" w:rsidP="00D03025">
    <w:pPr>
      <w:pStyle w:val="Pieddepage"/>
      <w:tabs>
        <w:tab w:val="right" w:pos="9638"/>
      </w:tabs>
      <w:rPr>
        <w:b/>
        <w:sz w:val="18"/>
      </w:rPr>
    </w:pPr>
    <w:r>
      <w:t>GE.17-17526</w:t>
    </w:r>
    <w:r>
      <w:tab/>
    </w:r>
    <w:r w:rsidRPr="00D03025">
      <w:rPr>
        <w:b/>
        <w:sz w:val="18"/>
      </w:rPr>
      <w:fldChar w:fldCharType="begin"/>
    </w:r>
    <w:r w:rsidRPr="00D03025">
      <w:rPr>
        <w:b/>
        <w:sz w:val="18"/>
      </w:rPr>
      <w:instrText xml:space="preserve"> PAGE  \* MERGEFORMAT </w:instrText>
    </w:r>
    <w:r w:rsidRPr="00D03025">
      <w:rPr>
        <w:b/>
        <w:sz w:val="18"/>
      </w:rPr>
      <w:fldChar w:fldCharType="separate"/>
    </w:r>
    <w:r w:rsidR="0060617D">
      <w:rPr>
        <w:b/>
        <w:noProof/>
        <w:sz w:val="18"/>
      </w:rPr>
      <w:t>11</w:t>
    </w:r>
    <w:r w:rsidRPr="00D030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79" w:rsidRPr="00D03025" w:rsidRDefault="00A33279" w:rsidP="00D03025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69A6CF5" wp14:editId="5D52D6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17-17526  (F)    301117    011217</w:t>
    </w:r>
    <w:r>
      <w:rPr>
        <w:sz w:val="20"/>
      </w:rPr>
      <w:br/>
    </w:r>
    <w:r w:rsidRPr="00D03025">
      <w:rPr>
        <w:rFonts w:ascii="C39T30Lfz" w:hAnsi="C39T30Lfz"/>
        <w:sz w:val="56"/>
      </w:rPr>
      <w:t></w:t>
    </w:r>
    <w:r w:rsidRPr="00D03025">
      <w:rPr>
        <w:rFonts w:ascii="C39T30Lfz" w:hAnsi="C39T30Lfz"/>
        <w:sz w:val="56"/>
      </w:rPr>
      <w:t></w:t>
    </w:r>
    <w:r w:rsidRPr="00D03025">
      <w:rPr>
        <w:rFonts w:ascii="C39T30Lfz" w:hAnsi="C39T30Lfz"/>
        <w:sz w:val="56"/>
      </w:rPr>
      <w:t></w:t>
    </w:r>
    <w:r w:rsidRPr="00D03025">
      <w:rPr>
        <w:rFonts w:ascii="C39T30Lfz" w:hAnsi="C39T30Lfz"/>
        <w:sz w:val="56"/>
      </w:rPr>
      <w:t></w:t>
    </w:r>
    <w:r w:rsidRPr="00D03025">
      <w:rPr>
        <w:rFonts w:ascii="C39T30Lfz" w:hAnsi="C39T30Lfz"/>
        <w:sz w:val="56"/>
      </w:rPr>
      <w:t></w:t>
    </w:r>
    <w:r w:rsidRPr="00D03025">
      <w:rPr>
        <w:rFonts w:ascii="C39T30Lfz" w:hAnsi="C39T30Lfz"/>
        <w:sz w:val="56"/>
      </w:rPr>
      <w:t></w:t>
    </w:r>
    <w:r w:rsidRPr="00D03025">
      <w:rPr>
        <w:rFonts w:ascii="C39T30Lfz" w:hAnsi="C39T30Lfz"/>
        <w:sz w:val="56"/>
      </w:rPr>
      <w:t></w:t>
    </w:r>
    <w:r w:rsidRPr="00D03025">
      <w:rPr>
        <w:rFonts w:ascii="C39T30Lfz" w:hAnsi="C39T30Lfz"/>
        <w:sz w:val="56"/>
      </w:rPr>
      <w:t></w:t>
    </w:r>
    <w:r w:rsidRPr="00D0302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RPD/C/18/D/22/20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18/D/22/20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79" w:rsidRPr="00AC3823" w:rsidRDefault="00A3327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3279" w:rsidRPr="00AC3823" w:rsidRDefault="00A3327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33279" w:rsidRPr="00AC3823" w:rsidRDefault="00A33279">
      <w:pPr>
        <w:spacing w:line="240" w:lineRule="auto"/>
        <w:rPr>
          <w:sz w:val="2"/>
          <w:szCs w:val="2"/>
        </w:rPr>
      </w:pPr>
    </w:p>
  </w:footnote>
  <w:footnote w:id="2">
    <w:p w:rsidR="00A33279" w:rsidRPr="005100A9" w:rsidRDefault="00A33279" w:rsidP="001E23C3">
      <w:pPr>
        <w:pStyle w:val="Notedebasdepage"/>
      </w:pPr>
      <w:r w:rsidRPr="005100A9">
        <w:tab/>
      </w:r>
      <w:r w:rsidRPr="005100A9">
        <w:rPr>
          <w:sz w:val="20"/>
        </w:rPr>
        <w:t>*</w:t>
      </w:r>
      <w:r w:rsidRPr="005100A9">
        <w:tab/>
        <w:t>Adoptées par le Comité à sa dix-huitième session (14-31 août 2017).</w:t>
      </w:r>
    </w:p>
  </w:footnote>
  <w:footnote w:id="3">
    <w:p w:rsidR="00A33279" w:rsidRPr="005100A9" w:rsidRDefault="00A33279" w:rsidP="001E23C3">
      <w:pPr>
        <w:pStyle w:val="Notedebasdepage"/>
      </w:pPr>
      <w:r w:rsidRPr="005100A9">
        <w:tab/>
      </w:r>
      <w:r w:rsidRPr="005100A9">
        <w:rPr>
          <w:sz w:val="20"/>
        </w:rPr>
        <w:t>**</w:t>
      </w:r>
      <w:r w:rsidRPr="005100A9">
        <w:tab/>
        <w:t>Les membres du Comité dont le nom suit ont participé à l</w:t>
      </w:r>
      <w:r>
        <w:t>’</w:t>
      </w:r>
      <w:r w:rsidRPr="005100A9">
        <w:t>examen de la communication</w:t>
      </w:r>
      <w:r>
        <w:t> :</w:t>
      </w:r>
      <w:r w:rsidRPr="005100A9">
        <w:t xml:space="preserve"> Ahmad Al</w:t>
      </w:r>
      <w:r w:rsidR="00D76F5E">
        <w:noBreakHyphen/>
      </w:r>
      <w:r w:rsidRPr="005100A9">
        <w:t>Saif, Danlami Umaru Basharu, Munthian Buntan, Imed Eddine Chaker, Theresia Degener, Samuel</w:t>
      </w:r>
      <w:r>
        <w:t> </w:t>
      </w:r>
      <w:r w:rsidRPr="005100A9">
        <w:t>Njuguna Kabue, Hyung Shik Kim, Stig Langvad, Lászlo Gábor Lovaszy, Robert George Martin, Martin Babu Mwesigwa, Carlos Alberto Parra Dussan, Coomaravel Pyaneandee, Valery</w:t>
      </w:r>
      <w:r>
        <w:t> </w:t>
      </w:r>
      <w:r w:rsidRPr="005100A9">
        <w:t>Nikitich Rukhledev, Jonas Ruskus et Damjan Tatić.</w:t>
      </w:r>
    </w:p>
  </w:footnote>
  <w:footnote w:id="4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L</w:t>
      </w:r>
      <w:r>
        <w:t>’</w:t>
      </w:r>
      <w:r w:rsidRPr="005100A9">
        <w:t>auteur a demandé que son anonymat soit préservé.</w:t>
      </w:r>
    </w:p>
  </w:footnote>
  <w:footnote w:id="5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L</w:t>
      </w:r>
      <w:r>
        <w:t>’</w:t>
      </w:r>
      <w:r w:rsidRPr="005100A9">
        <w:t>auteur ne précise pas à quelle date il a signalé les faits.</w:t>
      </w:r>
    </w:p>
  </w:footnote>
  <w:footnote w:id="6">
    <w:p w:rsidR="00A33279" w:rsidRPr="005100A9" w:rsidRDefault="00A33279" w:rsidP="00B55750">
      <w:pPr>
        <w:pStyle w:val="Notedebasdepage"/>
      </w:pPr>
      <w:r w:rsidRPr="005100A9">
        <w:rPr>
          <w:szCs w:val="18"/>
        </w:rPr>
        <w:tab/>
      </w:r>
      <w:r w:rsidRPr="005100A9">
        <w:rPr>
          <w:rStyle w:val="Appelnotedebasdep"/>
        </w:rPr>
        <w:footnoteRef/>
      </w:r>
      <w:r w:rsidRPr="005100A9">
        <w:tab/>
        <w:t>L</w:t>
      </w:r>
      <w:r>
        <w:t>’</w:t>
      </w:r>
      <w:r w:rsidRPr="005100A9">
        <w:t>auteur ne donne pas de précisions à ce sujet.</w:t>
      </w:r>
    </w:p>
  </w:footnote>
  <w:footnote w:id="7">
    <w:p w:rsidR="00A33279" w:rsidRPr="005100A9" w:rsidRDefault="00A33279" w:rsidP="00B55750">
      <w:pPr>
        <w:pStyle w:val="Notedebasdepage"/>
      </w:pPr>
      <w:r w:rsidRPr="005100A9">
        <w:rPr>
          <w:szCs w:val="18"/>
        </w:rPr>
        <w:tab/>
      </w:r>
      <w:r w:rsidRPr="005100A9">
        <w:rPr>
          <w:rStyle w:val="Appelnotedebasdep"/>
        </w:rPr>
        <w:footnoteRef/>
      </w:r>
      <w:r w:rsidRPr="005100A9">
        <w:tab/>
        <w:t>La République-Unie de Tanzanie est l</w:t>
      </w:r>
      <w:r>
        <w:t>’</w:t>
      </w:r>
      <w:r w:rsidRPr="005100A9">
        <w:t>un des pays où la prévalence de l</w:t>
      </w:r>
      <w:r>
        <w:t>’</w:t>
      </w:r>
      <w:r w:rsidRPr="005100A9">
        <w:t>albinisme est la plus élevée au monde, celle-ci é</w:t>
      </w:r>
      <w:r w:rsidR="00A952F1">
        <w:t>tant estimée à 1 personne sur 1 </w:t>
      </w:r>
      <w:r w:rsidRPr="005100A9">
        <w:t>429. Voir le document publ</w:t>
      </w:r>
      <w:r w:rsidR="00A952F1">
        <w:t>ié dans le cadre du programme « </w:t>
      </w:r>
      <w:r w:rsidRPr="005100A9">
        <w:t>Hats on for Skin Health</w:t>
      </w:r>
      <w:r w:rsidR="00A952F1">
        <w:t> </w:t>
      </w:r>
      <w:r w:rsidRPr="005100A9">
        <w:t xml:space="preserve">», intitulé </w:t>
      </w:r>
      <w:r w:rsidR="00A952F1">
        <w:t>« </w:t>
      </w:r>
      <w:r w:rsidRPr="005100A9">
        <w:t>Albinos in Africa</w:t>
      </w:r>
      <w:r>
        <w:t>:</w:t>
      </w:r>
      <w:r w:rsidRPr="005100A9">
        <w:t xml:space="preserve"> a population at risk</w:t>
      </w:r>
      <w:r w:rsidR="00A952F1">
        <w:t> »</w:t>
      </w:r>
      <w:r w:rsidRPr="005100A9">
        <w:t>, à l</w:t>
      </w:r>
      <w:r>
        <w:t>’</w:t>
      </w:r>
      <w:r w:rsidRPr="005100A9">
        <w:t>adresse</w:t>
      </w:r>
      <w:r>
        <w:t> :</w:t>
      </w:r>
      <w:r w:rsidRPr="005100A9">
        <w:t xml:space="preserve"> https</w:t>
      </w:r>
      <w:r>
        <w:t>:</w:t>
      </w:r>
      <w:r w:rsidR="00A952F1">
        <w:t>//www.multivu.com/assets/55030</w:t>
      </w:r>
      <w:r w:rsidRPr="005100A9">
        <w:t>/documents/Hats-On-For-Skin-Health-Campaign-Fact-Sheet-original.pdf.</w:t>
      </w:r>
    </w:p>
  </w:footnote>
  <w:footnote w:id="8">
    <w:p w:rsidR="00A33279" w:rsidRPr="005100A9" w:rsidRDefault="00A33279" w:rsidP="00B55750">
      <w:pPr>
        <w:pStyle w:val="Notedebasdepage"/>
      </w:pPr>
      <w:r w:rsidRPr="005100A9">
        <w:rPr>
          <w:szCs w:val="18"/>
        </w:rPr>
        <w:tab/>
      </w:r>
      <w:r w:rsidRPr="005100A9">
        <w:rPr>
          <w:rStyle w:val="Appelnotedebasdep"/>
        </w:rPr>
        <w:footnoteRef/>
      </w:r>
      <w:r w:rsidRPr="005100A9">
        <w:tab/>
        <w:t>Voir Commission africaine des droits de l</w:t>
      </w:r>
      <w:r>
        <w:t>’</w:t>
      </w:r>
      <w:r w:rsidRPr="005100A9">
        <w:t xml:space="preserve">homme et des peuples, </w:t>
      </w:r>
      <w:r w:rsidRPr="005100A9">
        <w:rPr>
          <w:i/>
          <w:iCs/>
        </w:rPr>
        <w:t>Jawara</w:t>
      </w:r>
      <w:r w:rsidRPr="00417AC7">
        <w:rPr>
          <w:iCs/>
        </w:rPr>
        <w:t xml:space="preserve"> c. </w:t>
      </w:r>
      <w:r w:rsidRPr="005100A9">
        <w:rPr>
          <w:i/>
          <w:iCs/>
        </w:rPr>
        <w:t>Gambie</w:t>
      </w:r>
      <w:r w:rsidRPr="005100A9">
        <w:t>, communications n</w:t>
      </w:r>
      <w:r w:rsidRPr="005100A9">
        <w:rPr>
          <w:vertAlign w:val="superscript"/>
        </w:rPr>
        <w:t>o</w:t>
      </w:r>
      <w:r w:rsidR="00417AC7">
        <w:t> </w:t>
      </w:r>
      <w:r w:rsidRPr="005100A9">
        <w:t xml:space="preserve">147/95 et </w:t>
      </w:r>
      <w:r w:rsidR="00417AC7">
        <w:rPr>
          <w:rFonts w:eastAsia="MS Mincho"/>
        </w:rPr>
        <w:t>n</w:t>
      </w:r>
      <w:r w:rsidR="00417AC7">
        <w:rPr>
          <w:rFonts w:eastAsia="MS Mincho"/>
          <w:vertAlign w:val="superscript"/>
        </w:rPr>
        <w:t>o</w:t>
      </w:r>
      <w:r w:rsidR="00417AC7">
        <w:t> </w:t>
      </w:r>
      <w:r w:rsidRPr="005100A9">
        <w:t>149/96</w:t>
      </w:r>
      <w:r w:rsidR="00417AC7">
        <w:t>, décision du 11 mai 2000, par. </w:t>
      </w:r>
      <w:r w:rsidRPr="005100A9">
        <w:t>31.</w:t>
      </w:r>
    </w:p>
  </w:footnote>
  <w:footnote w:id="9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="00417AC7">
        <w:tab/>
        <w:t>Ibid., par. </w:t>
      </w:r>
      <w:r w:rsidRPr="005100A9">
        <w:t>32.</w:t>
      </w:r>
    </w:p>
  </w:footnote>
  <w:footnote w:id="10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Cour européenne des droits de l</w:t>
      </w:r>
      <w:r>
        <w:t>’</w:t>
      </w:r>
      <w:r w:rsidRPr="005100A9">
        <w:t xml:space="preserve">homme, </w:t>
      </w:r>
      <w:r w:rsidRPr="005100A9">
        <w:rPr>
          <w:i/>
        </w:rPr>
        <w:t>Sejdovic</w:t>
      </w:r>
      <w:r w:rsidRPr="00417AC7">
        <w:t xml:space="preserve"> c. </w:t>
      </w:r>
      <w:r w:rsidRPr="005100A9">
        <w:rPr>
          <w:i/>
        </w:rPr>
        <w:t>Italie</w:t>
      </w:r>
      <w:r w:rsidRPr="005100A9">
        <w:t>, requête n</w:t>
      </w:r>
      <w:r w:rsidRPr="005100A9">
        <w:rPr>
          <w:vertAlign w:val="superscript"/>
        </w:rPr>
        <w:t>o</w:t>
      </w:r>
      <w:r w:rsidR="00417AC7" w:rsidRPr="00417AC7">
        <w:t> </w:t>
      </w:r>
      <w:r w:rsidRPr="005100A9">
        <w:t>56581/00, arrêt du 1</w:t>
      </w:r>
      <w:r w:rsidRPr="005100A9">
        <w:rPr>
          <w:vertAlign w:val="superscript"/>
        </w:rPr>
        <w:t>er</w:t>
      </w:r>
      <w:r w:rsidR="00417AC7">
        <w:t> mars 2006, par. </w:t>
      </w:r>
      <w:r w:rsidRPr="005100A9">
        <w:t>31 et 34.</w:t>
      </w:r>
    </w:p>
  </w:footnote>
  <w:footnote w:id="11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Commission interaméricaine des droits de l</w:t>
      </w:r>
      <w:r>
        <w:t>’</w:t>
      </w:r>
      <w:r w:rsidRPr="005100A9">
        <w:t xml:space="preserve">homme, </w:t>
      </w:r>
      <w:r w:rsidRPr="005100A9">
        <w:rPr>
          <w:i/>
          <w:iCs/>
        </w:rPr>
        <w:t>Greco</w:t>
      </w:r>
      <w:r w:rsidRPr="007E5C75">
        <w:rPr>
          <w:iCs/>
        </w:rPr>
        <w:t xml:space="preserve"> v. </w:t>
      </w:r>
      <w:r w:rsidRPr="005100A9">
        <w:rPr>
          <w:i/>
          <w:iCs/>
        </w:rPr>
        <w:t>Argentina</w:t>
      </w:r>
      <w:r w:rsidRPr="007E5C75">
        <w:rPr>
          <w:iCs/>
        </w:rPr>
        <w:t xml:space="preserve">, </w:t>
      </w:r>
      <w:r w:rsidRPr="005100A9">
        <w:t>affaire n</w:t>
      </w:r>
      <w:r w:rsidRPr="005100A9">
        <w:rPr>
          <w:vertAlign w:val="superscript"/>
        </w:rPr>
        <w:t>o</w:t>
      </w:r>
      <w:r w:rsidR="007E5C75">
        <w:t> 11.804, décision du 10 octobre 2001, par. </w:t>
      </w:r>
      <w:r w:rsidRPr="005100A9">
        <w:t>51.</w:t>
      </w:r>
    </w:p>
  </w:footnote>
  <w:footnote w:id="12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 xml:space="preserve">Ibid., </w:t>
      </w:r>
      <w:r w:rsidRPr="005100A9">
        <w:rPr>
          <w:i/>
          <w:iCs/>
        </w:rPr>
        <w:t>Sequeira Mangas</w:t>
      </w:r>
      <w:r w:rsidRPr="007E5C75">
        <w:rPr>
          <w:iCs/>
        </w:rPr>
        <w:t xml:space="preserve"> v. </w:t>
      </w:r>
      <w:r w:rsidRPr="005100A9">
        <w:rPr>
          <w:i/>
          <w:iCs/>
        </w:rPr>
        <w:t>Nicaragua</w:t>
      </w:r>
      <w:r w:rsidR="007E5C75">
        <w:t>, affaire n</w:t>
      </w:r>
      <w:r w:rsidR="007E5C75" w:rsidRPr="007E5C75">
        <w:rPr>
          <w:vertAlign w:val="superscript"/>
        </w:rPr>
        <w:t>o</w:t>
      </w:r>
      <w:r w:rsidR="007E5C75">
        <w:t> </w:t>
      </w:r>
      <w:r w:rsidRPr="005100A9">
        <w:t>11.218, concl</w:t>
      </w:r>
      <w:r w:rsidR="007E5C75">
        <w:t>usions du 18 février 1998, par. </w:t>
      </w:r>
      <w:r w:rsidRPr="005100A9">
        <w:t>96.</w:t>
      </w:r>
    </w:p>
  </w:footnote>
  <w:footnote w:id="13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notamment Comité des droits de l</w:t>
      </w:r>
      <w:r>
        <w:t>’</w:t>
      </w:r>
      <w:r w:rsidRPr="005100A9">
        <w:t>homme, communication n</w:t>
      </w:r>
      <w:r w:rsidRPr="005100A9">
        <w:rPr>
          <w:vertAlign w:val="superscript"/>
        </w:rPr>
        <w:t>o</w:t>
      </w:r>
      <w:r w:rsidR="007E5C75">
        <w:t> </w:t>
      </w:r>
      <w:r w:rsidRPr="005100A9">
        <w:t xml:space="preserve">612/1995, </w:t>
      </w:r>
      <w:r w:rsidRPr="005100A9">
        <w:rPr>
          <w:i/>
          <w:iCs/>
        </w:rPr>
        <w:t>Vicente et consorts</w:t>
      </w:r>
      <w:r w:rsidRPr="007E5C75">
        <w:rPr>
          <w:iCs/>
        </w:rPr>
        <w:t xml:space="preserve"> c. </w:t>
      </w:r>
      <w:r w:rsidRPr="005100A9">
        <w:rPr>
          <w:i/>
          <w:iCs/>
        </w:rPr>
        <w:t>Colombie</w:t>
      </w:r>
      <w:r w:rsidR="007E5C75">
        <w:t>, constatations adoptées le 29 </w:t>
      </w:r>
      <w:r w:rsidRPr="005100A9">
        <w:t>juillet 1997</w:t>
      </w:r>
      <w:r>
        <w:t> ;</w:t>
      </w:r>
      <w:r w:rsidRPr="005100A9">
        <w:t xml:space="preserve"> et Commission africaine des droits de l</w:t>
      </w:r>
      <w:r>
        <w:t>’</w:t>
      </w:r>
      <w:r w:rsidRPr="005100A9">
        <w:t xml:space="preserve">homme et des peuples, </w:t>
      </w:r>
      <w:r w:rsidRPr="005100A9">
        <w:rPr>
          <w:i/>
          <w:iCs/>
        </w:rPr>
        <w:t>Association des victimes des violences postélectorales et INTERIGHTS</w:t>
      </w:r>
      <w:r w:rsidRPr="007E5C75">
        <w:rPr>
          <w:iCs/>
        </w:rPr>
        <w:t xml:space="preserve"> c. </w:t>
      </w:r>
      <w:r w:rsidRPr="005100A9">
        <w:rPr>
          <w:i/>
          <w:iCs/>
        </w:rPr>
        <w:t>Cameroun</w:t>
      </w:r>
      <w:r w:rsidRPr="005100A9">
        <w:t>, communication n</w:t>
      </w:r>
      <w:r w:rsidRPr="005100A9">
        <w:rPr>
          <w:vertAlign w:val="superscript"/>
        </w:rPr>
        <w:t>o</w:t>
      </w:r>
      <w:r w:rsidR="007E5C75">
        <w:t> 272/03, décision du 25 </w:t>
      </w:r>
      <w:r w:rsidRPr="005100A9">
        <w:t>novembre 2009.</w:t>
      </w:r>
    </w:p>
  </w:footnote>
  <w:footnote w:id="14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Cour européenne des droits de l</w:t>
      </w:r>
      <w:r>
        <w:t>’</w:t>
      </w:r>
      <w:r w:rsidRPr="005100A9">
        <w:t xml:space="preserve">homme, </w:t>
      </w:r>
      <w:r w:rsidRPr="005100A9">
        <w:rPr>
          <w:i/>
          <w:iCs/>
        </w:rPr>
        <w:t>Todorov</w:t>
      </w:r>
      <w:r w:rsidRPr="00DA5908">
        <w:rPr>
          <w:iCs/>
        </w:rPr>
        <w:t xml:space="preserve"> c. </w:t>
      </w:r>
      <w:r w:rsidRPr="005100A9">
        <w:rPr>
          <w:i/>
          <w:iCs/>
        </w:rPr>
        <w:t>Bulgarie</w:t>
      </w:r>
      <w:r w:rsidRPr="005100A9">
        <w:t>, requête n</w:t>
      </w:r>
      <w:r w:rsidRPr="005100A9">
        <w:rPr>
          <w:vertAlign w:val="superscript"/>
        </w:rPr>
        <w:t>o</w:t>
      </w:r>
      <w:r w:rsidR="00DA5908">
        <w:t> 38299/05, arrêt du 5 novembre 2009, par. </w:t>
      </w:r>
      <w:r w:rsidRPr="005100A9">
        <w:t>45.</w:t>
      </w:r>
    </w:p>
  </w:footnote>
  <w:footnote w:id="15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Cour interaméricaine des droits de l</w:t>
      </w:r>
      <w:r>
        <w:t>’</w:t>
      </w:r>
      <w:r w:rsidRPr="005100A9">
        <w:t xml:space="preserve">homme, </w:t>
      </w:r>
      <w:r w:rsidR="005D2945">
        <w:rPr>
          <w:i/>
          <w:iCs/>
        </w:rPr>
        <w:t>« </w:t>
      </w:r>
      <w:r w:rsidRPr="005100A9">
        <w:rPr>
          <w:i/>
          <w:iCs/>
        </w:rPr>
        <w:t>Las Dos Erres</w:t>
      </w:r>
      <w:r w:rsidR="005D2945">
        <w:rPr>
          <w:i/>
          <w:iCs/>
        </w:rPr>
        <w:t> »</w:t>
      </w:r>
      <w:r w:rsidRPr="005100A9">
        <w:rPr>
          <w:i/>
          <w:iCs/>
        </w:rPr>
        <w:t xml:space="preserve"> Massacre</w:t>
      </w:r>
      <w:r w:rsidRPr="005D2945">
        <w:rPr>
          <w:iCs/>
        </w:rPr>
        <w:t xml:space="preserve"> v. </w:t>
      </w:r>
      <w:r w:rsidRPr="005100A9">
        <w:rPr>
          <w:i/>
          <w:iCs/>
        </w:rPr>
        <w:t xml:space="preserve">Guatemala </w:t>
      </w:r>
      <w:r w:rsidRPr="005100A9">
        <w:t xml:space="preserve">(exception préliminaire, fond, réparations et dépens), </w:t>
      </w:r>
      <w:r w:rsidR="005D2945">
        <w:t>arrêt du 24 novembre 2009, par. </w:t>
      </w:r>
      <w:r w:rsidRPr="005100A9">
        <w:t>119.</w:t>
      </w:r>
    </w:p>
  </w:footnote>
  <w:footnote w:id="16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 xml:space="preserve">Voir </w:t>
      </w:r>
      <w:r w:rsidRPr="005100A9">
        <w:rPr>
          <w:i/>
          <w:iCs/>
        </w:rPr>
        <w:t>Association des victimes des violences postélectorales et INTERIGHTS</w:t>
      </w:r>
      <w:r w:rsidRPr="005D2945">
        <w:rPr>
          <w:iCs/>
        </w:rPr>
        <w:t xml:space="preserve"> c. </w:t>
      </w:r>
      <w:r w:rsidRPr="005100A9">
        <w:rPr>
          <w:i/>
          <w:iCs/>
        </w:rPr>
        <w:t>Cameroun</w:t>
      </w:r>
      <w:r w:rsidR="005D2945">
        <w:t>, par. </w:t>
      </w:r>
      <w:r w:rsidRPr="005100A9">
        <w:t>63.</w:t>
      </w:r>
    </w:p>
  </w:footnote>
  <w:footnote w:id="17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le document A/HRC/28/75.</w:t>
      </w:r>
    </w:p>
  </w:footnote>
  <w:footnote w:id="18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L</w:t>
      </w:r>
      <w:r>
        <w:t>’</w:t>
      </w:r>
      <w:r w:rsidRPr="005100A9">
        <w:t>auteur renvoie à des cas signalés en 2015, au moment où il a soumis sa communication au Comité. Il cite celui d</w:t>
      </w:r>
      <w:r>
        <w:t>’</w:t>
      </w:r>
      <w:r w:rsidRPr="005100A9">
        <w:t>un petit garçon d</w:t>
      </w:r>
      <w:r w:rsidR="00AA5D61">
        <w:t>e 1 </w:t>
      </w:r>
      <w:r w:rsidRPr="005100A9">
        <w:t>an atteint d</w:t>
      </w:r>
      <w:r>
        <w:t>’</w:t>
      </w:r>
      <w:r w:rsidRPr="005100A9">
        <w:t>albinisme qui a été enlevé en janvier 2015 au domicile de sa famille, dans le nord-ouest du pays, et dont le cadavre a ensuite été retrouvé amputé des bras et des jambes. Cet enfant, dénommé Yohana Bahati, a été enlevé par une bande armée alors qu</w:t>
      </w:r>
      <w:r>
        <w:t>’</w:t>
      </w:r>
      <w:r w:rsidRPr="005100A9">
        <w:t>il se trouvait dans la maison familiale, dans la région de Geita. Sa mère, Esther, a reçu un coup de machette alors qu</w:t>
      </w:r>
      <w:r>
        <w:t>’</w:t>
      </w:r>
      <w:r w:rsidRPr="005100A9">
        <w:t>elle tentait de le protéger.</w:t>
      </w:r>
    </w:p>
  </w:footnote>
  <w:footnote w:id="19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Commission africaine des droits de l</w:t>
      </w:r>
      <w:r>
        <w:t>’</w:t>
      </w:r>
      <w:r w:rsidRPr="005100A9">
        <w:t xml:space="preserve">homme et des peuples, </w:t>
      </w:r>
      <w:r w:rsidRPr="005100A9">
        <w:rPr>
          <w:i/>
          <w:iCs/>
        </w:rPr>
        <w:t>Organisation mondiale contre la torture et consorts</w:t>
      </w:r>
      <w:r w:rsidRPr="005D2945">
        <w:rPr>
          <w:iCs/>
        </w:rPr>
        <w:t xml:space="preserve"> c. </w:t>
      </w:r>
      <w:r w:rsidRPr="005100A9">
        <w:rPr>
          <w:i/>
          <w:iCs/>
        </w:rPr>
        <w:t xml:space="preserve">Zaïre </w:t>
      </w:r>
      <w:r w:rsidRPr="005100A9">
        <w:t>(affaire concernant des violations massives des droits de l</w:t>
      </w:r>
      <w:r>
        <w:t>’</w:t>
      </w:r>
      <w:r w:rsidRPr="005100A9">
        <w:t>homme commises au Zaïre), communications n</w:t>
      </w:r>
      <w:r w:rsidRPr="005100A9">
        <w:rPr>
          <w:vertAlign w:val="superscript"/>
        </w:rPr>
        <w:t>os</w:t>
      </w:r>
      <w:r w:rsidR="005D2945">
        <w:t> </w:t>
      </w:r>
      <w:r w:rsidRPr="005100A9">
        <w:t>25/89, 47/90, 56/91 et 100/</w:t>
      </w:r>
      <w:r w:rsidR="005D2945">
        <w:t>93, décision de mars 1996, par. </w:t>
      </w:r>
      <w:r w:rsidRPr="005100A9">
        <w:t>55.</w:t>
      </w:r>
    </w:p>
  </w:footnote>
  <w:footnote w:id="20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Cour européenne des droits de l</w:t>
      </w:r>
      <w:r>
        <w:t>’</w:t>
      </w:r>
      <w:r w:rsidRPr="005100A9">
        <w:t xml:space="preserve">homme, </w:t>
      </w:r>
      <w:r w:rsidRPr="005100A9">
        <w:rPr>
          <w:i/>
          <w:iCs/>
        </w:rPr>
        <w:t>Akdivar et autres</w:t>
      </w:r>
      <w:r w:rsidRPr="005D2945">
        <w:rPr>
          <w:iCs/>
        </w:rPr>
        <w:t xml:space="preserve"> c. </w:t>
      </w:r>
      <w:r w:rsidRPr="005100A9">
        <w:rPr>
          <w:i/>
          <w:iCs/>
        </w:rPr>
        <w:t>Turquie</w:t>
      </w:r>
      <w:r w:rsidRPr="005100A9">
        <w:t>, requête n</w:t>
      </w:r>
      <w:r w:rsidRPr="005100A9">
        <w:rPr>
          <w:vertAlign w:val="superscript"/>
        </w:rPr>
        <w:t>o</w:t>
      </w:r>
      <w:r w:rsidR="005D2945">
        <w:t> </w:t>
      </w:r>
      <w:r w:rsidRPr="005100A9">
        <w:t>21893/93, a</w:t>
      </w:r>
      <w:r w:rsidR="005D2945">
        <w:t>rrêt du 16 septembre 1996, par. </w:t>
      </w:r>
      <w:r w:rsidRPr="005100A9">
        <w:t>66.</w:t>
      </w:r>
    </w:p>
  </w:footnote>
  <w:footnote w:id="21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 xml:space="preserve">Voir </w:t>
      </w:r>
      <w:r w:rsidRPr="005100A9">
        <w:rPr>
          <w:i/>
          <w:iCs/>
        </w:rPr>
        <w:t>Jawara</w:t>
      </w:r>
      <w:r w:rsidRPr="005D2945">
        <w:rPr>
          <w:iCs/>
        </w:rPr>
        <w:t xml:space="preserve"> c. </w:t>
      </w:r>
      <w:r w:rsidRPr="005100A9">
        <w:rPr>
          <w:i/>
          <w:iCs/>
        </w:rPr>
        <w:t>Gambie</w:t>
      </w:r>
      <w:r w:rsidR="005D2945">
        <w:t>, par. </w:t>
      </w:r>
      <w:r w:rsidRPr="005100A9">
        <w:t>32.</w:t>
      </w:r>
    </w:p>
  </w:footnote>
  <w:footnote w:id="22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 xml:space="preserve">Voir </w:t>
      </w:r>
      <w:r w:rsidRPr="005100A9">
        <w:rPr>
          <w:i/>
          <w:iCs/>
        </w:rPr>
        <w:t>Vicente et consorts</w:t>
      </w:r>
      <w:r w:rsidRPr="005B1346">
        <w:rPr>
          <w:iCs/>
        </w:rPr>
        <w:t xml:space="preserve"> c. </w:t>
      </w:r>
      <w:r w:rsidRPr="005100A9">
        <w:rPr>
          <w:i/>
          <w:iCs/>
        </w:rPr>
        <w:t>Colombie</w:t>
      </w:r>
      <w:r w:rsidRPr="005100A9">
        <w:t>,</w:t>
      </w:r>
      <w:r w:rsidR="005B1346">
        <w:t xml:space="preserve"> par. </w:t>
      </w:r>
      <w:r w:rsidRPr="005100A9">
        <w:t>5.2.</w:t>
      </w:r>
    </w:p>
  </w:footnote>
  <w:footnote w:id="23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 xml:space="preserve">Voir </w:t>
      </w:r>
      <w:r w:rsidRPr="005100A9">
        <w:rPr>
          <w:i/>
          <w:iCs/>
        </w:rPr>
        <w:t>Akdivar et autres</w:t>
      </w:r>
      <w:r w:rsidRPr="005B1346">
        <w:rPr>
          <w:iCs/>
        </w:rPr>
        <w:t xml:space="preserve"> c. </w:t>
      </w:r>
      <w:r w:rsidRPr="005100A9">
        <w:rPr>
          <w:i/>
          <w:iCs/>
        </w:rPr>
        <w:t>Turquie</w:t>
      </w:r>
      <w:r w:rsidR="005B1346">
        <w:t>, par. </w:t>
      </w:r>
      <w:r w:rsidRPr="005100A9">
        <w:t>67.</w:t>
      </w:r>
    </w:p>
  </w:footnote>
  <w:footnote w:id="24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notamment Cour européenne des droits de l</w:t>
      </w:r>
      <w:r>
        <w:t>’</w:t>
      </w:r>
      <w:r w:rsidRPr="005100A9">
        <w:t xml:space="preserve">homme, </w:t>
      </w:r>
      <w:r w:rsidR="005B1346">
        <w:rPr>
          <w:i/>
          <w:iCs/>
        </w:rPr>
        <w:t>D. </w:t>
      </w:r>
      <w:r w:rsidRPr="005100A9">
        <w:rPr>
          <w:i/>
          <w:iCs/>
        </w:rPr>
        <w:t>H. et autres</w:t>
      </w:r>
      <w:r w:rsidRPr="005B1346">
        <w:rPr>
          <w:iCs/>
        </w:rPr>
        <w:t xml:space="preserve"> c. </w:t>
      </w:r>
      <w:r w:rsidRPr="005100A9">
        <w:rPr>
          <w:i/>
          <w:iCs/>
        </w:rPr>
        <w:t>République tchèque</w:t>
      </w:r>
      <w:r w:rsidRPr="005100A9">
        <w:t>, requête n</w:t>
      </w:r>
      <w:r w:rsidR="005B1346" w:rsidRPr="005B1346">
        <w:rPr>
          <w:vertAlign w:val="superscript"/>
        </w:rPr>
        <w:t>o</w:t>
      </w:r>
      <w:r w:rsidR="005B1346">
        <w:t> 57325/00, arrêt du 7 </w:t>
      </w:r>
      <w:r w:rsidR="008A6557">
        <w:t>février 2006</w:t>
      </w:r>
      <w:r w:rsidRPr="005100A9">
        <w:t xml:space="preserve">. </w:t>
      </w:r>
    </w:p>
  </w:footnote>
  <w:footnote w:id="25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notamment Comité des droits de l</w:t>
      </w:r>
      <w:r>
        <w:t>’</w:t>
      </w:r>
      <w:r w:rsidRPr="005100A9">
        <w:t xml:space="preserve">homme, communications </w:t>
      </w:r>
      <w:r w:rsidR="005B1346">
        <w:rPr>
          <w:rFonts w:eastAsia="MS Mincho"/>
        </w:rPr>
        <w:t>n</w:t>
      </w:r>
      <w:r w:rsidR="005B1346">
        <w:rPr>
          <w:rFonts w:eastAsia="MS Mincho"/>
          <w:vertAlign w:val="superscript"/>
        </w:rPr>
        <w:t>o</w:t>
      </w:r>
      <w:r w:rsidR="005B1346">
        <w:t> </w:t>
      </w:r>
      <w:r w:rsidRPr="005100A9">
        <w:t xml:space="preserve">1422/2005, </w:t>
      </w:r>
      <w:r w:rsidRPr="005100A9">
        <w:rPr>
          <w:i/>
          <w:iCs/>
        </w:rPr>
        <w:t>El Hassy</w:t>
      </w:r>
      <w:r w:rsidRPr="005B1346">
        <w:rPr>
          <w:iCs/>
        </w:rPr>
        <w:t xml:space="preserve"> c. </w:t>
      </w:r>
      <w:r w:rsidRPr="005100A9">
        <w:rPr>
          <w:i/>
          <w:iCs/>
        </w:rPr>
        <w:t>Jamahiriya arabe libyenne</w:t>
      </w:r>
      <w:r w:rsidRPr="005100A9">
        <w:t>, constatations ad</w:t>
      </w:r>
      <w:r w:rsidR="005B1346">
        <w:t>optées le 24 octobre 2007, par. </w:t>
      </w:r>
      <w:r w:rsidRPr="005100A9">
        <w:t>4</w:t>
      </w:r>
      <w:r>
        <w:t> ;</w:t>
      </w:r>
      <w:r w:rsidR="005B1346">
        <w:t xml:space="preserve"> et n</w:t>
      </w:r>
      <w:r w:rsidR="005B1346" w:rsidRPr="005B1346">
        <w:rPr>
          <w:vertAlign w:val="superscript"/>
        </w:rPr>
        <w:t>o</w:t>
      </w:r>
      <w:r w:rsidR="005B1346">
        <w:t> </w:t>
      </w:r>
      <w:r w:rsidRPr="005100A9">
        <w:t xml:space="preserve">1295/2004, </w:t>
      </w:r>
      <w:r w:rsidR="005B1346">
        <w:rPr>
          <w:i/>
          <w:iCs/>
        </w:rPr>
        <w:t>El </w:t>
      </w:r>
      <w:r w:rsidRPr="005100A9">
        <w:rPr>
          <w:i/>
          <w:iCs/>
        </w:rPr>
        <w:t>Alwani</w:t>
      </w:r>
      <w:r w:rsidRPr="005B1346">
        <w:rPr>
          <w:iCs/>
        </w:rPr>
        <w:t xml:space="preserve"> c. </w:t>
      </w:r>
      <w:r w:rsidRPr="005100A9">
        <w:rPr>
          <w:i/>
          <w:iCs/>
        </w:rPr>
        <w:t>Jamahiriya arabe libyenne</w:t>
      </w:r>
      <w:r w:rsidR="005B1346">
        <w:t>, constatations adoptées le 11 juillet 2007, par. </w:t>
      </w:r>
      <w:r w:rsidRPr="005100A9">
        <w:t>4</w:t>
      </w:r>
      <w:r>
        <w:t> ;</w:t>
      </w:r>
      <w:r w:rsidRPr="005100A9">
        <w:t xml:space="preserve"> ainsi que Comité des disparitions </w:t>
      </w:r>
      <w:r w:rsidR="005B1346">
        <w:t xml:space="preserve">forcées, communication </w:t>
      </w:r>
      <w:r w:rsidR="005B1346">
        <w:rPr>
          <w:rFonts w:eastAsia="MS Mincho"/>
        </w:rPr>
        <w:t>n</w:t>
      </w:r>
      <w:r w:rsidR="005B1346">
        <w:rPr>
          <w:rFonts w:eastAsia="MS Mincho"/>
          <w:vertAlign w:val="superscript"/>
        </w:rPr>
        <w:t>o</w:t>
      </w:r>
      <w:r w:rsidR="005B1346">
        <w:t> </w:t>
      </w:r>
      <w:r w:rsidRPr="005100A9">
        <w:t xml:space="preserve">1/2013, </w:t>
      </w:r>
      <w:r w:rsidRPr="005100A9">
        <w:rPr>
          <w:i/>
          <w:iCs/>
        </w:rPr>
        <w:t>Yrusta et del Valle Yrusta</w:t>
      </w:r>
      <w:r w:rsidRPr="005B1346">
        <w:rPr>
          <w:iCs/>
        </w:rPr>
        <w:t xml:space="preserve"> c. </w:t>
      </w:r>
      <w:r w:rsidRPr="005100A9">
        <w:rPr>
          <w:i/>
          <w:iCs/>
        </w:rPr>
        <w:t>Argentine</w:t>
      </w:r>
      <w:r w:rsidRPr="005100A9">
        <w:t>, constatations</w:t>
      </w:r>
      <w:r w:rsidR="005B1346">
        <w:t xml:space="preserve"> adoptées le 11 mars 2016, par. </w:t>
      </w:r>
      <w:r w:rsidRPr="005100A9">
        <w:t>10.1.</w:t>
      </w:r>
    </w:p>
  </w:footnote>
  <w:footnote w:id="26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République-Unie de Tanzanie, loi relat</w:t>
      </w:r>
      <w:r w:rsidR="002363C4">
        <w:t>ive à la procédure pénale, art. 99 (par. </w:t>
      </w:r>
      <w:r w:rsidRPr="005100A9">
        <w:t>1)</w:t>
      </w:r>
      <w:r>
        <w:t> :</w:t>
      </w:r>
      <w:r w:rsidRPr="005100A9">
        <w:t xml:space="preserve"> </w:t>
      </w:r>
      <w:r w:rsidR="002363C4">
        <w:t>« </w:t>
      </w:r>
      <w:r w:rsidRPr="005100A9">
        <w:t>Le magistrat qui instruit ou juge une affaire peut autoriser toute personne à intenter des poursuites, mais nul autre qu</w:t>
      </w:r>
      <w:r>
        <w:t>’</w:t>
      </w:r>
      <w:r w:rsidRPr="005100A9">
        <w:t>un procureur ou qu</w:t>
      </w:r>
      <w:r>
        <w:t>’</w:t>
      </w:r>
      <w:r w:rsidRPr="005100A9">
        <w:t>un magistrat généralement ou expressément habilité par le Président peut déclencher des poursuites sans une telle autorisation.</w:t>
      </w:r>
      <w:r w:rsidR="002363C4">
        <w:t> ».</w:t>
      </w:r>
    </w:p>
  </w:footnote>
  <w:footnote w:id="27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="002363C4">
        <w:tab/>
        <w:t>Ibid., art. </w:t>
      </w:r>
      <w:r w:rsidRPr="005100A9">
        <w:t>90</w:t>
      </w:r>
      <w:r>
        <w:t> :</w:t>
      </w:r>
      <w:r w:rsidR="002363C4">
        <w:t xml:space="preserve"> « </w:t>
      </w:r>
      <w:r w:rsidRPr="005100A9">
        <w:t>le Procureur général est habilité à</w:t>
      </w:r>
      <w:r>
        <w:t> :</w:t>
      </w:r>
      <w:r w:rsidR="002363C4">
        <w:t xml:space="preserve"> a) </w:t>
      </w:r>
      <w:r w:rsidRPr="005100A9">
        <w:t>Engager des poursuites pénales contre toute personne devant un tribunal autre qu</w:t>
      </w:r>
      <w:r>
        <w:t>’</w:t>
      </w:r>
      <w:r w:rsidRPr="005100A9">
        <w:t>une cour martiale pour toute infraction que cette personne est accusée d</w:t>
      </w:r>
      <w:r>
        <w:t>’</w:t>
      </w:r>
      <w:r w:rsidRPr="005100A9">
        <w:t>avoir commise</w:t>
      </w:r>
      <w:r>
        <w:t> ;</w:t>
      </w:r>
      <w:r w:rsidR="002363C4">
        <w:t xml:space="preserve"> b) </w:t>
      </w:r>
      <w:r w:rsidRPr="005100A9">
        <w:t>Reprendre à son compte et continuer d</w:t>
      </w:r>
      <w:r>
        <w:t>’</w:t>
      </w:r>
      <w:r w:rsidRPr="005100A9">
        <w:t>exercer les poursuites pénales déclenchées par une autre personne ou autorité</w:t>
      </w:r>
      <w:r>
        <w:t> ;</w:t>
      </w:r>
      <w:r w:rsidR="002363C4">
        <w:t xml:space="preserve"> et c) </w:t>
      </w:r>
      <w:r w:rsidRPr="005100A9">
        <w:t>Mettre fin, à tout moment, avant le prononcé de la décision judiciaire, aux poursuites pénales engagées par lui-même ou par toute autre personne ou autorité</w:t>
      </w:r>
      <w:r w:rsidR="0074654A">
        <w:t>.</w:t>
      </w:r>
      <w:r w:rsidR="002363C4">
        <w:t> ».</w:t>
      </w:r>
      <w:r w:rsidRPr="005100A9">
        <w:t xml:space="preserve"> Le paragraphe 2 de l</w:t>
      </w:r>
      <w:r>
        <w:t>’</w:t>
      </w:r>
      <w:r w:rsidRPr="005100A9">
        <w:t xml:space="preserve">article 59B de la Constitution de 1977 dispose que </w:t>
      </w:r>
      <w:r w:rsidR="0074654A">
        <w:t>« </w:t>
      </w:r>
      <w:r w:rsidRPr="005100A9">
        <w:t>le Procureur général est habilité à engager et à surveiller toutes les poursuites pénales engagées dans le pays</w:t>
      </w:r>
      <w:r w:rsidR="0074654A">
        <w:t> ».</w:t>
      </w:r>
      <w:r w:rsidRPr="005100A9">
        <w:t xml:space="preserve"> Voir aussi la loi de 2008 relative aux parquets nationaux. </w:t>
      </w:r>
    </w:p>
  </w:footnote>
  <w:footnote w:id="28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 xml:space="preserve">Voir notamment les affaires </w:t>
      </w:r>
      <w:r w:rsidRPr="005100A9">
        <w:rPr>
          <w:i/>
          <w:iCs/>
        </w:rPr>
        <w:t>Greco</w:t>
      </w:r>
      <w:r w:rsidRPr="0074654A">
        <w:rPr>
          <w:iCs/>
        </w:rPr>
        <w:t xml:space="preserve"> v. </w:t>
      </w:r>
      <w:r w:rsidRPr="005100A9">
        <w:rPr>
          <w:i/>
          <w:iCs/>
        </w:rPr>
        <w:t xml:space="preserve">Argentina, </w:t>
      </w:r>
      <w:r w:rsidR="0074654A">
        <w:t>par. </w:t>
      </w:r>
      <w:r w:rsidRPr="005100A9">
        <w:t>51</w:t>
      </w:r>
      <w:r>
        <w:t> ;</w:t>
      </w:r>
      <w:r w:rsidRPr="005100A9">
        <w:t xml:space="preserve"> et </w:t>
      </w:r>
      <w:r w:rsidRPr="005100A9">
        <w:rPr>
          <w:i/>
          <w:iCs/>
        </w:rPr>
        <w:t>Sequeira Mangas</w:t>
      </w:r>
      <w:r w:rsidRPr="0074654A">
        <w:rPr>
          <w:iCs/>
        </w:rPr>
        <w:t xml:space="preserve"> v. </w:t>
      </w:r>
      <w:r w:rsidRPr="005100A9">
        <w:rPr>
          <w:i/>
          <w:iCs/>
        </w:rPr>
        <w:t>Nicaragua.</w:t>
      </w:r>
    </w:p>
  </w:footnote>
  <w:footnote w:id="29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="0074654A">
        <w:tab/>
        <w:t>Voir A/HRC/34/59, par. </w:t>
      </w:r>
      <w:r w:rsidRPr="005100A9">
        <w:t>15 et 16.</w:t>
      </w:r>
    </w:p>
  </w:footnote>
  <w:footnote w:id="30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 xml:space="preserve">Voir Comité des droits des personnes handicapées, communication </w:t>
      </w:r>
      <w:r w:rsidR="00B842C6">
        <w:rPr>
          <w:rFonts w:eastAsia="MS Mincho"/>
        </w:rPr>
        <w:t>n</w:t>
      </w:r>
      <w:r w:rsidR="00B842C6">
        <w:rPr>
          <w:rFonts w:eastAsia="MS Mincho"/>
          <w:vertAlign w:val="superscript"/>
        </w:rPr>
        <w:t>o</w:t>
      </w:r>
      <w:r w:rsidR="00B842C6">
        <w:t> </w:t>
      </w:r>
      <w:r w:rsidRPr="005100A9">
        <w:t xml:space="preserve">10/2013, </w:t>
      </w:r>
      <w:r w:rsidR="00B842C6">
        <w:rPr>
          <w:i/>
          <w:iCs/>
        </w:rPr>
        <w:t>S. </w:t>
      </w:r>
      <w:r w:rsidRPr="005100A9">
        <w:rPr>
          <w:i/>
          <w:iCs/>
        </w:rPr>
        <w:t>C.</w:t>
      </w:r>
      <w:r w:rsidRPr="00B842C6">
        <w:rPr>
          <w:iCs/>
        </w:rPr>
        <w:t xml:space="preserve"> c. </w:t>
      </w:r>
      <w:r w:rsidRPr="005100A9">
        <w:rPr>
          <w:i/>
          <w:iCs/>
        </w:rPr>
        <w:t>Brésil</w:t>
      </w:r>
      <w:r w:rsidR="00B842C6">
        <w:t>, décision adoptée le 2 octobre 2014, par. </w:t>
      </w:r>
      <w:r w:rsidRPr="005100A9">
        <w:t>6.3.</w:t>
      </w:r>
    </w:p>
  </w:footnote>
  <w:footnote w:id="31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l</w:t>
      </w:r>
      <w:r>
        <w:t>’</w:t>
      </w:r>
      <w:r w:rsidRPr="005100A9">
        <w:t xml:space="preserve">affaire </w:t>
      </w:r>
      <w:r w:rsidRPr="005100A9">
        <w:rPr>
          <w:i/>
          <w:iCs/>
        </w:rPr>
        <w:t>Yrusta et del Valle</w:t>
      </w:r>
      <w:r w:rsidRPr="00AF2377">
        <w:rPr>
          <w:i/>
        </w:rPr>
        <w:t xml:space="preserve"> </w:t>
      </w:r>
      <w:r w:rsidR="00AF2377" w:rsidRPr="005100A9">
        <w:rPr>
          <w:i/>
          <w:iCs/>
        </w:rPr>
        <w:t>Yrusta</w:t>
      </w:r>
      <w:r w:rsidR="00AF2377" w:rsidRPr="00AF2377">
        <w:rPr>
          <w:iCs/>
        </w:rPr>
        <w:t xml:space="preserve"> </w:t>
      </w:r>
      <w:r w:rsidRPr="00B842C6">
        <w:rPr>
          <w:iCs/>
        </w:rPr>
        <w:t xml:space="preserve">c. </w:t>
      </w:r>
      <w:r w:rsidRPr="005100A9">
        <w:rPr>
          <w:i/>
          <w:iCs/>
        </w:rPr>
        <w:t>Argentine</w:t>
      </w:r>
      <w:r w:rsidR="00B842C6">
        <w:t>, par. </w:t>
      </w:r>
      <w:r w:rsidRPr="005100A9">
        <w:t>10.1.</w:t>
      </w:r>
    </w:p>
  </w:footnote>
  <w:footnote w:id="32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l</w:t>
      </w:r>
      <w:r>
        <w:t>’</w:t>
      </w:r>
      <w:r w:rsidRPr="005100A9">
        <w:t xml:space="preserve">affaire </w:t>
      </w:r>
      <w:r w:rsidR="00B842C6">
        <w:rPr>
          <w:i/>
          <w:iCs/>
        </w:rPr>
        <w:t>S. </w:t>
      </w:r>
      <w:r w:rsidRPr="005100A9">
        <w:rPr>
          <w:i/>
          <w:iCs/>
        </w:rPr>
        <w:t>C.</w:t>
      </w:r>
      <w:r w:rsidRPr="00B842C6">
        <w:rPr>
          <w:iCs/>
        </w:rPr>
        <w:t xml:space="preserve"> c. </w:t>
      </w:r>
      <w:r w:rsidRPr="005100A9">
        <w:rPr>
          <w:i/>
          <w:iCs/>
        </w:rPr>
        <w:t>Brésil</w:t>
      </w:r>
      <w:r w:rsidR="00B842C6">
        <w:t>, par. 6</w:t>
      </w:r>
      <w:r w:rsidRPr="005100A9">
        <w:t xml:space="preserve">.4. </w:t>
      </w:r>
    </w:p>
  </w:footnote>
  <w:footnote w:id="33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Comité des droits de l</w:t>
      </w:r>
      <w:r>
        <w:t>’</w:t>
      </w:r>
      <w:r w:rsidRPr="005100A9">
        <w:t>homme, observation générale n</w:t>
      </w:r>
      <w:r w:rsidRPr="005100A9">
        <w:rPr>
          <w:vertAlign w:val="superscript"/>
        </w:rPr>
        <w:t>o</w:t>
      </w:r>
      <w:r w:rsidR="00A36332">
        <w:t> </w:t>
      </w:r>
      <w:r w:rsidRPr="005100A9">
        <w:t>20 (1992) concernant l</w:t>
      </w:r>
      <w:r>
        <w:t>’</w:t>
      </w:r>
      <w:r w:rsidRPr="005100A9">
        <w:t>interdiction de la torture et des peines ou traitements cruels</w:t>
      </w:r>
      <w:r w:rsidR="00A36332">
        <w:t>, inhumains ou dégradants, par. </w:t>
      </w:r>
      <w:r w:rsidRPr="005100A9">
        <w:t>13.</w:t>
      </w:r>
    </w:p>
  </w:footnote>
  <w:footnote w:id="34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Pr="005100A9">
        <w:tab/>
        <w:t>Voir notamment Comité des droits de l</w:t>
      </w:r>
      <w:r>
        <w:t>’</w:t>
      </w:r>
      <w:r w:rsidR="00A36332">
        <w:t>homme, communication n</w:t>
      </w:r>
      <w:r w:rsidR="00A36332" w:rsidRPr="00A36332">
        <w:rPr>
          <w:vertAlign w:val="superscript"/>
        </w:rPr>
        <w:t>o</w:t>
      </w:r>
      <w:r w:rsidR="00A36332">
        <w:t> </w:t>
      </w:r>
      <w:r w:rsidRPr="005100A9">
        <w:t xml:space="preserve">1956/2010, </w:t>
      </w:r>
      <w:r w:rsidRPr="005100A9">
        <w:rPr>
          <w:i/>
          <w:iCs/>
        </w:rPr>
        <w:t>Durić et Durić</w:t>
      </w:r>
      <w:r w:rsidRPr="00A36332">
        <w:rPr>
          <w:iCs/>
        </w:rPr>
        <w:t xml:space="preserve"> c. </w:t>
      </w:r>
      <w:r w:rsidRPr="005100A9">
        <w:rPr>
          <w:i/>
          <w:iCs/>
        </w:rPr>
        <w:t>Bosnie-Herzégovine</w:t>
      </w:r>
      <w:r w:rsidRPr="005100A9">
        <w:t>, constatations ad</w:t>
      </w:r>
      <w:r w:rsidR="00A36332">
        <w:t>optées le 16 juillet 2014, par. </w:t>
      </w:r>
      <w:r w:rsidRPr="005100A9">
        <w:t>9.6 et 9.7</w:t>
      </w:r>
      <w:r>
        <w:t> ;</w:t>
      </w:r>
      <w:r w:rsidRPr="005100A9">
        <w:t xml:space="preserve"> et </w:t>
      </w:r>
      <w:r w:rsidRPr="005100A9">
        <w:rPr>
          <w:i/>
          <w:iCs/>
        </w:rPr>
        <w:t>Yrusta et del Valle Yrusta</w:t>
      </w:r>
      <w:r w:rsidRPr="00A36332">
        <w:rPr>
          <w:iCs/>
        </w:rPr>
        <w:t xml:space="preserve"> c. </w:t>
      </w:r>
      <w:r w:rsidRPr="005100A9">
        <w:rPr>
          <w:i/>
          <w:iCs/>
        </w:rPr>
        <w:t>Argentine</w:t>
      </w:r>
      <w:r w:rsidR="00A36332">
        <w:t>, par. 10.</w:t>
      </w:r>
      <w:r w:rsidRPr="005100A9">
        <w:t>8.</w:t>
      </w:r>
    </w:p>
  </w:footnote>
  <w:footnote w:id="35">
    <w:p w:rsidR="00A33279" w:rsidRPr="005100A9" w:rsidRDefault="00A33279" w:rsidP="00B55750">
      <w:pPr>
        <w:pStyle w:val="Notedebasdepage"/>
      </w:pPr>
      <w:r w:rsidRPr="005100A9">
        <w:tab/>
      </w:r>
      <w:r w:rsidRPr="005100A9">
        <w:rPr>
          <w:rStyle w:val="Appelnotedebasdep"/>
        </w:rPr>
        <w:footnoteRef/>
      </w:r>
      <w:r w:rsidR="00994A86">
        <w:tab/>
        <w:t>Voir A/HRC/34/59, par. </w:t>
      </w:r>
      <w:r w:rsidRPr="005100A9">
        <w:t xml:space="preserve">97 à 99.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79" w:rsidRPr="00D03025" w:rsidRDefault="00A33279">
    <w:pPr>
      <w:pStyle w:val="En-tte"/>
    </w:pPr>
    <w:fldSimple w:instr=" TITLE  \* MERGEFORMAT ">
      <w:r w:rsidR="00D17849">
        <w:t>CRPD/C/18/D/22/2014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79" w:rsidRPr="00D03025" w:rsidRDefault="00A33279" w:rsidP="00D03025">
    <w:pPr>
      <w:pStyle w:val="En-tte"/>
      <w:jc w:val="right"/>
    </w:pPr>
    <w:fldSimple w:instr=" TITLE  \* MERGEFORMAT ">
      <w:r w:rsidR="00D17849">
        <w:t>CRPD/C/18/D/22/2014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6D06B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CD4C5FE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7B980DE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E"/>
    <w:rsid w:val="0000520E"/>
    <w:rsid w:val="00017F94"/>
    <w:rsid w:val="00023842"/>
    <w:rsid w:val="000334F9"/>
    <w:rsid w:val="00055743"/>
    <w:rsid w:val="0007796D"/>
    <w:rsid w:val="00085D5E"/>
    <w:rsid w:val="000B7790"/>
    <w:rsid w:val="000F401C"/>
    <w:rsid w:val="00111F2F"/>
    <w:rsid w:val="001273BC"/>
    <w:rsid w:val="0014365E"/>
    <w:rsid w:val="00176178"/>
    <w:rsid w:val="001E23C3"/>
    <w:rsid w:val="001F525A"/>
    <w:rsid w:val="00223272"/>
    <w:rsid w:val="002363C4"/>
    <w:rsid w:val="0024779E"/>
    <w:rsid w:val="00251DCF"/>
    <w:rsid w:val="00275896"/>
    <w:rsid w:val="00336EDE"/>
    <w:rsid w:val="003C5869"/>
    <w:rsid w:val="00417AC7"/>
    <w:rsid w:val="00446FE5"/>
    <w:rsid w:val="00452396"/>
    <w:rsid w:val="005100A9"/>
    <w:rsid w:val="005505B7"/>
    <w:rsid w:val="005635EF"/>
    <w:rsid w:val="00573BE5"/>
    <w:rsid w:val="00586ED3"/>
    <w:rsid w:val="00596AA9"/>
    <w:rsid w:val="005B1346"/>
    <w:rsid w:val="005D2945"/>
    <w:rsid w:val="005F4BBD"/>
    <w:rsid w:val="0060617D"/>
    <w:rsid w:val="00611CD7"/>
    <w:rsid w:val="00710EC0"/>
    <w:rsid w:val="0071601D"/>
    <w:rsid w:val="007236B6"/>
    <w:rsid w:val="0074654A"/>
    <w:rsid w:val="007A62E6"/>
    <w:rsid w:val="007D139D"/>
    <w:rsid w:val="007E5C75"/>
    <w:rsid w:val="0080684C"/>
    <w:rsid w:val="00871C75"/>
    <w:rsid w:val="008776DC"/>
    <w:rsid w:val="008A6557"/>
    <w:rsid w:val="008C6FE3"/>
    <w:rsid w:val="00947C27"/>
    <w:rsid w:val="0096563E"/>
    <w:rsid w:val="009705C8"/>
    <w:rsid w:val="00994A86"/>
    <w:rsid w:val="009C2976"/>
    <w:rsid w:val="009F7D1D"/>
    <w:rsid w:val="00A30353"/>
    <w:rsid w:val="00A33279"/>
    <w:rsid w:val="00A36332"/>
    <w:rsid w:val="00A828A4"/>
    <w:rsid w:val="00A952F1"/>
    <w:rsid w:val="00A974B5"/>
    <w:rsid w:val="00AA5D61"/>
    <w:rsid w:val="00AC3823"/>
    <w:rsid w:val="00AE323C"/>
    <w:rsid w:val="00AE54F1"/>
    <w:rsid w:val="00AF02B5"/>
    <w:rsid w:val="00AF2377"/>
    <w:rsid w:val="00B00181"/>
    <w:rsid w:val="00B338A5"/>
    <w:rsid w:val="00B55750"/>
    <w:rsid w:val="00B765F7"/>
    <w:rsid w:val="00B842C6"/>
    <w:rsid w:val="00BA0CA9"/>
    <w:rsid w:val="00BA7B07"/>
    <w:rsid w:val="00C02897"/>
    <w:rsid w:val="00C505DC"/>
    <w:rsid w:val="00C726E7"/>
    <w:rsid w:val="00CD6714"/>
    <w:rsid w:val="00D03025"/>
    <w:rsid w:val="00D17849"/>
    <w:rsid w:val="00D22B3D"/>
    <w:rsid w:val="00D3439C"/>
    <w:rsid w:val="00D76F5E"/>
    <w:rsid w:val="00D97ECA"/>
    <w:rsid w:val="00DA5908"/>
    <w:rsid w:val="00DB1831"/>
    <w:rsid w:val="00DD3BFD"/>
    <w:rsid w:val="00DF6678"/>
    <w:rsid w:val="00E63416"/>
    <w:rsid w:val="00EB5942"/>
    <w:rsid w:val="00EF0503"/>
    <w:rsid w:val="00F16CAA"/>
    <w:rsid w:val="00F412C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AA525"/>
  <w15:docId w15:val="{C3DBAFC9-E402-4E5E-8E0C-5AC4B38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B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F02B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F02B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F02B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F02B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F02B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F02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F02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AF02B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F02B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F02B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02B5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F02B5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F02B5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F02B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F02B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F02B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F02B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F02B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F02B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F02B5"/>
  </w:style>
  <w:style w:type="character" w:customStyle="1" w:styleId="NotedefinCar">
    <w:name w:val="Note de fin Car"/>
    <w:aliases w:val="2_G Car"/>
    <w:basedOn w:val="Policepardfaut"/>
    <w:link w:val="Notedefin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F02B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F02B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A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EB594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EB594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EB594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11</Pages>
  <Words>6502</Words>
  <Characters>35762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CRPD/C/18/D/22/2014</vt:lpstr>
    </vt:vector>
  </TitlesOfParts>
  <Company>DCM</Company>
  <LinksUpToDate>false</LinksUpToDate>
  <CharactersWithSpaces>42180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CRPD/C/18/D/22/2014</dc:title>
  <dc:subject/>
  <dc:creator>Nicolas MORIN</dc:creator>
  <cp:keywords/>
  <cp:lastModifiedBy>Nicolas MORIN</cp:lastModifiedBy>
  <cp:revision>2</cp:revision>
  <cp:lastPrinted>2017-12-01T08:30:00Z</cp:lastPrinted>
  <dcterms:created xsi:type="dcterms:W3CDTF">2017-12-01T11:15:00Z</dcterms:created>
  <dcterms:modified xsi:type="dcterms:W3CDTF">2017-12-01T11:15:00Z</dcterms:modified>
</cp:coreProperties>
</file>